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2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加大数字政府赛道布局力度的思考及建议</w:t>
      </w:r>
    </w:p>
    <w:p>
      <w:pPr>
        <w:ind w:left="2406"/>
        <w:spacing w:before="333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7"/>
        </w:rPr>
        <w:t>文/  虞苏妍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李国钦</w:t>
      </w:r>
      <w:r>
        <w:rPr>
          <w:rFonts w:ascii="STKaiti" w:hAnsi="STKaiti" w:eastAsia="STKaiti" w:cs="STKaiti"/>
          <w:sz w:val="30"/>
          <w:szCs w:val="30"/>
          <w:spacing w:val="1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左芳芳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33" w:right="9" w:firstLine="599"/>
        <w:spacing w:before="98" w:line="258" w:lineRule="auto"/>
        <w:rPr/>
      </w:pPr>
      <w:r>
        <w:rPr>
          <w:spacing w:val="-5"/>
        </w:rPr>
        <w:t>数字政府是引领和驱动数字中国建设的重要引擎，数字中国</w:t>
      </w:r>
      <w:r>
        <w:rPr>
          <w:spacing w:val="-4"/>
        </w:rPr>
        <w:t>规划对数字政府发展提出明确要求，政府侧需求加速释</w:t>
      </w:r>
      <w:r>
        <w:rPr>
          <w:spacing w:val="-5"/>
        </w:rPr>
        <w:t>放，预计</w:t>
      </w:r>
      <w:r>
        <w:rPr>
          <w:spacing w:val="-3"/>
        </w:rPr>
        <w:t>未来</w:t>
      </w:r>
      <w:r>
        <w:rPr>
          <w:spacing w:val="-23"/>
        </w:rPr>
        <w:t xml:space="preserve"> </w:t>
      </w:r>
      <w:r>
        <w:rPr>
          <w:spacing w:val="-3"/>
        </w:rPr>
        <w:t>2～3</w:t>
      </w:r>
      <w:r>
        <w:rPr>
          <w:spacing w:val="-3"/>
        </w:rPr>
        <w:t xml:space="preserve"> </w:t>
      </w:r>
      <w:r>
        <w:rPr>
          <w:spacing w:val="-3"/>
        </w:rPr>
        <w:t>年是数字政府建设重要战略机遇期，市场空间广阔，</w:t>
      </w:r>
      <w:r>
        <w:rPr>
          <w:spacing w:val="-1"/>
        </w:rPr>
        <w:t>十四五末趋万亿规模</w:t>
      </w:r>
      <w:r>
        <w:rPr>
          <w:sz w:val="15"/>
          <w:szCs w:val="15"/>
          <w:spacing w:val="-1"/>
          <w:position w:val="14"/>
        </w:rPr>
        <w:t>1</w:t>
      </w:r>
      <w:r>
        <w:rPr>
          <w:spacing w:val="-1"/>
        </w:rPr>
        <w:t>。同时，数字政府赛道群雄逐鹿，20</w:t>
      </w:r>
      <w:r>
        <w:rPr>
          <w:spacing w:val="-2"/>
        </w:rPr>
        <w:t>22</w:t>
      </w:r>
      <w:r>
        <w:rPr>
          <w:spacing w:val="-2"/>
        </w:rPr>
        <w:t xml:space="preserve"> </w:t>
      </w:r>
      <w:r>
        <w:rPr>
          <w:spacing w:val="-2"/>
        </w:rPr>
        <w:t>年</w:t>
      </w:r>
      <w:r>
        <w:rPr>
          <w:spacing w:val="-9"/>
        </w:rPr>
        <w:t>中国电信以微弱优势领先，但中国移动聚集资源、奋楫争夺，</w:t>
      </w:r>
      <w:r>
        <w:rPr>
          <w:spacing w:val="-10"/>
        </w:rPr>
        <w:t xml:space="preserve"> </w:t>
      </w:r>
      <w:r>
        <w:rPr>
          <w:spacing w:val="-10"/>
        </w:rPr>
        <w:t>将</w:t>
      </w:r>
      <w:r>
        <w:rPr>
          <w:spacing w:val="-3"/>
        </w:rPr>
        <w:t>数字政府作为其</w:t>
      </w:r>
      <w:r>
        <w:rPr>
          <w:spacing w:val="-58"/>
        </w:rPr>
        <w:t xml:space="preserve"> </w:t>
      </w:r>
      <w:r>
        <w:rPr>
          <w:spacing w:val="-3"/>
        </w:rPr>
        <w:t>2023</w:t>
      </w:r>
      <w:r>
        <w:rPr>
          <w:spacing w:val="-51"/>
        </w:rPr>
        <w:t xml:space="preserve"> </w:t>
      </w:r>
      <w:r>
        <w:rPr>
          <w:spacing w:val="-3"/>
        </w:rPr>
        <w:t>年两大战略赛道之一，目标赢取大单</w:t>
      </w:r>
      <w:r>
        <w:rPr>
          <w:spacing w:val="-60"/>
        </w:rPr>
        <w:t xml:space="preserve"> </w:t>
      </w:r>
      <w:r>
        <w:rPr>
          <w:spacing w:val="-3"/>
        </w:rPr>
        <w:t>2000</w:t>
      </w:r>
      <w:r>
        <w:rPr>
          <w:spacing w:val="-8"/>
        </w:rPr>
        <w:t>个，合同金额</w:t>
      </w:r>
      <w:r>
        <w:rPr>
          <w:spacing w:val="-54"/>
        </w:rPr>
        <w:t xml:space="preserve"> </w:t>
      </w:r>
      <w:r>
        <w:rPr>
          <w:spacing w:val="-8"/>
        </w:rPr>
        <w:t>220</w:t>
      </w:r>
      <w:r>
        <w:rPr>
          <w:spacing w:val="-52"/>
        </w:rPr>
        <w:t xml:space="preserve"> </w:t>
      </w:r>
      <w:r>
        <w:rPr>
          <w:spacing w:val="-8"/>
        </w:rPr>
        <w:t>亿，逐步蚕食电信市场，开年即反超</w:t>
      </w:r>
      <w:r>
        <w:rPr>
          <w:spacing w:val="-61"/>
        </w:rPr>
        <w:t xml:space="preserve"> </w:t>
      </w:r>
      <w:r>
        <w:rPr>
          <w:spacing w:val="-8"/>
        </w:rPr>
        <w:t>2.4%，形</w:t>
      </w:r>
      <w:r>
        <w:rPr>
          <w:spacing w:val="-14"/>
        </w:rPr>
        <w:t>势严峻，需引起重视。本文通过公开中标数据分析，从区</w:t>
      </w:r>
      <w:r>
        <w:rPr>
          <w:spacing w:val="-15"/>
        </w:rPr>
        <w:t>域协同、</w:t>
      </w:r>
      <w:r>
        <w:rPr>
          <w:spacing w:val="-4"/>
        </w:rPr>
        <w:t>层级贯通、客户需求、竞争形势、发展模式等维度进行洞察</w:t>
      </w:r>
      <w:r>
        <w:rPr>
          <w:spacing w:val="-5"/>
        </w:rPr>
        <w:t>及研</w:t>
      </w:r>
      <w:r>
        <w:rPr>
          <w:spacing w:val="-3"/>
        </w:rPr>
        <w:t>判，提出中国电信加大数字政府赛道布局的建议。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一、数字政府赛道发展现状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．市场快速增长，广泛渗透</w:t>
      </w:r>
    </w:p>
    <w:p>
      <w:pPr>
        <w:ind w:left="26" w:right="9" w:firstLine="604"/>
        <w:spacing w:before="317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一是整体公开市场总额突破千亿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 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年中标项目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57256</w:t>
      </w:r>
      <w:r>
        <w:rPr>
          <w:rFonts w:ascii="SimSun" w:hAnsi="SimSun" w:eastAsia="SimSun" w:cs="SimSun"/>
          <w:sz w:val="30"/>
          <w:szCs w:val="30"/>
          <w:spacing w:val="5"/>
        </w:rPr>
        <w:t>个，金额 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1453  </w:t>
      </w:r>
      <w:r>
        <w:rPr>
          <w:rFonts w:ascii="SimSun" w:hAnsi="SimSun" w:eastAsia="SimSun" w:cs="SimSun"/>
          <w:sz w:val="30"/>
          <w:szCs w:val="30"/>
          <w:spacing w:val="5"/>
        </w:rPr>
        <w:t>亿，季度增速 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20.9%</w:t>
      </w:r>
      <w:r>
        <w:rPr>
          <w:rFonts w:ascii="SimSun" w:hAnsi="SimSun" w:eastAsia="SimSun" w:cs="SimSun"/>
          <w:sz w:val="30"/>
          <w:szCs w:val="30"/>
          <w:spacing w:val="5"/>
        </w:rPr>
        <w:t>，高于产数市场平均增速</w:t>
      </w:r>
      <w:r>
        <w:rPr>
          <w:rFonts w:ascii="SimSun" w:hAnsi="SimSun" w:eastAsia="SimSun" w:cs="SimSun"/>
          <w:sz w:val="30"/>
          <w:szCs w:val="30"/>
          <w:spacing w:val="-1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18.5%</w:t>
      </w:r>
      <w:r>
        <w:rPr>
          <w:rFonts w:ascii="SimSun" w:hAnsi="SimSun" w:eastAsia="SimSun" w:cs="SimSun"/>
          <w:sz w:val="30"/>
          <w:szCs w:val="30"/>
          <w:spacing w:val="-14"/>
        </w:rPr>
        <w:t>）。二是省市级全覆盖， 区县级仍有缺口。政府数字化项</w:t>
      </w:r>
      <w:r>
        <w:rPr>
          <w:rFonts w:ascii="SimSun" w:hAnsi="SimSun" w:eastAsia="SimSun" w:cs="SimSun"/>
          <w:sz w:val="30"/>
          <w:szCs w:val="30"/>
          <w:spacing w:val="-1"/>
        </w:rPr>
        <w:t>目在省级和地市级实现全覆盖，区县级九成覆盖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624"/>
        <w:spacing w:before="2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．赛道竞争激烈，运营商具备优势</w:t>
      </w:r>
    </w:p>
    <w:p>
      <w:pPr>
        <w:ind w:left="20" w:right="12" w:firstLine="607"/>
        <w:spacing w:before="31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pict>
          <v:shape id="_x0000_s2" style="position:absolute;margin-left:0.72599pt;margin-top:125.168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1"/>
        </w:rPr>
        <w:t>数字政府赛道参与者众多（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万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75"/>
          <w:w w:val="95"/>
        </w:rPr>
        <w:t>），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50 </w:t>
      </w:r>
      <w:r>
        <w:rPr>
          <w:rFonts w:ascii="SimSun" w:hAnsi="SimSun" w:eastAsia="SimSun" w:cs="SimSun"/>
          <w:sz w:val="30"/>
          <w:szCs w:val="30"/>
          <w:spacing w:val="-1"/>
        </w:rPr>
        <w:t>家头部企业份额仅占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29%</w:t>
      </w:r>
      <w:r>
        <w:rPr>
          <w:rFonts w:ascii="SimSun" w:hAnsi="SimSun" w:eastAsia="SimSun" w:cs="SimSun"/>
          <w:sz w:val="30"/>
          <w:szCs w:val="30"/>
          <w:spacing w:val="-4"/>
        </w:rPr>
        <w:t>。运营商中标金额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278 </w:t>
      </w:r>
      <w:r>
        <w:rPr>
          <w:rFonts w:ascii="SimSun" w:hAnsi="SimSun" w:eastAsia="SimSun" w:cs="SimSun"/>
          <w:sz w:val="30"/>
          <w:szCs w:val="30"/>
          <w:spacing w:val="-4"/>
        </w:rPr>
        <w:t>亿，份额达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19%</w:t>
      </w:r>
      <w:r>
        <w:rPr>
          <w:rFonts w:ascii="SimSun" w:hAnsi="SimSun" w:eastAsia="SimSun" w:cs="SimSun"/>
          <w:sz w:val="30"/>
          <w:szCs w:val="30"/>
          <w:spacing w:val="-4"/>
        </w:rPr>
        <w:t>，高于产数市场平均</w:t>
      </w:r>
      <w:r>
        <w:rPr>
          <w:rFonts w:ascii="SimSun" w:hAnsi="SimSun" w:eastAsia="SimSun" w:cs="SimSun"/>
          <w:sz w:val="30"/>
          <w:szCs w:val="30"/>
          <w:spacing w:val="-17"/>
        </w:rPr>
        <w:t>份额（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16%</w:t>
      </w:r>
      <w:r>
        <w:rPr>
          <w:rFonts w:ascii="SimSun" w:hAnsi="SimSun" w:eastAsia="SimSun" w:cs="SimSun"/>
          <w:sz w:val="30"/>
          <w:szCs w:val="30"/>
          <w:spacing w:val="-17"/>
        </w:rPr>
        <w:t>）。中电信以微弱优势领先，移动紧逼其后（见图 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1</w:t>
      </w:r>
      <w:r>
        <w:rPr>
          <w:rFonts w:ascii="SimSun" w:hAnsi="SimSun" w:eastAsia="SimSun" w:cs="SimSun"/>
          <w:sz w:val="30"/>
          <w:szCs w:val="30"/>
          <w:spacing w:val="-70"/>
        </w:rPr>
        <w:t>），</w:t>
      </w:r>
      <w:r>
        <w:rPr>
          <w:rFonts w:ascii="SimSun" w:hAnsi="SimSun" w:eastAsia="SimSun" w:cs="SimSun"/>
          <w:sz w:val="30"/>
          <w:szCs w:val="30"/>
          <w:spacing w:val="-18"/>
        </w:rPr>
        <w:t>仅落后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0.27%</w:t>
      </w:r>
      <w:r>
        <w:rPr>
          <w:rFonts w:ascii="SimSun" w:hAnsi="SimSun" w:eastAsia="SimSun" w:cs="SimSun"/>
          <w:sz w:val="30"/>
          <w:szCs w:val="30"/>
          <w:spacing w:val="-18"/>
        </w:rPr>
        <w:t>。除运营商外，</w:t>
      </w:r>
      <w:r>
        <w:rPr>
          <w:rFonts w:ascii="SimSun" w:hAnsi="SimSun" w:eastAsia="SimSun" w:cs="SimSu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浪潮、中电科等厂商争夺明显，</w:t>
      </w:r>
      <w:r>
        <w:rPr>
          <w:rFonts w:ascii="SimSun" w:hAnsi="SimSun" w:eastAsia="SimSun" w:cs="SimSun"/>
          <w:sz w:val="30"/>
          <w:szCs w:val="30"/>
          <w:spacing w:val="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中</w:t>
      </w:r>
      <w:r>
        <w:rPr>
          <w:rFonts w:ascii="SimSun" w:hAnsi="SimSun" w:eastAsia="SimSun" w:cs="SimSun"/>
          <w:sz w:val="30"/>
          <w:szCs w:val="30"/>
          <w:spacing w:val="-5"/>
        </w:rPr>
        <w:t>标项目集中在属地。</w:t>
      </w:r>
    </w:p>
    <w:p>
      <w:pPr>
        <w:ind w:left="22"/>
        <w:spacing w:before="237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源自中国产业信息网</w:t>
      </w:r>
    </w:p>
    <w:p>
      <w:pPr>
        <w:ind w:left="20"/>
        <w:spacing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10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数据来源：战略所情报中心产数中标数据库</w:t>
      </w:r>
    </w:p>
    <w:p>
      <w:pPr>
        <w:ind w:left="19"/>
        <w:spacing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</w:t>
      </w:r>
      <w:r>
        <w:rPr>
          <w:rFonts w:ascii="DengXian" w:hAnsi="DengXian" w:eastAsia="DengXian" w:cs="DengXian"/>
          <w:sz w:val="11"/>
          <w:szCs w:val="11"/>
          <w:spacing w:val="10"/>
          <w:w w:val="10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数据口径：地市区县数量口径来自 2022 年中国统计年鉴</w:t>
      </w:r>
    </w:p>
    <w:p>
      <w:pPr>
        <w:spacing w:line="296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tbl>
      <w:tblPr>
        <w:tblStyle w:val="TableNormal"/>
        <w:tblW w:w="6378" w:type="dxa"/>
        <w:tblInd w:w="9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1"/>
        <w:gridCol w:w="521"/>
        <w:gridCol w:w="562"/>
        <w:gridCol w:w="579"/>
        <w:gridCol w:w="512"/>
        <w:gridCol w:w="1771"/>
        <w:gridCol w:w="566"/>
        <w:gridCol w:w="1486"/>
      </w:tblGrid>
      <w:tr>
        <w:trPr>
          <w:trHeight w:val="1428" w:hRule="atLeast"/>
        </w:trPr>
        <w:tc>
          <w:tcPr>
            <w:tcW w:w="381" w:type="dxa"/>
            <w:vAlign w:val="top"/>
            <w:vMerge w:val="restart"/>
            <w:tcBorders>
              <w:left w:val="single" w:color="D9D9D9" w:sz="4" w:space="0"/>
              <w:bottom w:val="nil"/>
              <w:top w:val="single" w:color="D9D9D9" w:sz="4" w:space="0"/>
            </w:tcBorders>
          </w:tcPr>
          <w:p>
            <w:pPr>
              <w:pStyle w:val="TableText"/>
              <w:ind w:left="137"/>
              <w:spacing w:before="173" w:line="161" w:lineRule="auto"/>
              <w:rPr/>
            </w:pPr>
            <w:r>
              <w:rPr>
                <w:color w:val="595959"/>
                <w:spacing w:val="-3"/>
              </w:rPr>
              <w:t>8%</w:t>
            </w:r>
          </w:p>
          <w:p>
            <w:pPr>
              <w:pStyle w:val="TableText"/>
              <w:ind w:left="137"/>
              <w:spacing w:line="139" w:lineRule="exact"/>
              <w:rPr/>
            </w:pPr>
            <w:r>
              <w:rPr>
                <w:color w:val="595959"/>
                <w:spacing w:val="-3"/>
                <w:position w:val="-1"/>
              </w:rPr>
              <w:t>7%</w:t>
            </w:r>
          </w:p>
          <w:p>
            <w:pPr>
              <w:pStyle w:val="TableText"/>
              <w:ind w:left="138"/>
              <w:spacing w:line="139" w:lineRule="exact"/>
              <w:rPr/>
            </w:pPr>
            <w:r>
              <w:rPr>
                <w:color w:val="595959"/>
                <w:spacing w:val="-3"/>
                <w:position w:val="-1"/>
              </w:rPr>
              <w:t>6%</w:t>
            </w:r>
          </w:p>
          <w:p>
            <w:pPr>
              <w:pStyle w:val="TableText"/>
              <w:ind w:left="138"/>
              <w:spacing w:line="139" w:lineRule="exact"/>
              <w:rPr/>
            </w:pPr>
            <w:r>
              <w:rPr>
                <w:color w:val="595959"/>
                <w:spacing w:val="-3"/>
                <w:position w:val="-1"/>
              </w:rPr>
              <w:t>5%</w:t>
            </w:r>
          </w:p>
          <w:p>
            <w:pPr>
              <w:pStyle w:val="TableText"/>
              <w:ind w:left="132"/>
              <w:spacing w:line="139" w:lineRule="exact"/>
              <w:rPr/>
            </w:pPr>
            <w:r>
              <w:rPr>
                <w:color w:val="595959"/>
                <w:spacing w:val="-1"/>
                <w:position w:val="-1"/>
              </w:rPr>
              <w:t>4%</w:t>
            </w:r>
          </w:p>
          <w:p>
            <w:pPr>
              <w:pStyle w:val="TableText"/>
              <w:ind w:left="135"/>
              <w:spacing w:line="140" w:lineRule="exact"/>
              <w:rPr/>
            </w:pPr>
            <w:r>
              <w:rPr>
                <w:color w:val="595959"/>
                <w:spacing w:val="-2"/>
                <w:position w:val="-1"/>
              </w:rPr>
              <w:t>3%</w:t>
            </w:r>
          </w:p>
          <w:p>
            <w:pPr>
              <w:pStyle w:val="TableText"/>
              <w:ind w:left="137"/>
              <w:spacing w:line="139" w:lineRule="exact"/>
              <w:rPr/>
            </w:pPr>
            <w:r>
              <w:rPr>
                <w:color w:val="595959"/>
                <w:spacing w:val="-3"/>
                <w:position w:val="-1"/>
              </w:rPr>
              <w:t>2%</w:t>
            </w:r>
          </w:p>
          <w:p>
            <w:pPr>
              <w:pStyle w:val="TableText"/>
              <w:ind w:left="141"/>
              <w:spacing w:line="140" w:lineRule="exact"/>
              <w:rPr/>
            </w:pPr>
            <w:r>
              <w:rPr>
                <w:color w:val="595959"/>
                <w:spacing w:val="-4"/>
                <w:position w:val="-1"/>
              </w:rPr>
              <w:t>1%</w:t>
            </w:r>
          </w:p>
          <w:p>
            <w:pPr>
              <w:pStyle w:val="TableText"/>
              <w:ind w:left="136"/>
              <w:spacing w:line="221" w:lineRule="auto"/>
              <w:rPr/>
            </w:pPr>
            <w:r>
              <w:rPr>
                <w:color w:val="595959"/>
                <w:spacing w:val="-2"/>
              </w:rPr>
              <w:t>0%</w:t>
            </w:r>
          </w:p>
        </w:tc>
        <w:tc>
          <w:tcPr>
            <w:tcW w:w="5997" w:type="dxa"/>
            <w:vAlign w:val="top"/>
            <w:gridSpan w:val="7"/>
            <w:tcBorders>
              <w:right w:val="single" w:color="D9D9D9" w:sz="4" w:space="0"/>
              <w:top w:val="single" w:color="D9D9D9" w:sz="4" w:space="0"/>
            </w:tcBorders>
          </w:tcPr>
          <w:p>
            <w:pPr>
              <w:pStyle w:val="TableText"/>
              <w:ind w:left="163"/>
              <w:spacing w:before="104" w:line="266" w:lineRule="exact"/>
              <w:rPr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33781</wp:posOffset>
                  </wp:positionH>
                  <wp:positionV relativeFrom="paragraph">
                    <wp:posOffset>-6350</wp:posOffset>
                  </wp:positionV>
                  <wp:extent cx="3633216" cy="890016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33216" cy="89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2"/>
                <w:position w:val="2"/>
              </w:rPr>
              <w:t>7.12%</w:t>
            </w:r>
            <w:r>
              <w:rPr>
                <w:color w:val="404040"/>
                <w:spacing w:val="6"/>
                <w:position w:val="2"/>
              </w:rPr>
              <w:t xml:space="preserve">   </w:t>
            </w:r>
            <w:r>
              <w:rPr>
                <w:color w:val="404040"/>
                <w:spacing w:val="-2"/>
                <w:position w:val="2"/>
              </w:rPr>
              <w:t>6.85%</w:t>
            </w:r>
          </w:p>
          <w:p>
            <w:pPr>
              <w:pStyle w:val="TableText"/>
              <w:ind w:left="1297"/>
              <w:spacing w:before="100" w:line="249" w:lineRule="exact"/>
              <w:rPr/>
            </w:pPr>
            <w:r>
              <w:rPr>
                <w:color w:val="404040"/>
                <w:spacing w:val="-1"/>
                <w:position w:val="2"/>
              </w:rPr>
              <w:t>4.35%</w:t>
            </w:r>
          </w:p>
          <w:p>
            <w:pPr>
              <w:pStyle w:val="TableText"/>
              <w:ind w:left="1876"/>
              <w:spacing w:before="141" w:line="441" w:lineRule="exact"/>
              <w:rPr/>
            </w:pPr>
            <w:r>
              <w:rPr>
                <w:color w:val="404040"/>
                <w:spacing w:val="-1"/>
                <w:position w:val="17"/>
              </w:rPr>
              <w:t>1.55%   </w:t>
            </w:r>
            <w:r>
              <w:rPr>
                <w:color w:val="404040"/>
                <w:spacing w:val="-1"/>
                <w:position w:val="11"/>
              </w:rPr>
              <w:t>1.17%</w:t>
            </w:r>
            <w:r>
              <w:rPr>
                <w:color w:val="404040"/>
                <w:spacing w:val="6"/>
                <w:position w:val="11"/>
              </w:rPr>
              <w:t xml:space="preserve">   </w:t>
            </w:r>
            <w:r>
              <w:rPr>
                <w:color w:val="404040"/>
                <w:spacing w:val="-1"/>
                <w:position w:val="10"/>
              </w:rPr>
              <w:t>1.07%</w:t>
            </w:r>
            <w:r>
              <w:rPr>
                <w:color w:val="404040"/>
                <w:spacing w:val="7"/>
                <w:position w:val="10"/>
              </w:rPr>
              <w:t xml:space="preserve">   </w:t>
            </w:r>
            <w:r>
              <w:rPr>
                <w:color w:val="404040"/>
                <w:spacing w:val="-1"/>
                <w:position w:val="10"/>
              </w:rPr>
              <w:t>1.06%</w:t>
            </w:r>
            <w:r>
              <w:rPr>
                <w:color w:val="404040"/>
                <w:spacing w:val="5"/>
                <w:position w:val="10"/>
              </w:rPr>
              <w:t xml:space="preserve">   </w:t>
            </w:r>
            <w:r>
              <w:rPr>
                <w:color w:val="404040"/>
                <w:spacing w:val="-1"/>
                <w:position w:val="8"/>
              </w:rPr>
              <w:t>0.8</w:t>
            </w:r>
            <w:r>
              <w:rPr>
                <w:color w:val="404040"/>
                <w:spacing w:val="-2"/>
                <w:position w:val="8"/>
              </w:rPr>
              <w:t>4%</w:t>
            </w:r>
            <w:r>
              <w:rPr>
                <w:color w:val="404040"/>
                <w:spacing w:val="5"/>
                <w:position w:val="8"/>
              </w:rPr>
              <w:t xml:space="preserve">   </w:t>
            </w:r>
            <w:r>
              <w:rPr>
                <w:color w:val="404040"/>
                <w:spacing w:val="-2"/>
                <w:position w:val="2"/>
              </w:rPr>
              <w:t>0.43%</w:t>
            </w:r>
            <w:r>
              <w:rPr>
                <w:color w:val="404040"/>
                <w:spacing w:val="4"/>
                <w:position w:val="2"/>
              </w:rPr>
              <w:t xml:space="preserve">   </w:t>
            </w:r>
            <w:r>
              <w:rPr>
                <w:color w:val="404040"/>
                <w:spacing w:val="-2"/>
                <w:position w:val="-2"/>
              </w:rPr>
              <w:t>0.18%</w:t>
            </w:r>
          </w:p>
        </w:tc>
      </w:tr>
      <w:tr>
        <w:trPr>
          <w:trHeight w:val="990" w:hRule="atLeast"/>
        </w:trPr>
        <w:tc>
          <w:tcPr>
            <w:tcW w:w="381" w:type="dxa"/>
            <w:vAlign w:val="top"/>
            <w:vMerge w:val="continue"/>
            <w:tcBorders>
              <w:left w:val="single" w:color="D9D9D9" w:sz="4" w:space="0"/>
              <w:bottom w:val="single" w:color="D9D9D9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1" w:type="dxa"/>
            <w:vAlign w:val="top"/>
            <w:tcBorders>
              <w:bottom w:val="single" w:color="D9D9D9" w:sz="4" w:space="0"/>
            </w:tcBorders>
          </w:tcPr>
          <w:p>
            <w:pPr>
              <w:ind w:firstLine="79"/>
              <w:spacing w:before="102" w:line="299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204343" cy="189864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343" cy="18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" w:type="dxa"/>
            <w:vAlign w:val="top"/>
            <w:tcBorders>
              <w:bottom w:val="single" w:color="D9D9D9" w:sz="4" w:space="0"/>
            </w:tcBorders>
          </w:tcPr>
          <w:p>
            <w:pPr>
              <w:ind w:firstLine="113"/>
              <w:spacing w:before="115" w:line="30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07010" cy="19380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010" cy="19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Align w:val="top"/>
            <w:tcBorders>
              <w:bottom w:val="single" w:color="D9D9D9" w:sz="4" w:space="0"/>
            </w:tcBorders>
          </w:tcPr>
          <w:p>
            <w:pPr>
              <w:ind w:firstLine="117"/>
              <w:spacing w:before="103" w:line="32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17804" cy="205867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7804" cy="205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dxa"/>
            <w:vAlign w:val="top"/>
            <w:tcBorders>
              <w:bottom w:val="single" w:color="D9D9D9" w:sz="4" w:space="0"/>
            </w:tcBorders>
          </w:tcPr>
          <w:p>
            <w:pPr>
              <w:ind w:firstLine="117"/>
              <w:spacing w:before="96" w:line="33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09423" cy="21513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423" cy="215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1" w:type="dxa"/>
            <w:vAlign w:val="top"/>
            <w:tcBorders>
              <w:bottom w:val="single" w:color="D9D9D9" w:sz="4" w:space="0"/>
            </w:tcBorders>
          </w:tcPr>
          <w:p>
            <w:pPr>
              <w:ind w:firstLine="64"/>
              <w:spacing w:before="49" w:line="728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1002538" cy="462026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2538" cy="462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" w:type="dxa"/>
            <w:vAlign w:val="top"/>
            <w:tcBorders>
              <w:bottom w:val="single" w:color="D9D9D9" w:sz="4" w:space="0"/>
            </w:tcBorders>
          </w:tcPr>
          <w:p>
            <w:pPr>
              <w:ind w:firstLine="131"/>
              <w:spacing w:before="124" w:line="31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4182" cy="201167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182" cy="20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6" w:type="dxa"/>
            <w:vAlign w:val="top"/>
            <w:tcBorders>
              <w:bottom w:val="single" w:color="D9D9D9" w:sz="4" w:space="0"/>
              <w:right w:val="single" w:color="D9D9D9" w:sz="4" w:space="0"/>
            </w:tcBorders>
          </w:tcPr>
          <w:p>
            <w:pPr>
              <w:ind w:firstLine="134"/>
              <w:spacing w:before="103" w:line="584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561847" cy="37084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847" cy="3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002"/>
        <w:spacing w:before="129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数字政府公开市场中标份额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二、数字政府赛道主要发现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36"/>
        <w:spacing w:before="97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．区域方面</w:t>
      </w:r>
    </w:p>
    <w:p>
      <w:pPr>
        <w:ind w:left="23" w:right="90" w:firstLine="604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数字政府发展存在“区域鸿沟”，中西部及东北建设落后，</w:t>
      </w:r>
      <w:r>
        <w:rPr>
          <w:rFonts w:ascii="SimSun" w:hAnsi="SimSun" w:eastAsia="SimSun" w:cs="SimSun"/>
          <w:sz w:val="30"/>
          <w:szCs w:val="30"/>
          <w:spacing w:val="-9"/>
        </w:rPr>
        <w:t>但增速较快具后发优势。中电信在中西部更具竞争力， 中移动打</w:t>
      </w:r>
      <w:r>
        <w:rPr>
          <w:rFonts w:ascii="SimSun" w:hAnsi="SimSun" w:eastAsia="SimSun" w:cs="SimSun"/>
          <w:sz w:val="30"/>
          <w:szCs w:val="30"/>
          <w:spacing w:val="-8"/>
        </w:rPr>
        <w:t>开北方市场。</w:t>
      </w:r>
    </w:p>
    <w:p>
      <w:pPr>
        <w:ind w:firstLine="899"/>
        <w:spacing w:before="38" w:line="4082" w:lineRule="exact"/>
        <w:rPr/>
      </w:pPr>
      <w:r>
        <w:rPr>
          <w:position w:val="-81"/>
        </w:rPr>
        <w:drawing>
          <wp:inline distT="0" distB="0" distL="0" distR="0">
            <wp:extent cx="4072445" cy="259176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445" cy="25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225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全国数字政府发展情况与增速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7" w:right="87" w:firstLine="609"/>
        <w:spacing w:before="99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东部发展领先，省均额超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50</w:t>
      </w:r>
      <w:r>
        <w:rPr>
          <w:rFonts w:ascii="Times New Roman" w:hAnsi="Times New Roman" w:eastAsia="Times New Roman" w:cs="Times New Roman"/>
          <w:sz w:val="30"/>
          <w:szCs w:val="3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亿，广东、北京等地规模达百</w:t>
      </w:r>
      <w:r>
        <w:rPr>
          <w:rFonts w:ascii="SimSun" w:hAnsi="SimSun" w:eastAsia="SimSun" w:cs="SimSun"/>
          <w:sz w:val="30"/>
          <w:szCs w:val="30"/>
          <w:spacing w:val="-16"/>
        </w:rPr>
        <w:t>亿。北京、上海等地需求仍旺盛，增速达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40%</w:t>
      </w:r>
      <w:r>
        <w:rPr>
          <w:rFonts w:ascii="SimSun" w:hAnsi="SimSun" w:eastAsia="SimSun" w:cs="SimSun"/>
          <w:sz w:val="30"/>
          <w:szCs w:val="30"/>
          <w:spacing w:val="-16"/>
        </w:rPr>
        <w:t>以上，应持续关注。</w:t>
      </w:r>
    </w:p>
    <w:p>
      <w:pPr>
        <w:ind w:left="31" w:firstLine="623"/>
        <w:spacing w:before="272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中西部及东北数字政府发展较为落后，政务云网投入较低，</w:t>
      </w:r>
      <w:r>
        <w:rPr>
          <w:rFonts w:ascii="SimSun" w:hAnsi="SimSun" w:eastAsia="SimSun" w:cs="SimSun"/>
          <w:sz w:val="30"/>
          <w:szCs w:val="30"/>
          <w:spacing w:val="-6"/>
        </w:rPr>
        <w:t>东北仅为东部的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10%</w:t>
      </w:r>
      <w:r>
        <w:rPr>
          <w:rFonts w:ascii="SimSun" w:hAnsi="SimSun" w:eastAsia="SimSun" w:cs="SimSun"/>
          <w:sz w:val="30"/>
          <w:szCs w:val="30"/>
          <w:spacing w:val="-6"/>
        </w:rPr>
        <w:t>；跨区域服务支撑能力差异较大，成渝协同</w:t>
      </w:r>
      <w:r>
        <w:rPr>
          <w:rFonts w:ascii="SimSun" w:hAnsi="SimSun" w:eastAsia="SimSun" w:cs="SimSun"/>
          <w:sz w:val="30"/>
          <w:szCs w:val="30"/>
          <w:spacing w:val="-2"/>
        </w:rPr>
        <w:t>办理数量仅为长三角的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1/3</w:t>
      </w:r>
      <w:r>
        <w:rPr>
          <w:rFonts w:ascii="SimSun" w:hAnsi="SimSun" w:eastAsia="SimSun" w:cs="SimSun"/>
          <w:sz w:val="30"/>
          <w:szCs w:val="30"/>
          <w:spacing w:val="-2"/>
        </w:rPr>
        <w:t>，基础设施对数字政府的支撑力度不</w:t>
      </w:r>
      <w:r>
        <w:rPr>
          <w:rFonts w:ascii="SimSun" w:hAnsi="SimSun" w:eastAsia="SimSun" w:cs="SimSun"/>
          <w:sz w:val="30"/>
          <w:szCs w:val="30"/>
          <w:spacing w:val="-4"/>
        </w:rPr>
        <w:t>足。近期中西部及东北数字化需求井喷增长，特别是关中、中原</w:t>
      </w:r>
    </w:p>
    <w:p>
      <w:pPr>
        <w:spacing w:line="257" w:lineRule="auto"/>
        <w:sectPr>
          <w:pgSz w:w="11907" w:h="16839"/>
          <w:pgMar w:top="1430" w:right="171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87" w:hanging="1"/>
        <w:spacing w:before="88" w:line="25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等国家重大战略区域，如山西、陕西等增速达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80%</w:t>
      </w:r>
      <w:r>
        <w:rPr>
          <w:rFonts w:ascii="SimSun" w:hAnsi="SimSun" w:eastAsia="SimSun" w:cs="SimSun"/>
          <w:sz w:val="30"/>
          <w:szCs w:val="30"/>
          <w:spacing w:val="-6"/>
        </w:rPr>
        <w:t>以上，存在重</w:t>
      </w:r>
      <w:r>
        <w:rPr>
          <w:rFonts w:ascii="SimSun" w:hAnsi="SimSun" w:eastAsia="SimSun" w:cs="SimSun"/>
          <w:sz w:val="30"/>
          <w:szCs w:val="30"/>
          <w:spacing w:val="-3"/>
        </w:rPr>
        <w:t>大发展机遇。</w:t>
      </w:r>
    </w:p>
    <w:p>
      <w:pPr>
        <w:ind w:left="28" w:right="89" w:firstLine="625"/>
        <w:spacing w:before="29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中电信在中西部竞争力较强（见图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</w:t>
      </w:r>
      <w:r>
        <w:rPr>
          <w:rFonts w:ascii="SimSun" w:hAnsi="SimSun" w:eastAsia="SimSun" w:cs="SimSun"/>
          <w:sz w:val="30"/>
          <w:szCs w:val="30"/>
          <w:spacing w:val="-72"/>
          <w:w w:val="91"/>
        </w:rPr>
        <w:t>），</w:t>
      </w:r>
      <w:r>
        <w:rPr>
          <w:rFonts w:ascii="SimSun" w:hAnsi="SimSun" w:eastAsia="SimSun" w:cs="SimSun"/>
          <w:sz w:val="30"/>
          <w:szCs w:val="30"/>
          <w:spacing w:val="-8"/>
        </w:rPr>
        <w:t>甘肃、</w:t>
      </w:r>
      <w:r>
        <w:rPr>
          <w:rFonts w:ascii="SimSun" w:hAnsi="SimSun" w:eastAsia="SimSun" w:cs="SimSun"/>
          <w:sz w:val="30"/>
          <w:szCs w:val="30"/>
          <w:spacing w:val="-9"/>
        </w:rPr>
        <w:t>安徽等地优势</w:t>
      </w:r>
      <w:r>
        <w:rPr>
          <w:rFonts w:ascii="SimSun" w:hAnsi="SimSun" w:eastAsia="SimSun" w:cs="SimSun"/>
          <w:sz w:val="30"/>
          <w:szCs w:val="30"/>
          <w:spacing w:val="-16"/>
        </w:rPr>
        <w:t>明显，东南五省中上海、福建较有竞争力，江苏、广东优势微弱。</w:t>
      </w:r>
      <w:r>
        <w:rPr>
          <w:rFonts w:ascii="SimSun" w:hAnsi="SimSun" w:eastAsia="SimSun" w:cs="SimSun"/>
          <w:sz w:val="30"/>
          <w:szCs w:val="30"/>
          <w:spacing w:val="-4"/>
        </w:rPr>
        <w:t>中移动紧抓窗口期，逐步打开北方市场，拿下黑龙江数字政府大</w:t>
      </w:r>
      <w:r>
        <w:rPr>
          <w:rFonts w:ascii="SimSun" w:hAnsi="SimSun" w:eastAsia="SimSun" w:cs="SimSun"/>
          <w:sz w:val="30"/>
          <w:szCs w:val="30"/>
          <w:spacing w:val="-9"/>
        </w:rPr>
        <w:t>单（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8.4  </w:t>
      </w:r>
      <w:r>
        <w:rPr>
          <w:rFonts w:ascii="SimSun" w:hAnsi="SimSun" w:eastAsia="SimSun" w:cs="SimSun"/>
          <w:sz w:val="30"/>
          <w:szCs w:val="30"/>
          <w:spacing w:val="-9"/>
        </w:rPr>
        <w:t>亿</w:t>
      </w:r>
      <w:r>
        <w:rPr>
          <w:rFonts w:ascii="SimSun" w:hAnsi="SimSun" w:eastAsia="SimSun" w:cs="SimSun"/>
          <w:sz w:val="30"/>
          <w:szCs w:val="30"/>
          <w:spacing w:val="-40"/>
        </w:rPr>
        <w:t>），</w:t>
      </w:r>
      <w:r>
        <w:rPr>
          <w:rFonts w:ascii="SimSun" w:hAnsi="SimSun" w:eastAsia="SimSun" w:cs="SimSun"/>
          <w:sz w:val="30"/>
          <w:szCs w:val="30"/>
          <w:spacing w:val="-9"/>
        </w:rPr>
        <w:t>并跟进建设“数字沈阳”，在东北取得领先优势，</w:t>
      </w:r>
      <w:r>
        <w:rPr>
          <w:rFonts w:ascii="SimSun" w:hAnsi="SimSun" w:eastAsia="SimSun" w:cs="SimSun"/>
          <w:sz w:val="30"/>
          <w:szCs w:val="30"/>
          <w:spacing w:val="-5"/>
        </w:rPr>
        <w:t>市场份额（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13.8%</w:t>
      </w:r>
      <w:r>
        <w:rPr>
          <w:rFonts w:ascii="SimSun" w:hAnsi="SimSun" w:eastAsia="SimSun" w:cs="SimSun"/>
          <w:sz w:val="30"/>
          <w:szCs w:val="30"/>
          <w:spacing w:val="-5"/>
        </w:rPr>
        <w:t>）远高于电信（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2.3%</w:t>
      </w:r>
      <w:r>
        <w:rPr>
          <w:rFonts w:ascii="SimSun" w:hAnsi="SimSun" w:eastAsia="SimSun" w:cs="SimSun"/>
          <w:sz w:val="30"/>
          <w:szCs w:val="30"/>
          <w:spacing w:val="-5"/>
        </w:rPr>
        <w:t>）。</w:t>
      </w:r>
    </w:p>
    <w:p>
      <w:pPr>
        <w:ind w:firstLine="23"/>
        <w:spacing w:before="194" w:line="3773" w:lineRule="exact"/>
        <w:rPr/>
      </w:pPr>
      <w:r>
        <w:rPr>
          <w:position w:val="-75"/>
        </w:rPr>
        <w:drawing>
          <wp:inline distT="0" distB="0" distL="0" distR="0">
            <wp:extent cx="5262274" cy="239564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274" cy="23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4"/>
        <w:spacing w:before="185" w:line="230" w:lineRule="auto"/>
        <w:outlineLvl w:val="3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中国电信在全国数字政府建设的相对优势度</w:t>
      </w:r>
      <w:r>
        <w:rPr>
          <w:rFonts w:ascii="KaiTi" w:hAnsi="KaiTi" w:eastAsia="KaiTi" w:cs="KaiTi"/>
          <w:sz w:val="15"/>
          <w:szCs w:val="15"/>
          <w:spacing w:val="-3"/>
          <w:position w:val="14"/>
        </w:rPr>
        <w:t>4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．层级方面</w:t>
      </w:r>
    </w:p>
    <w:p>
      <w:pPr>
        <w:ind w:left="54" w:firstLine="601"/>
        <w:spacing w:before="32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国家级项目运营商参与不够；区县级市场数字化需求旺盛，</w:t>
      </w:r>
      <w:r>
        <w:rPr>
          <w:rFonts w:ascii="SimSun" w:hAnsi="SimSun" w:eastAsia="SimSun" w:cs="SimSun"/>
          <w:sz w:val="30"/>
          <w:szCs w:val="30"/>
          <w:spacing w:val="-4"/>
        </w:rPr>
        <w:t>中电信下沉不足，中移动锚定东中部区县市场取得突破。</w:t>
      </w:r>
    </w:p>
    <w:p>
      <w:pPr>
        <w:ind w:left="28" w:right="83" w:firstLine="597"/>
        <w:spacing w:before="271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运营商在国家级项目中份额较低（见图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</w:t>
      </w:r>
      <w:r>
        <w:rPr>
          <w:rFonts w:ascii="SimSun" w:hAnsi="SimSun" w:eastAsia="SimSun" w:cs="SimSun"/>
          <w:sz w:val="30"/>
          <w:szCs w:val="30"/>
          <w:spacing w:val="-70"/>
          <w:w w:val="88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战略头</w:t>
      </w:r>
      <w:r>
        <w:rPr>
          <w:rFonts w:ascii="SimSun" w:hAnsi="SimSun" w:eastAsia="SimSun" w:cs="SimSun"/>
          <w:sz w:val="30"/>
          <w:szCs w:val="30"/>
          <w:spacing w:val="-7"/>
        </w:rPr>
        <w:t>部客户获</w:t>
      </w:r>
      <w:r>
        <w:rPr>
          <w:rFonts w:ascii="SimSun" w:hAnsi="SimSun" w:eastAsia="SimSun" w:cs="SimSun"/>
          <w:sz w:val="30"/>
          <w:szCs w:val="30"/>
          <w:spacing w:val="-5"/>
        </w:rPr>
        <w:t>取存在短板，同为央企背景的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ICT </w:t>
      </w:r>
      <w:r>
        <w:rPr>
          <w:rFonts w:ascii="SimSun" w:hAnsi="SimSun" w:eastAsia="SimSun" w:cs="SimSun"/>
          <w:sz w:val="30"/>
          <w:szCs w:val="30"/>
          <w:spacing w:val="-5"/>
        </w:rPr>
        <w:t>厂商优势明显，如中电科积极</w:t>
      </w:r>
      <w:r>
        <w:rPr>
          <w:rFonts w:ascii="SimSun" w:hAnsi="SimSun" w:eastAsia="SimSun" w:cs="SimSun"/>
          <w:sz w:val="30"/>
          <w:szCs w:val="30"/>
          <w:spacing w:val="-2"/>
        </w:rPr>
        <w:t>参与部委信息化建设，一家独占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3.2%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4" style="position:absolute;margin-left:0.72599pt;margin-top:9.65571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6"/>
        <w:spacing w:before="72"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4    </w:t>
      </w:r>
      <w:r>
        <w:rPr>
          <w:rFonts w:ascii="DengXian" w:hAnsi="DengXian" w:eastAsia="DengXian" w:cs="DengXian"/>
          <w:sz w:val="21"/>
          <w:szCs w:val="21"/>
          <w:position w:val="2"/>
        </w:rPr>
        <w:t>电信相对优势度：即电信在该地区的市场占有率与同行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最大竞争者的市场占有率之比</w:t>
      </w:r>
    </w:p>
    <w:p>
      <w:pPr>
        <w:spacing w:line="297" w:lineRule="exact"/>
        <w:sectPr>
          <w:pgSz w:w="11907" w:h="16839"/>
          <w:pgMar w:top="1431" w:right="171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3241" w:right="3276" w:firstLine="1286"/>
        <w:spacing w:before="55" w:line="264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6" style="position:absolute;margin-left:55.089pt;margin-top:-4.64661pt;mso-position-vertical-relative:text;mso-position-horizontal-relative:text;width:15.5pt;height:89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226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2"/>
                      <w:position w:val="1"/>
                    </w:rPr>
                    <w:t>800</w:t>
                  </w:r>
                </w:p>
                <w:p>
                  <w:pPr>
                    <w:ind w:left="24"/>
                    <w:spacing w:before="27" w:line="227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2"/>
                      <w:position w:val="1"/>
                    </w:rPr>
                    <w:t>700</w:t>
                  </w:r>
                </w:p>
                <w:p>
                  <w:pPr>
                    <w:ind w:left="25"/>
                    <w:spacing w:before="27" w:line="226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  <w:position w:val="1"/>
                    </w:rPr>
                    <w:t>600</w:t>
                  </w:r>
                </w:p>
                <w:p>
                  <w:pPr>
                    <w:ind w:left="24"/>
                    <w:spacing w:before="27" w:line="227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2"/>
                      <w:position w:val="1"/>
                    </w:rPr>
                    <w:t>500</w:t>
                  </w:r>
                </w:p>
                <w:p>
                  <w:pPr>
                    <w:ind w:left="20"/>
                    <w:spacing w:before="28" w:line="226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1"/>
                      <w:position w:val="1"/>
                    </w:rPr>
                    <w:t>400</w:t>
                  </w:r>
                </w:p>
                <w:p>
                  <w:pPr>
                    <w:ind w:left="24"/>
                    <w:spacing w:before="28" w:line="227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  <w:position w:val="1"/>
                    </w:rPr>
                    <w:t>300</w:t>
                  </w:r>
                </w:p>
                <w:p>
                  <w:pPr>
                    <w:ind w:left="25"/>
                    <w:spacing w:before="27" w:line="227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  <w:position w:val="1"/>
                    </w:rPr>
                    <w:t>200</w:t>
                  </w:r>
                </w:p>
              </w:txbxContent>
            </v:textbox>
          </v:shape>
        </w:pict>
      </w:r>
      <w:r>
        <w:pict>
          <v:shape id="_x0000_s8" style="position:absolute;margin-left:344.176pt;margin-top:-4.64661pt;mso-position-vertical-relative:text;mso-position-horizontal-relative:text;width:17.1pt;height:33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2"/>
                      <w:position w:val="1"/>
                    </w:rPr>
                    <w:t>25%</w:t>
                  </w:r>
                </w:p>
                <w:p>
                  <w:pPr>
                    <w:ind w:left="20"/>
                    <w:spacing w:before="181" w:line="225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2"/>
                      <w:position w:val="1"/>
                    </w:rPr>
                    <w:t>20%</w:t>
                  </w:r>
                </w:p>
              </w:txbxContent>
            </v:textbox>
          </v:shape>
        </w:pict>
      </w:r>
      <w:r>
        <w:pict>
          <v:shape id="_x0000_s10" style="position:absolute;margin-left:290.95pt;margin-top:1.59338pt;mso-position-vertical-relative:text;mso-position-horizontal-relative:text;width:26.65pt;height:13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6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404040"/>
                      <w:spacing w:val="-2"/>
                      <w:position w:val="1"/>
                    </w:rPr>
                    <w:t>676.23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621563</wp:posOffset>
            </wp:positionH>
            <wp:positionV relativeFrom="paragraph">
              <wp:posOffset>-137624</wp:posOffset>
            </wp:positionV>
            <wp:extent cx="4040123" cy="204215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0123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color w:val="404040"/>
          <w:spacing w:val="-2"/>
        </w:rPr>
        <w:t>20.47%</w:t>
      </w:r>
      <w:r>
        <w:rPr>
          <w:rFonts w:ascii="Calibri" w:hAnsi="Calibri" w:eastAsia="Calibri" w:cs="Calibri"/>
          <w:sz w:val="18"/>
          <w:szCs w:val="18"/>
          <w:color w:val="40404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404040"/>
          <w:spacing w:val="-3"/>
        </w:rPr>
        <w:t>17.56%</w:t>
      </w:r>
    </w:p>
    <w:p>
      <w:pPr>
        <w:ind w:left="4542"/>
        <w:spacing w:line="220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12" style="position:absolute;margin-left:270.277pt;margin-top:5.12933pt;mso-position-vertical-relative:text;mso-position-horizontal-relative:text;width:28.2pt;height:13.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404040"/>
                      <w:spacing w:val="-3"/>
                      <w:position w:val="1"/>
                    </w:rPr>
                    <w:t>18.12%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404040"/>
          <w:spacing w:val="-1"/>
        </w:rPr>
        <w:t>484.69</w:t>
      </w:r>
    </w:p>
    <w:p>
      <w:pPr>
        <w:ind w:left="6908"/>
        <w:spacing w:line="225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3"/>
          <w:position w:val="1"/>
        </w:rPr>
        <w:t>15%</w:t>
      </w:r>
    </w:p>
    <w:p>
      <w:pPr>
        <w:ind w:left="3255"/>
        <w:spacing w:before="114" w:line="227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14" style="position:absolute;margin-left:344.437pt;margin-top:8.10114pt;mso-position-vertical-relative:text;mso-position-horizontal-relative:text;width:16.8pt;height:13.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spacing w:val="-3"/>
                      <w:position w:val="1"/>
                    </w:rPr>
                    <w:t>10%</w:t>
                  </w:r>
                </w:p>
              </w:txbxContent>
            </v:textbox>
          </v:shape>
        </w:pict>
      </w:r>
      <w:r>
        <w:pict>
          <v:shape id="_x0000_s16" style="position:absolute;margin-left:100.793pt;margin-top:8.32318pt;mso-position-vertical-relative:text;mso-position-horizontal-relative:text;width:24.1pt;height:38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404040"/>
                      <w:spacing w:val="-2"/>
                      <w:position w:val="1"/>
                    </w:rPr>
                    <w:t>8.44%</w:t>
                  </w:r>
                </w:p>
                <w:p>
                  <w:pPr>
                    <w:ind w:left="33"/>
                    <w:spacing w:before="281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404040"/>
                      <w:spacing w:val="-1"/>
                      <w:position w:val="1"/>
                    </w:rPr>
                    <w:t>44.2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404040"/>
          <w:spacing w:val="-2"/>
          <w:position w:val="1"/>
        </w:rPr>
        <w:t>271.81</w:t>
      </w:r>
    </w:p>
    <w:p>
      <w:pPr>
        <w:ind w:left="6902"/>
        <w:spacing w:before="247" w:line="182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2"/>
        </w:rPr>
        <w:t>5%</w:t>
      </w:r>
    </w:p>
    <w:p>
      <w:pPr>
        <w:ind w:left="1132"/>
        <w:spacing w:line="232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595959"/>
          <w:spacing w:val="-4"/>
        </w:rPr>
        <w:t>100</w:t>
      </w:r>
    </w:p>
    <w:p>
      <w:pPr>
        <w:ind w:left="6899"/>
        <w:spacing w:before="27" w:line="225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18" style="position:absolute;margin-left:64.317pt;margin-top:0.386475pt;mso-position-vertical-relative:text;mso-position-horizontal-relative:text;width:6.25pt;height:13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6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595959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595959"/>
          <w:spacing w:val="-2"/>
          <w:position w:val="1"/>
        </w:rPr>
        <w:t>0%</w:t>
      </w:r>
    </w:p>
    <w:p>
      <w:pPr>
        <w:ind w:left="1953"/>
        <w:spacing w:before="1" w:line="226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国家级</w:t>
      </w:r>
      <w:r>
        <w:rPr>
          <w:rFonts w:ascii="DengXian" w:hAnsi="DengXian" w:eastAsia="DengXian" w:cs="DengXian"/>
          <w:sz w:val="18"/>
          <w:szCs w:val="18"/>
          <w:color w:val="595959"/>
          <w:spacing w:val="1"/>
        </w:rPr>
        <w:t xml:space="preserve">       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省级</w:t>
      </w:r>
      <w:r>
        <w:rPr>
          <w:rFonts w:ascii="DengXian" w:hAnsi="DengXian" w:eastAsia="DengXian" w:cs="DengXian"/>
          <w:sz w:val="18"/>
          <w:szCs w:val="18"/>
          <w:color w:val="595959"/>
          <w:spacing w:val="1"/>
        </w:rPr>
        <w:t xml:space="preserve">                 </w:t>
      </w:r>
      <w:r>
        <w:rPr>
          <w:rFonts w:ascii="DengXian" w:hAnsi="DengXian" w:eastAsia="DengXian" w:cs="DengXian"/>
          <w:sz w:val="18"/>
          <w:szCs w:val="18"/>
          <w:color w:val="595959"/>
          <w:spacing w:val="-3"/>
        </w:rPr>
        <w:t>地市级                区县级</w:t>
      </w:r>
    </w:p>
    <w:p>
      <w:pPr>
        <w:ind w:left="2529"/>
        <w:spacing w:before="180" w:line="223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18"/>
          <w:szCs w:val="18"/>
          <w:color w:val="595959"/>
          <w:spacing w:val="-1"/>
        </w:rPr>
        <w:t>中标金额（亿元）               运营商中标金额占比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002"/>
        <w:spacing w:before="98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数字政府项目分层级别情况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5" w:right="10" w:firstLine="602"/>
        <w:spacing w:before="98" w:line="260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新型城镇化战略为区县级数字政府建设发展带来机</w:t>
      </w:r>
      <w:r>
        <w:rPr>
          <w:rFonts w:ascii="SimSun" w:hAnsi="SimSun" w:eastAsia="SimSun" w:cs="SimSun"/>
          <w:sz w:val="30"/>
          <w:szCs w:val="30"/>
          <w:spacing w:val="-5"/>
        </w:rPr>
        <w:t>遇，为新</w:t>
      </w:r>
      <w:r>
        <w:rPr>
          <w:rFonts w:ascii="SimSun" w:hAnsi="SimSun" w:eastAsia="SimSun" w:cs="SimSun"/>
          <w:sz w:val="30"/>
          <w:szCs w:val="30"/>
          <w:spacing w:val="-13"/>
        </w:rPr>
        <w:t>兴蓝海市场，尤其中部需求凸显（见图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</w:t>
      </w:r>
      <w:r>
        <w:rPr>
          <w:rFonts w:ascii="SimSun" w:hAnsi="SimSun" w:eastAsia="SimSun" w:cs="SimSun"/>
          <w:sz w:val="30"/>
          <w:szCs w:val="30"/>
          <w:spacing w:val="-13"/>
        </w:rPr>
        <w:t>）。三家运营商在区县级</w:t>
      </w:r>
      <w:r>
        <w:rPr>
          <w:rFonts w:ascii="SimSun" w:hAnsi="SimSun" w:eastAsia="SimSun" w:cs="SimSun"/>
          <w:sz w:val="30"/>
          <w:szCs w:val="30"/>
          <w:spacing w:val="-7"/>
        </w:rPr>
        <w:t>市场份额</w:t>
      </w:r>
      <w:r>
        <w:rPr>
          <w:rFonts w:ascii="SimSun" w:hAnsi="SimSun" w:eastAsia="SimSun" w:cs="SimSun"/>
          <w:sz w:val="30"/>
          <w:szCs w:val="3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18%</w:t>
      </w:r>
      <w:r>
        <w:rPr>
          <w:rFonts w:ascii="SimSun" w:hAnsi="SimSun" w:eastAsia="SimSun" w:cs="SimSun"/>
          <w:sz w:val="30"/>
          <w:szCs w:val="30"/>
          <w:spacing w:val="-7"/>
        </w:rPr>
        <w:t>，与整体市场相当（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19%</w:t>
      </w:r>
      <w:r>
        <w:rPr>
          <w:rFonts w:ascii="SimSun" w:hAnsi="SimSun" w:eastAsia="SimSun" w:cs="SimSun"/>
          <w:sz w:val="30"/>
          <w:szCs w:val="30"/>
          <w:spacing w:val="-7"/>
        </w:rPr>
        <w:t>）。中电信区县级市场下</w:t>
      </w:r>
      <w:r>
        <w:rPr>
          <w:rFonts w:ascii="SimSun" w:hAnsi="SimSun" w:eastAsia="SimSun" w:cs="SimSun"/>
          <w:sz w:val="30"/>
          <w:szCs w:val="30"/>
          <w:spacing w:val="-6"/>
        </w:rPr>
        <w:t>沉不足，项目占比为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42%</w:t>
      </w:r>
      <w:r>
        <w:rPr>
          <w:rFonts w:ascii="SimSun" w:hAnsi="SimSun" w:eastAsia="SimSun" w:cs="SimSun"/>
          <w:sz w:val="30"/>
          <w:szCs w:val="30"/>
          <w:spacing w:val="-6"/>
        </w:rPr>
        <w:t>（占所有数字政府项目比例</w:t>
      </w:r>
      <w:r>
        <w:rPr>
          <w:rFonts w:ascii="SimSun" w:hAnsi="SimSun" w:eastAsia="SimSun" w:cs="SimSun"/>
          <w:sz w:val="30"/>
          <w:szCs w:val="30"/>
          <w:spacing w:val="-10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低于行</w:t>
      </w:r>
      <w:r>
        <w:rPr>
          <w:rFonts w:ascii="SimSun" w:hAnsi="SimSun" w:eastAsia="SimSun" w:cs="SimSun"/>
          <w:sz w:val="30"/>
          <w:szCs w:val="30"/>
          <w:spacing w:val="-4"/>
        </w:rPr>
        <w:t>业整体和中移动，需加强拓展。中移动聚焦东中部区县市场重点</w:t>
      </w:r>
      <w:r>
        <w:rPr>
          <w:rFonts w:ascii="SimSun" w:hAnsi="SimSun" w:eastAsia="SimSun" w:cs="SimSun"/>
          <w:sz w:val="30"/>
          <w:szCs w:val="30"/>
          <w:spacing w:val="-4"/>
        </w:rPr>
        <w:t>击破，近六成为区县级项目。在东部区县中标社会治理、智慧监</w:t>
      </w:r>
      <w:r>
        <w:rPr>
          <w:rFonts w:ascii="SimSun" w:hAnsi="SimSun" w:eastAsia="SimSun" w:cs="SimSun"/>
          <w:sz w:val="30"/>
          <w:szCs w:val="30"/>
          <w:spacing w:val="-9"/>
        </w:rPr>
        <w:t>管等项目，在中部则是视频监控、信息监管等项目， 份额反超电</w:t>
      </w:r>
      <w:r>
        <w:rPr>
          <w:rFonts w:ascii="SimSun" w:hAnsi="SimSun" w:eastAsia="SimSun" w:cs="SimSun"/>
          <w:sz w:val="30"/>
          <w:szCs w:val="30"/>
          <w:spacing w:val="-8"/>
        </w:rPr>
        <w:t>信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1%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413"/>
        <w:spacing w:before="1" w:line="4147" w:lineRule="exact"/>
        <w:rPr/>
      </w:pPr>
      <w:r>
        <w:rPr>
          <w:position w:val="-82"/>
        </w:rPr>
        <w:drawing>
          <wp:inline distT="0" distB="0" distL="0" distR="0">
            <wp:extent cx="4728754" cy="26331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8754" cy="26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852"/>
        <w:spacing w:before="97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5</w:t>
      </w:r>
      <w:r>
        <w:rPr>
          <w:rFonts w:ascii="KaiTi" w:hAnsi="KaiTi" w:eastAsia="KaiTi" w:cs="KaiTi"/>
          <w:sz w:val="30"/>
          <w:szCs w:val="30"/>
          <w:spacing w:val="2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区县级数字政府项目占比情况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621"/>
        <w:spacing w:before="98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．客户方面</w:t>
      </w:r>
    </w:p>
    <w:p>
      <w:pPr>
        <w:spacing w:line="234" w:lineRule="auto"/>
        <w:sectPr>
          <w:headerReference w:type="default" r:id="rId11"/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8" w:right="101" w:firstLine="599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数字政府建设需求逐步从公安等基础性社会管</w:t>
      </w:r>
      <w:r>
        <w:rPr>
          <w:rFonts w:ascii="SimSun" w:hAnsi="SimSun" w:eastAsia="SimSun" w:cs="SimSun"/>
          <w:sz w:val="30"/>
          <w:szCs w:val="30"/>
          <w:spacing w:val="7"/>
        </w:rPr>
        <w:t>理部门转向</w:t>
      </w:r>
      <w:r>
        <w:rPr>
          <w:rFonts w:ascii="SimSun" w:hAnsi="SimSun" w:eastAsia="SimSun" w:cs="SimSun"/>
          <w:sz w:val="30"/>
          <w:szCs w:val="30"/>
          <w:spacing w:val="-4"/>
        </w:rPr>
        <w:t>生态保护、应急保障等行业厅局。</w:t>
      </w:r>
    </w:p>
    <w:p>
      <w:pPr>
        <w:ind w:left="26" w:firstLine="628"/>
        <w:spacing w:before="26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中部及东北的重点仍在公安、政府办公厅等社会</w:t>
      </w:r>
      <w:r>
        <w:rPr>
          <w:rFonts w:ascii="SimSun" w:hAnsi="SimSun" w:eastAsia="SimSun" w:cs="SimSun"/>
          <w:sz w:val="30"/>
          <w:szCs w:val="30"/>
          <w:spacing w:val="-6"/>
        </w:rPr>
        <w:t>管理及公共</w:t>
      </w:r>
      <w:r>
        <w:rPr>
          <w:rFonts w:ascii="SimSun" w:hAnsi="SimSun" w:eastAsia="SimSun" w:cs="SimSun"/>
          <w:sz w:val="30"/>
          <w:szCs w:val="30"/>
          <w:spacing w:val="-11"/>
        </w:rPr>
        <w:t>服务的建设；而东部基础性建设较早，逐步转移至生态环境保护、</w:t>
      </w:r>
      <w:r>
        <w:rPr>
          <w:rFonts w:ascii="SimSun" w:hAnsi="SimSun" w:eastAsia="SimSun" w:cs="SimSun"/>
          <w:sz w:val="30"/>
          <w:szCs w:val="30"/>
          <w:spacing w:val="-15"/>
        </w:rPr>
        <w:t>应急保障等职能建设与完善，远超公安局、政府办公厅等部门（见</w:t>
      </w:r>
      <w:r>
        <w:rPr>
          <w:rFonts w:ascii="SimSun" w:hAnsi="SimSun" w:eastAsia="SimSun" w:cs="SimSun"/>
          <w:sz w:val="30"/>
          <w:szCs w:val="30"/>
          <w:spacing w:val="-15"/>
        </w:rPr>
        <w:t>图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6</w:t>
      </w:r>
      <w:r>
        <w:rPr>
          <w:rFonts w:ascii="SimSun" w:hAnsi="SimSun" w:eastAsia="SimSun" w:cs="SimSun"/>
          <w:sz w:val="30"/>
          <w:szCs w:val="30"/>
          <w:spacing w:val="-15"/>
        </w:rPr>
        <w:t>）。西部受环境气候影响，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重视生态环境等职能建设。</w:t>
      </w:r>
      <w:r>
        <w:rPr>
          <w:rFonts w:ascii="SimSun" w:hAnsi="SimSun" w:eastAsia="SimSun" w:cs="SimSun"/>
          <w:sz w:val="30"/>
          <w:szCs w:val="30"/>
          <w:spacing w:val="-16"/>
        </w:rPr>
        <w:t>以生态</w:t>
      </w:r>
      <w:r>
        <w:rPr>
          <w:rFonts w:ascii="SimSun" w:hAnsi="SimSun" w:eastAsia="SimSun" w:cs="SimSun"/>
          <w:sz w:val="30"/>
          <w:szCs w:val="30"/>
          <w:spacing w:val="-9"/>
        </w:rPr>
        <w:t>环保项目为例，东部为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50%</w:t>
      </w:r>
      <w:r>
        <w:rPr>
          <w:rFonts w:ascii="SimSun" w:hAnsi="SimSun" w:eastAsia="SimSun" w:cs="SimSun"/>
          <w:sz w:val="30"/>
          <w:szCs w:val="30"/>
          <w:spacing w:val="-9"/>
        </w:rPr>
        <w:t>，西部为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26%</w:t>
      </w:r>
      <w:r>
        <w:rPr>
          <w:rFonts w:ascii="SimSun" w:hAnsi="SimSun" w:eastAsia="SimSun" w:cs="SimSun"/>
          <w:sz w:val="30"/>
          <w:szCs w:val="30"/>
          <w:spacing w:val="-9"/>
        </w:rPr>
        <w:t>，东北地区仅为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5.8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%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。</w:t>
      </w:r>
      <w:r>
        <w:rPr>
          <w:rFonts w:ascii="SimSun" w:hAnsi="SimSun" w:eastAsia="SimSun" w:cs="SimSun"/>
          <w:sz w:val="30"/>
          <w:szCs w:val="30"/>
          <w:spacing w:val="-4"/>
        </w:rPr>
        <w:t>同时，东部生态环保建设已延伸至区县级，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占比为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54%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left="27" w:right="105" w:firstLine="626"/>
        <w:spacing w:before="258" w:line="24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中移动积极参与东部生态环境及东北的公安建设</w:t>
      </w:r>
      <w:r>
        <w:rPr>
          <w:rFonts w:ascii="SimSun" w:hAnsi="SimSun" w:eastAsia="SimSun" w:cs="SimSun"/>
          <w:sz w:val="30"/>
          <w:szCs w:val="30"/>
          <w:spacing w:val="-6"/>
        </w:rPr>
        <w:t>，在东部中</w:t>
      </w:r>
      <w:r>
        <w:rPr>
          <w:rFonts w:ascii="SimSun" w:hAnsi="SimSun" w:eastAsia="SimSun" w:cs="SimSun"/>
          <w:sz w:val="30"/>
          <w:szCs w:val="30"/>
          <w:spacing w:val="-9"/>
        </w:rPr>
        <w:t>标智慧环境、生态数智协同、生态云等项目， 在东北中标公安执</w:t>
      </w:r>
      <w:r>
        <w:rPr>
          <w:rFonts w:ascii="SimSun" w:hAnsi="SimSun" w:eastAsia="SimSun" w:cs="SimSun"/>
          <w:sz w:val="30"/>
          <w:szCs w:val="30"/>
          <w:spacing w:val="-1"/>
        </w:rPr>
        <w:t>法、安全监控等项目，市场份额均超电信。</w:t>
      </w:r>
    </w:p>
    <w:p>
      <w:pPr>
        <w:ind w:firstLine="611"/>
        <w:spacing w:line="3710" w:lineRule="exact"/>
        <w:rPr/>
      </w:pPr>
      <w:r>
        <w:rPr>
          <w:position w:val="-74"/>
        </w:rPr>
        <w:drawing>
          <wp:inline distT="0" distB="0" distL="0" distR="0">
            <wp:extent cx="4511040" cy="235610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1040" cy="23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84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6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主要行业厅局数字政府需求分布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．模式方面</w:t>
      </w:r>
    </w:p>
    <w:p>
      <w:pPr>
        <w:ind w:left="28" w:right="107" w:firstLine="599"/>
        <w:spacing w:before="31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数字政府建设以平台主导、行政主导、多元</w:t>
      </w:r>
      <w:r>
        <w:rPr>
          <w:rFonts w:ascii="SimSun" w:hAnsi="SimSun" w:eastAsia="SimSun" w:cs="SimSun"/>
          <w:sz w:val="30"/>
          <w:szCs w:val="30"/>
          <w:spacing w:val="-5"/>
        </w:rPr>
        <w:t>协同三种模式为</w:t>
      </w:r>
      <w:r>
        <w:rPr>
          <w:rFonts w:ascii="SimSun" w:hAnsi="SimSun" w:eastAsia="SimSun" w:cs="SimSun"/>
          <w:sz w:val="30"/>
          <w:szCs w:val="30"/>
          <w:spacing w:val="-2"/>
        </w:rPr>
        <w:t>主，运营商倾向于后两种模式。</w:t>
      </w:r>
    </w:p>
    <w:p>
      <w:pPr>
        <w:ind w:left="634"/>
        <w:spacing w:before="27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）平台主导模式</w:t>
      </w:r>
    </w:p>
    <w:p>
      <w:pPr>
        <w:ind w:left="25" w:right="23" w:firstLine="609"/>
        <w:spacing w:before="319" w:line="26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市场容量较大、资源较丰富，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本地有较强创新能力与技术资</w:t>
      </w:r>
      <w:r>
        <w:rPr>
          <w:rFonts w:ascii="SimSun" w:hAnsi="SimSun" w:eastAsia="SimSun" w:cs="SimSun"/>
          <w:sz w:val="30"/>
          <w:szCs w:val="30"/>
          <w:spacing w:val="-11"/>
        </w:rPr>
        <w:t>源的企业支持，政企合作形成统一平台。政府为需求方</w:t>
      </w:r>
      <w:r>
        <w:rPr>
          <w:rFonts w:ascii="SimSun" w:hAnsi="SimSun" w:eastAsia="SimSun" w:cs="SimSun"/>
          <w:sz w:val="30"/>
          <w:szCs w:val="30"/>
          <w:spacing w:val="-12"/>
        </w:rPr>
        <w:t>和评价者，</w:t>
      </w:r>
      <w:r>
        <w:rPr>
          <w:rFonts w:ascii="SimSun" w:hAnsi="SimSun" w:eastAsia="SimSun" w:cs="SimSun"/>
          <w:sz w:val="30"/>
          <w:szCs w:val="30"/>
          <w:spacing w:val="-4"/>
        </w:rPr>
        <w:t>平台企业作为建设者话语权较高，从顶层设计、技术支撑、建设</w:t>
      </w:r>
      <w:r>
        <w:rPr>
          <w:rFonts w:ascii="SimSun" w:hAnsi="SimSun" w:eastAsia="SimSun" w:cs="SimSun"/>
          <w:sz w:val="30"/>
          <w:szCs w:val="30"/>
          <w:spacing w:val="-4"/>
        </w:rPr>
        <w:t>运营全生命周期深度参与，其他企业渗入难度</w:t>
      </w:r>
      <w:r>
        <w:rPr>
          <w:rFonts w:ascii="SimSun" w:hAnsi="SimSun" w:eastAsia="SimSun" w:cs="SimSun"/>
          <w:sz w:val="30"/>
          <w:szCs w:val="30"/>
          <w:spacing w:val="-5"/>
        </w:rPr>
        <w:t>较大（见图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</w:t>
      </w:r>
      <w:r>
        <w:rPr>
          <w:rFonts w:ascii="SimSun" w:hAnsi="SimSun" w:eastAsia="SimSun" w:cs="SimSun"/>
          <w:sz w:val="30"/>
          <w:szCs w:val="30"/>
          <w:spacing w:val="-5"/>
        </w:rPr>
        <w:t>）。</w:t>
      </w:r>
    </w:p>
    <w:p>
      <w:pPr>
        <w:spacing w:line="264" w:lineRule="auto"/>
        <w:sectPr>
          <w:headerReference w:type="default" r:id="rId14"/>
          <w:pgSz w:w="11907" w:h="16839"/>
          <w:pgMar w:top="400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34"/>
        <w:spacing w:before="97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）行政主导模式</w:t>
      </w:r>
    </w:p>
    <w:p>
      <w:pPr>
        <w:ind w:left="26" w:right="47" w:firstLine="602"/>
        <w:spacing w:before="323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经济基础较薄弱、资源较匮乏， 政府掌握主要资源，传统科</w:t>
      </w:r>
      <w:r>
        <w:rPr>
          <w:rFonts w:ascii="SimSun" w:hAnsi="SimSun" w:eastAsia="SimSun" w:cs="SimSun"/>
          <w:sz w:val="30"/>
          <w:szCs w:val="30"/>
          <w:spacing w:val="-4"/>
        </w:rPr>
        <w:t>层制运作模式，政府牵头管理和运营，决策权在政府侧。运营商</w:t>
      </w:r>
      <w:r>
        <w:rPr>
          <w:rFonts w:ascii="SimSun" w:hAnsi="SimSun" w:eastAsia="SimSun" w:cs="SimSun"/>
          <w:sz w:val="30"/>
          <w:szCs w:val="30"/>
          <w:spacing w:val="-4"/>
        </w:rPr>
        <w:t>基于政府客情长期深耕，此模式下较有优势，市场份额远高于整</w:t>
      </w:r>
      <w:r>
        <w:rPr>
          <w:rFonts w:ascii="SimSun" w:hAnsi="SimSun" w:eastAsia="SimSun" w:cs="SimSun"/>
          <w:sz w:val="30"/>
          <w:szCs w:val="30"/>
          <w:spacing w:val="-2"/>
        </w:rPr>
        <w:t>体均值，黑龙江、甘肃、贵州等省超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30%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634"/>
        <w:spacing w:before="249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</w:t>
      </w:r>
      <w:r>
        <w:rPr>
          <w:rFonts w:ascii="SimSun" w:hAnsi="SimSun" w:eastAsia="SimSun" w:cs="SimSun"/>
          <w:sz w:val="30"/>
          <w:szCs w:val="30"/>
          <w:spacing w:val="-4"/>
        </w:rPr>
        <w:t>）多元协同模式</w:t>
      </w:r>
    </w:p>
    <w:p>
      <w:pPr>
        <w:ind w:left="27" w:right="49" w:firstLine="615"/>
        <w:spacing w:before="317" w:line="25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需求快速增长且市场活跃，政府作为指导者和协调者，引入</w:t>
      </w:r>
      <w:r>
        <w:rPr>
          <w:rFonts w:ascii="SimSun" w:hAnsi="SimSun" w:eastAsia="SimSun" w:cs="SimSun"/>
          <w:sz w:val="30"/>
          <w:szCs w:val="30"/>
          <w:spacing w:val="-9"/>
        </w:rPr>
        <w:t>企业、科研院所等市场主体， 构建多元平等、广泛协同的合作网</w:t>
      </w:r>
      <w:r>
        <w:rPr>
          <w:rFonts w:ascii="SimSun" w:hAnsi="SimSun" w:eastAsia="SimSun" w:cs="SimSun"/>
          <w:sz w:val="30"/>
          <w:szCs w:val="30"/>
          <w:spacing w:val="-4"/>
        </w:rPr>
        <w:t>络，共同决策，接纳度较强，灵活度较高，有利于运营商业务拓</w:t>
      </w:r>
      <w:r>
        <w:rPr>
          <w:rFonts w:ascii="SimSun" w:hAnsi="SimSun" w:eastAsia="SimSun" w:cs="SimSun"/>
          <w:sz w:val="30"/>
          <w:szCs w:val="30"/>
          <w:spacing w:val="-15"/>
        </w:rPr>
        <w:t>展。</w:t>
      </w:r>
    </w:p>
    <w:p>
      <w:pPr>
        <w:ind w:firstLine="14"/>
        <w:spacing w:line="5252" w:lineRule="exact"/>
        <w:rPr/>
      </w:pPr>
      <w:r>
        <w:rPr>
          <w:position w:val="-105"/>
        </w:rPr>
        <w:drawing>
          <wp:inline distT="0" distB="0" distL="0" distR="0">
            <wp:extent cx="5305044" cy="333451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044" cy="33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2"/>
        <w:spacing w:before="90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7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数字政府主要建设运营模式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三、加大数字政府赛道布局的建议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26" w:right="47" w:firstLine="602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数字政府建设步入加速期，是产数领域战略制高点，可联动</w:t>
      </w:r>
      <w:r>
        <w:rPr>
          <w:rFonts w:ascii="SimSun" w:hAnsi="SimSun" w:eastAsia="SimSun" w:cs="SimSun"/>
          <w:sz w:val="30"/>
          <w:szCs w:val="30"/>
          <w:spacing w:val="-4"/>
        </w:rPr>
        <w:t>产数其他业务增长，应予以重点关注。中国电信产数业务行业布</w:t>
      </w:r>
      <w:r>
        <w:rPr>
          <w:rFonts w:ascii="SimSun" w:hAnsi="SimSun" w:eastAsia="SimSun" w:cs="SimSun"/>
          <w:sz w:val="30"/>
          <w:szCs w:val="30"/>
          <w:spacing w:val="-14"/>
        </w:rPr>
        <w:t>局较为分散，建议进一步聚焦重点，坚持“有所为、有所不为”，</w:t>
      </w:r>
      <w:r>
        <w:rPr>
          <w:rFonts w:ascii="SimSun" w:hAnsi="SimSun" w:eastAsia="SimSun" w:cs="SimSun"/>
          <w:sz w:val="30"/>
          <w:szCs w:val="30"/>
          <w:spacing w:val="-14"/>
        </w:rPr>
        <w:t>加强数字政府赛道布局，加大资源配置，巩固领先优势，成为“领</w:t>
      </w:r>
    </w:p>
    <w:p>
      <w:pPr>
        <w:spacing w:line="259" w:lineRule="auto"/>
        <w:sectPr>
          <w:pgSz w:w="11907" w:h="16839"/>
          <w:pgMar w:top="400" w:right="175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2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先的数字政府服务提供商”。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．聚焦重点，集中优势资源，积极突破</w:t>
      </w:r>
    </w:p>
    <w:p>
      <w:pPr>
        <w:ind w:left="26" w:right="235" w:firstLine="604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一是加强战略级头部客户攻坚，优先关注本</w:t>
      </w:r>
      <w:r>
        <w:rPr>
          <w:rFonts w:ascii="SimSun" w:hAnsi="SimSun" w:eastAsia="SimSun" w:cs="SimSun"/>
          <w:sz w:val="30"/>
          <w:szCs w:val="30"/>
          <w:spacing w:val="-5"/>
        </w:rPr>
        <w:t>届政府改革方案</w:t>
      </w:r>
      <w:r>
        <w:rPr>
          <w:rFonts w:ascii="SimSun" w:hAnsi="SimSun" w:eastAsia="SimSun" w:cs="SimSun"/>
          <w:sz w:val="30"/>
          <w:szCs w:val="30"/>
          <w:spacing w:val="-4"/>
        </w:rPr>
        <w:t>所涉部委，如国家数据局，在基础制度、标准规范等方面深度参</w:t>
      </w:r>
      <w:r>
        <w:rPr>
          <w:rFonts w:ascii="SimSun" w:hAnsi="SimSun" w:eastAsia="SimSun" w:cs="SimSun"/>
          <w:sz w:val="30"/>
          <w:szCs w:val="30"/>
          <w:spacing w:val="-4"/>
        </w:rPr>
        <w:t>与，布局顶层设计，抢占战略高位。</w:t>
      </w:r>
    </w:p>
    <w:p>
      <w:pPr>
        <w:ind w:left="27" w:firstLine="603"/>
        <w:spacing w:before="275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二是加速区县级市场下沉，发挥省市县三级运营优势，紧抓</w:t>
      </w:r>
      <w:r>
        <w:rPr>
          <w:rFonts w:ascii="SimSun" w:hAnsi="SimSun" w:eastAsia="SimSun" w:cs="SimSun"/>
          <w:sz w:val="30"/>
          <w:szCs w:val="30"/>
          <w:spacing w:val="-4"/>
        </w:rPr>
        <w:t>县域智慧化改造契机，推进一网通办、一网统管，医院、学校等</w:t>
      </w:r>
      <w:r>
        <w:rPr>
          <w:rFonts w:ascii="SimSun" w:hAnsi="SimSun" w:eastAsia="SimSun" w:cs="SimSun"/>
          <w:sz w:val="30"/>
          <w:szCs w:val="30"/>
          <w:spacing w:val="-7"/>
        </w:rPr>
        <w:t>民生数字化，提供基础设施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数字底座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+</w:t>
      </w:r>
      <w:r>
        <w:rPr>
          <w:rFonts w:ascii="SimSun" w:hAnsi="SimSun" w:eastAsia="SimSun" w:cs="SimSun"/>
          <w:sz w:val="30"/>
          <w:szCs w:val="30"/>
          <w:spacing w:val="-7"/>
        </w:rPr>
        <w:t>业务平台的综合解决方案，</w:t>
      </w:r>
      <w:r>
        <w:rPr>
          <w:rFonts w:ascii="SimSun" w:hAnsi="SimSun" w:eastAsia="SimSun" w:cs="SimSun"/>
          <w:sz w:val="30"/>
          <w:szCs w:val="30"/>
          <w:spacing w:val="-3"/>
        </w:rPr>
        <w:t>并以本地化长期运营服务为抓手进行赢单。</w:t>
      </w:r>
    </w:p>
    <w:p>
      <w:pPr>
        <w:ind w:left="624"/>
        <w:spacing w:before="28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．做强优势区域，打造标杆，持续放大市场带动效能</w:t>
      </w:r>
    </w:p>
    <w:p>
      <w:pPr>
        <w:ind w:left="25" w:right="235" w:firstLine="605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一是省市县三级联动，巩固中西部领先优势，紧抓中西部高</w:t>
      </w:r>
      <w:r>
        <w:rPr>
          <w:rFonts w:ascii="SimSun" w:hAnsi="SimSun" w:eastAsia="SimSun" w:cs="SimSun"/>
          <w:sz w:val="30"/>
          <w:szCs w:val="30"/>
          <w:spacing w:val="-4"/>
        </w:rPr>
        <w:t>速发展需求，结合国家区域重大战略，抓住数字底座、政务平台</w:t>
      </w:r>
      <w:r>
        <w:rPr>
          <w:rFonts w:ascii="SimSun" w:hAnsi="SimSun" w:eastAsia="SimSun" w:cs="SimSun"/>
          <w:sz w:val="30"/>
          <w:szCs w:val="30"/>
          <w:spacing w:val="-4"/>
        </w:rPr>
        <w:t>等产品，在扎实省级优势基础上，逐步向市县和基层转移，深耕</w:t>
      </w:r>
      <w:r>
        <w:rPr>
          <w:rFonts w:ascii="SimSun" w:hAnsi="SimSun" w:eastAsia="SimSun" w:cs="SimSun"/>
          <w:sz w:val="30"/>
          <w:szCs w:val="30"/>
          <w:spacing w:val="-13"/>
        </w:rPr>
        <w:t>行业厅局（如生态、应急等）。</w:t>
      </w:r>
    </w:p>
    <w:p>
      <w:pPr>
        <w:ind w:left="27" w:right="236" w:firstLine="603"/>
        <w:spacing w:before="26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二是深耕东部市场，扩大规模优势，积极培育标杆项目，提</w:t>
      </w:r>
      <w:r>
        <w:rPr>
          <w:rFonts w:ascii="SimSun" w:hAnsi="SimSun" w:eastAsia="SimSun" w:cs="SimSun"/>
          <w:sz w:val="30"/>
          <w:szCs w:val="30"/>
          <w:spacing w:val="-4"/>
        </w:rPr>
        <w:t>炼核心产品，发挥辐射带动作用，联动周边省市多级发展，并拉</w:t>
      </w:r>
      <w:r>
        <w:rPr>
          <w:rFonts w:ascii="SimSun" w:hAnsi="SimSun" w:eastAsia="SimSun" w:cs="SimSun"/>
          <w:sz w:val="30"/>
          <w:szCs w:val="30"/>
          <w:spacing w:val="-4"/>
        </w:rPr>
        <w:t>动智慧城市、智慧社区等项目签约。</w:t>
      </w:r>
    </w:p>
    <w:p>
      <w:pPr>
        <w:ind w:left="32" w:right="244" w:firstLine="589"/>
        <w:spacing w:before="272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．积极探索灵活多样的数字政府建设运营模式，撬动更大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商机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5" w:right="236" w:firstLine="605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一是紧贴产业政策，积极参与产融平台合作创新，与当地政</w:t>
      </w:r>
      <w:r>
        <w:rPr>
          <w:rFonts w:ascii="SimSun" w:hAnsi="SimSun" w:eastAsia="SimSun" w:cs="SimSun"/>
          <w:sz w:val="30"/>
          <w:szCs w:val="30"/>
          <w:spacing w:val="-9"/>
        </w:rPr>
        <w:t>府共建创新中心、示范基地等， 抢占合作卡位全面赢单，提供从</w:t>
      </w:r>
      <w:r>
        <w:rPr>
          <w:rFonts w:ascii="SimSun" w:hAnsi="SimSun" w:eastAsia="SimSun" w:cs="SimSun"/>
          <w:sz w:val="30"/>
          <w:szCs w:val="30"/>
          <w:spacing w:val="-3"/>
        </w:rPr>
        <w:t>决策支持、项目建设到运营维护端到端服务。</w:t>
      </w:r>
    </w:p>
    <w:p>
      <w:pPr>
        <w:ind w:left="25" w:right="235" w:firstLine="605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二是探索多种形态的政企合作模式，与当地国投集团、管委</w:t>
      </w:r>
      <w:r>
        <w:rPr>
          <w:rFonts w:ascii="SimSun" w:hAnsi="SimSun" w:eastAsia="SimSun" w:cs="SimSun"/>
          <w:sz w:val="30"/>
          <w:szCs w:val="30"/>
          <w:spacing w:val="-9"/>
        </w:rPr>
        <w:t>会、社会资本等合作，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稳妥推进多种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PPP </w:t>
      </w:r>
      <w:r>
        <w:rPr>
          <w:rFonts w:ascii="SimSun" w:hAnsi="SimSun" w:eastAsia="SimSun" w:cs="SimSun"/>
          <w:sz w:val="30"/>
          <w:szCs w:val="30"/>
          <w:spacing w:val="-9"/>
        </w:rPr>
        <w:t>模式，加快探索流量变</w:t>
      </w:r>
      <w:r>
        <w:rPr>
          <w:rFonts w:ascii="SimSun" w:hAnsi="SimSun" w:eastAsia="SimSun" w:cs="SimSun"/>
          <w:sz w:val="30"/>
          <w:szCs w:val="30"/>
          <w:spacing w:val="-3"/>
        </w:rPr>
        <w:t>现、服务购买、数据价值开发等商业模式。</w:t>
      </w:r>
    </w:p>
    <w:p>
      <w:pPr>
        <w:spacing w:line="260" w:lineRule="auto"/>
        <w:sectPr>
          <w:pgSz w:w="11907" w:h="16839"/>
          <w:pgMar w:top="400" w:right="156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5" w:right="194" w:firstLine="559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虞苏妍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硕士，高级工程师，拥有二十年通信行业市场研究经</w:t>
      </w:r>
      <w:r>
        <w:rPr>
          <w:rFonts w:ascii="KaiTi" w:hAnsi="KaiTi" w:eastAsia="KaiTi" w:cs="KaiTi"/>
          <w:sz w:val="28"/>
          <w:szCs w:val="28"/>
          <w:spacing w:val="-1"/>
        </w:rPr>
        <w:t>验，主要研究方向为行业洞察、战略评估、营销策略等，近年来专</w:t>
      </w:r>
      <w:r>
        <w:rPr>
          <w:rFonts w:ascii="KaiTi" w:hAnsi="KaiTi" w:eastAsia="KaiTi" w:cs="KaiTi"/>
          <w:sz w:val="28"/>
          <w:szCs w:val="28"/>
          <w:spacing w:val="-5"/>
        </w:rPr>
        <w:t>注于产业数字化、数字政府等领域。【189018</w:t>
      </w:r>
      <w:r>
        <w:rPr>
          <w:rFonts w:ascii="KaiTi" w:hAnsi="KaiTi" w:eastAsia="KaiTi" w:cs="KaiTi"/>
          <w:sz w:val="28"/>
          <w:szCs w:val="28"/>
          <w:spacing w:val="-6"/>
        </w:rPr>
        <w:t>90016】</w:t>
      </w:r>
    </w:p>
    <w:p>
      <w:pPr>
        <w:ind w:left="34" w:right="194" w:firstLine="561"/>
        <w:spacing w:before="276" w:line="27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李国钦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硕士，中级经济师，情报中心科研人员，聚焦产业数</w:t>
      </w:r>
      <w:r>
        <w:rPr>
          <w:rFonts w:ascii="KaiTi" w:hAnsi="KaiTi" w:eastAsia="KaiTi" w:cs="KaiTi"/>
          <w:sz w:val="28"/>
          <w:szCs w:val="28"/>
          <w:spacing w:val="-1"/>
        </w:rPr>
        <w:t>字化和数字政府等领域，从事行业洞察研究等相关工作。</w:t>
      </w:r>
    </w:p>
    <w:p>
      <w:pPr>
        <w:ind w:left="23" w:right="194" w:firstLine="560"/>
        <w:spacing w:before="283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左芳芳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硕士，中级统计师，情报中心科研人员，长期从事数</w:t>
      </w:r>
      <w:r>
        <w:rPr>
          <w:rFonts w:ascii="KaiTi" w:hAnsi="KaiTi" w:eastAsia="KaiTi" w:cs="KaiTi"/>
          <w:sz w:val="28"/>
          <w:szCs w:val="28"/>
          <w:spacing w:val="-1"/>
        </w:rPr>
        <w:t>据分析、行业洞察研究等相关工作。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header" Target="header2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header" Target="header1.xml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2023-04-17T17:28:31Z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2025-11-04T15:54:44</vt:filetime>
  </property>
</Properties>
</file>