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20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医疗大模型发展趋势</w:t>
      </w:r>
    </w:p>
    <w:p>
      <w:pPr>
        <w:ind w:left="1969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及运营商发展方向建议</w:t>
      </w:r>
    </w:p>
    <w:p>
      <w:pPr>
        <w:ind w:left="1880"/>
        <w:spacing w:before="331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李国钦  柯晓燕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常佳琦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廖文凯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3" w:firstLine="614"/>
        <w:spacing w:before="9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9"/>
        </w:rPr>
        <w:t>随着</w:t>
      </w:r>
      <w:r>
        <w:rPr>
          <w:rFonts w:ascii="FangSong" w:hAnsi="FangSong" w:eastAsia="FangSong" w:cs="FangSong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ChatGPT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的风靡，国内人工智能大模型产品进入“千模</w:t>
      </w:r>
      <w:r>
        <w:rPr>
          <w:rFonts w:ascii="FangSong" w:hAnsi="FangSong" w:eastAsia="FangSong" w:cs="FangSong"/>
          <w:sz w:val="30"/>
          <w:szCs w:val="30"/>
          <w:spacing w:val="-4"/>
        </w:rPr>
        <w:t>大战”时代，医疗领域是大模型应用的重点领域之一，医疗</w:t>
      </w:r>
      <w:r>
        <w:rPr>
          <w:rFonts w:ascii="FangSong" w:hAnsi="FangSong" w:eastAsia="FangSong" w:cs="FangSong"/>
          <w:sz w:val="30"/>
          <w:szCs w:val="30"/>
          <w:spacing w:val="-5"/>
        </w:rPr>
        <w:t>大模</w:t>
      </w:r>
      <w:r>
        <w:rPr>
          <w:rFonts w:ascii="FangSong" w:hAnsi="FangSong" w:eastAsia="FangSong" w:cs="FangSong"/>
          <w:sz w:val="30"/>
          <w:szCs w:val="30"/>
          <w:spacing w:val="-11"/>
        </w:rPr>
        <w:t>型在医学影像诊断、临床决策、药物研发等方面将发挥重要作用。</w:t>
      </w:r>
      <w:r>
        <w:rPr>
          <w:rFonts w:ascii="FangSong" w:hAnsi="FangSong" w:eastAsia="FangSong" w:cs="FangSong"/>
          <w:sz w:val="30"/>
          <w:szCs w:val="30"/>
          <w:spacing w:val="-4"/>
        </w:rPr>
        <w:t>未来，医疗大模型将进一步融合多模态数据，实现自动</w:t>
      </w:r>
      <w:r>
        <w:rPr>
          <w:rFonts w:ascii="FangSong" w:hAnsi="FangSong" w:eastAsia="FangSong" w:cs="FangSong"/>
          <w:sz w:val="30"/>
          <w:szCs w:val="30"/>
          <w:spacing w:val="-5"/>
        </w:rPr>
        <w:t>化临床决</w:t>
      </w:r>
      <w:r>
        <w:rPr>
          <w:rFonts w:ascii="FangSong" w:hAnsi="FangSong" w:eastAsia="FangSong" w:cs="FangSong"/>
          <w:sz w:val="30"/>
          <w:szCs w:val="30"/>
          <w:spacing w:val="-4"/>
        </w:rPr>
        <w:t>策，以及个性化医疗服务的推广，为医疗领域带来深刻变革</w:t>
      </w:r>
      <w:r>
        <w:rPr>
          <w:rFonts w:ascii="FangSong" w:hAnsi="FangSong" w:eastAsia="FangSong" w:cs="FangSong"/>
          <w:sz w:val="30"/>
          <w:szCs w:val="30"/>
          <w:spacing w:val="-5"/>
        </w:rPr>
        <w:t>，助</w:t>
      </w:r>
      <w:r>
        <w:rPr>
          <w:rFonts w:ascii="FangSong" w:hAnsi="FangSong" w:eastAsia="FangSong" w:cs="FangSong"/>
          <w:sz w:val="30"/>
          <w:szCs w:val="30"/>
          <w:spacing w:val="-8"/>
        </w:rPr>
        <w:t>力智慧医院建设。本文从医疗大模型机遇分析入手，</w:t>
      </w:r>
      <w:r>
        <w:rPr>
          <w:rFonts w:ascii="FangSong" w:hAnsi="FangSong" w:eastAsia="FangSong" w:cs="FangSong"/>
          <w:sz w:val="30"/>
          <w:szCs w:val="30"/>
          <w:spacing w:val="-3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洞</w:t>
      </w:r>
      <w:r>
        <w:rPr>
          <w:rFonts w:ascii="FangSong" w:hAnsi="FangSong" w:eastAsia="FangSong" w:cs="FangSong"/>
          <w:sz w:val="30"/>
          <w:szCs w:val="30"/>
          <w:spacing w:val="-9"/>
        </w:rPr>
        <w:t>察医疗大</w:t>
      </w:r>
      <w:r>
        <w:rPr>
          <w:rFonts w:ascii="FangSong" w:hAnsi="FangSong" w:eastAsia="FangSong" w:cs="FangSong"/>
          <w:sz w:val="30"/>
          <w:szCs w:val="30"/>
          <w:spacing w:val="-2"/>
        </w:rPr>
        <w:t>模型的市场动态，提出中国电信医疗大模型发</w:t>
      </w:r>
      <w:r>
        <w:rPr>
          <w:rFonts w:ascii="FangSong" w:hAnsi="FangSong" w:eastAsia="FangSong" w:cs="FangSong"/>
          <w:sz w:val="30"/>
          <w:szCs w:val="30"/>
          <w:spacing w:val="-3"/>
        </w:rPr>
        <w:t>展方向建议。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一、医疗大模型发展及应用趋势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8" w:right="109" w:firstLine="608"/>
        <w:spacing w:before="98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．医疗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b/>
          <w:bCs/>
          <w:spacing w:val="-5"/>
        </w:rPr>
        <w:t>朝着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NLP</w:t>
      </w:r>
      <w:r>
        <w:rPr>
          <w:rFonts w:ascii="Times New Roman" w:hAnsi="Times New Roman" w:eastAsia="Times New Roman" w:cs="Times New Roman"/>
          <w:b/>
          <w:bCs/>
          <w:spacing w:val="-43"/>
        </w:rPr>
        <w:t xml:space="preserve"> </w:t>
      </w:r>
      <w:r>
        <w:rPr>
          <w:b/>
          <w:bCs/>
          <w:spacing w:val="-5"/>
        </w:rPr>
        <w:t>、</w:t>
      </w:r>
      <w:r>
        <w:rPr>
          <w:rFonts w:ascii="Times New Roman" w:hAnsi="Times New Roman" w:eastAsia="Times New Roman" w:cs="Times New Roman"/>
          <w:b/>
          <w:bCs/>
          <w:spacing w:val="-5"/>
        </w:rPr>
        <w:t>CV</w:t>
      </w:r>
      <w:r>
        <w:rPr>
          <w:b/>
          <w:bCs/>
          <w:spacing w:val="-5"/>
        </w:rPr>
        <w:t>、科学计算多模态大模型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5"/>
        </w:rPr>
        <w:t>通</w:t>
      </w:r>
      <w:r>
        <w:rPr>
          <w:b/>
          <w:bCs/>
          <w:spacing w:val="-5"/>
        </w:rPr>
        <w:t>用化方向发展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3" w:right="3" w:firstLine="593"/>
        <w:spacing w:before="97" w:line="333" w:lineRule="auto"/>
        <w:rPr/>
      </w:pPr>
      <w:r>
        <w:rPr>
          <w:rFonts w:ascii="Times New Roman" w:hAnsi="Times New Roman" w:eastAsia="Times New Roman" w:cs="Times New Roman"/>
          <w:spacing w:val="-4"/>
        </w:rPr>
        <w:t>AI+</w:t>
      </w:r>
      <w:r>
        <w:rPr>
          <w:spacing w:val="-4"/>
        </w:rPr>
        <w:t>医疗从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1.0 </w:t>
      </w:r>
      <w:r>
        <w:rPr>
          <w:spacing w:val="-4"/>
        </w:rPr>
        <w:t>发展到以大模型为关键技术的</w:t>
      </w:r>
      <w:r>
        <w:rPr>
          <w:rFonts w:ascii="Times New Roman" w:hAnsi="Times New Roman" w:eastAsia="Times New Roman" w:cs="Times New Roman"/>
          <w:spacing w:val="-4"/>
        </w:rPr>
        <w:t>4.0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4"/>
        </w:rPr>
        <w:t>阶段。医疗</w:t>
      </w:r>
      <w:r>
        <w:rPr>
          <w:spacing w:val="-4"/>
        </w:rPr>
        <w:t>大模型在“算法、算力、数据”三维度迭代创新，算法升级到如</w:t>
      </w:r>
      <w:r>
        <w:rPr>
          <w:rFonts w:ascii="Times New Roman" w:hAnsi="Times New Roman" w:eastAsia="Times New Roman" w:cs="Times New Roman"/>
          <w:spacing w:val="-7"/>
        </w:rPr>
        <w:t>TensorFlow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Caffe </w:t>
      </w:r>
      <w:r>
        <w:rPr>
          <w:spacing w:val="-7"/>
        </w:rPr>
        <w:t>等开源框架，以及卷积神经网络（</w:t>
      </w:r>
      <w:r>
        <w:rPr>
          <w:rFonts w:ascii="Times New Roman" w:hAnsi="Times New Roman" w:eastAsia="Times New Roman" w:cs="Times New Roman"/>
          <w:spacing w:val="-7"/>
        </w:rPr>
        <w:t>CNN</w:t>
      </w:r>
      <w:r>
        <w:rPr>
          <w:spacing w:val="-7"/>
        </w:rPr>
        <w:t>）、循</w:t>
      </w:r>
      <w:r>
        <w:rPr>
          <w:spacing w:val="-4"/>
        </w:rPr>
        <w:t>环神经网络（</w:t>
      </w:r>
      <w:r>
        <w:rPr>
          <w:rFonts w:ascii="Times New Roman" w:hAnsi="Times New Roman" w:eastAsia="Times New Roman" w:cs="Times New Roman"/>
          <w:spacing w:val="-4"/>
        </w:rPr>
        <w:t>RNN</w:t>
      </w:r>
      <w:r>
        <w:rPr>
          <w:spacing w:val="-4"/>
        </w:rPr>
        <w:t>）算法；数据由 </w:t>
      </w:r>
      <w:r>
        <w:rPr>
          <w:rFonts w:ascii="Times New Roman" w:hAnsi="Times New Roman" w:eastAsia="Times New Roman" w:cs="Times New Roman"/>
          <w:spacing w:val="-4"/>
        </w:rPr>
        <w:t>CT</w:t>
      </w:r>
      <w:r>
        <w:rPr>
          <w:spacing w:val="-4"/>
        </w:rPr>
        <w:t>、</w:t>
      </w:r>
      <w:r>
        <w:rPr>
          <w:spacing w:val="-5"/>
        </w:rPr>
        <w:t>超声、</w:t>
      </w:r>
      <w:r>
        <w:rPr>
          <w:rFonts w:ascii="Times New Roman" w:hAnsi="Times New Roman" w:eastAsia="Times New Roman" w:cs="Times New Roman"/>
          <w:spacing w:val="-5"/>
        </w:rPr>
        <w:t>X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5"/>
        </w:rPr>
        <w:t>光、心电图、</w:t>
      </w:r>
      <w:r>
        <w:rPr/>
        <w:t>病历等扩展到学术期刊、诊疗数据、实验数据、临床医疗研究、</w:t>
      </w:r>
      <w:r>
        <w:rPr>
          <w:spacing w:val="-4"/>
        </w:rPr>
        <w:t>可穿戴设备数据等；算力更强，</w:t>
      </w:r>
      <w:r>
        <w:rPr>
          <w:rFonts w:ascii="Times New Roman" w:hAnsi="Times New Roman" w:eastAsia="Times New Roman" w:cs="Times New Roman"/>
          <w:spacing w:val="-4"/>
        </w:rPr>
        <w:t>GPU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CPU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FPGA  </w:t>
      </w:r>
      <w:r>
        <w:rPr>
          <w:spacing w:val="-5"/>
        </w:rPr>
        <w:t>云计算资源</w:t>
      </w:r>
      <w:r>
        <w:rPr>
          <w:spacing w:val="-4"/>
        </w:rPr>
        <w:t>广泛应用</w:t>
      </w:r>
      <w:r>
        <w:rPr>
          <w:rFonts w:ascii="Times New Roman" w:hAnsi="Times New Roman" w:eastAsia="Times New Roman" w:cs="Times New Roman"/>
          <w:spacing w:val="-4"/>
        </w:rPr>
        <w:t>,</w:t>
      </w:r>
      <w:r>
        <w:rPr>
          <w:spacing w:val="-4"/>
        </w:rPr>
        <w:t>医疗大模型朝着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NLP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CV</w:t>
      </w:r>
      <w:r>
        <w:rPr>
          <w:spacing w:val="-4"/>
        </w:rPr>
        <w:t>、科学计算多模态大</w:t>
      </w:r>
      <w:r>
        <w:rPr>
          <w:spacing w:val="-5"/>
        </w:rPr>
        <w:t>模型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spacing w:val="-4"/>
        </w:rPr>
        <w:t>通用化方向发展实现，更好地处理复杂的数据关系、输出更准确</w:t>
      </w:r>
    </w:p>
    <w:p>
      <w:pPr>
        <w:spacing w:line="333" w:lineRule="auto"/>
        <w:sectPr>
          <w:pgSz w:w="11907" w:h="16839"/>
          <w:pgMar w:top="1431" w:right="1688" w:bottom="0" w:left="1785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6" w:firstLine="24"/>
        <w:spacing w:before="98" w:line="297" w:lineRule="auto"/>
        <w:jc w:val="both"/>
        <w:rPr/>
      </w:pPr>
      <w:r>
        <w:rPr>
          <w:spacing w:val="-6"/>
        </w:rPr>
        <w:t>的预测和诊断结果，促进医疗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IT </w:t>
      </w:r>
      <w:r>
        <w:rPr>
          <w:spacing w:val="-6"/>
        </w:rPr>
        <w:t>基础设施</w:t>
      </w:r>
      <w:r>
        <w:rPr>
          <w:spacing w:val="-7"/>
        </w:rPr>
        <w:t>全面转向云基础设施，</w:t>
      </w:r>
      <w:r>
        <w:rPr>
          <w:spacing w:val="-3"/>
        </w:rPr>
        <w:t>包括医疗云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IaaS </w:t>
      </w:r>
      <w:r>
        <w:rPr>
          <w:spacing w:val="-3"/>
        </w:rPr>
        <w:t>和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PaaS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的部署，多云形成混合云的态势将加速</w:t>
      </w:r>
      <w:r>
        <w:rPr>
          <w:spacing w:val="-13"/>
        </w:rPr>
        <w:t>发展。</w:t>
      </w:r>
    </w:p>
    <w:p>
      <w:pPr>
        <w:ind w:firstLine="5392"/>
        <w:spacing w:line="311" w:lineRule="exact"/>
        <w:rPr/>
      </w:pPr>
      <w:r>
        <w:rPr>
          <w:position w:val="-6"/>
        </w:rPr>
        <w:pict>
          <v:shape id="_x0000_s2" style="mso-position-vertical-relative:line;mso-position-horizontal-relative:char;width:73.3pt;height:15.6pt;" fillcolor="#69A35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7"/>
                    <w:spacing w:before="147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</w:rPr>
                    <w:t>AI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14"/>
                    </w:rPr>
                    <w:t>4.0: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FFFFFF"/>
                      <w:spacing w:val="14"/>
                    </w:rPr>
                    <w:t>大模型</w:t>
                  </w:r>
                </w:p>
              </w:txbxContent>
            </v:textbox>
          </v:shape>
        </w:pict>
      </w:r>
    </w:p>
    <w:p>
      <w:pPr>
        <w:spacing w:line="90" w:lineRule="exact"/>
        <w:rPr/>
      </w:pPr>
      <w:r/>
    </w:p>
    <w:p>
      <w:pPr>
        <w:spacing w:line="90" w:lineRule="exact"/>
        <w:sectPr>
          <w:headerReference w:type="default" r:id="rId1"/>
          <w:pgSz w:w="11907" w:h="16839"/>
          <w:pgMar w:top="400" w:right="1717" w:bottom="0" w:left="1785" w:header="0" w:footer="0" w:gutter="0"/>
          <w:cols w:equalWidth="0" w:num="1">
            <w:col w:w="8404" w:space="0"/>
          </w:cols>
        </w:sectPr>
        <w:rPr/>
      </w:pPr>
    </w:p>
    <w:p>
      <w:pPr>
        <w:ind w:firstLine="2588"/>
        <w:spacing w:before="203" w:line="307" w:lineRule="exact"/>
        <w:rPr/>
      </w:pPr>
      <w:r>
        <w:rPr>
          <w:position w:val="-6"/>
        </w:rPr>
        <w:pict>
          <v:shape id="_x0000_s4" style="mso-position-vertical-relative:line;mso-position-horizontal-relative:char;width:73.1pt;height:15.35pt;" fillcolor="#3498D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5"/>
                    <w:spacing w:before="117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</w:rPr>
                    <w:t>AI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6"/>
                    </w:rPr>
                    <w:t>2.0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FFFFFF"/>
                      <w:spacing w:val="6"/>
                    </w:rPr>
                    <w:t>：机器学习</w:t>
                  </w:r>
                </w:p>
              </w:txbxContent>
            </v:textbox>
          </v:shape>
        </w:pict>
      </w:r>
    </w:p>
    <w:p>
      <w:pPr>
        <w:ind w:left="2696" w:right="163"/>
        <w:spacing w:before="106" w:line="190" w:lineRule="auto"/>
        <w:rPr>
          <w:rFonts w:ascii="Microsoft YaHei" w:hAnsi="Microsoft YaHei" w:eastAsia="Microsoft YaHei" w:cs="Microsoft YaHei"/>
          <w:sz w:val="12"/>
          <w:szCs w:val="1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1268776</wp:posOffset>
            </wp:positionH>
            <wp:positionV relativeFrom="paragraph">
              <wp:posOffset>191540</wp:posOffset>
            </wp:positionV>
            <wp:extent cx="2621854" cy="52210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1854" cy="52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spacing w:val="15"/>
        </w:rPr>
        <w:t>机器学习时代，统计机器学</w:t>
      </w: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习被应用于疾病早筛预测、</w:t>
      </w: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患病风险预测等诸多领域。</w:t>
      </w:r>
    </w:p>
    <w:p>
      <w:pPr>
        <w:ind w:firstLine="3177"/>
        <w:spacing w:line="281" w:lineRule="exact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1126898</wp:posOffset>
            </wp:positionH>
            <wp:positionV relativeFrom="paragraph">
              <wp:posOffset>307872</wp:posOffset>
            </wp:positionV>
            <wp:extent cx="179103" cy="17898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103" cy="17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79103" cy="17898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103" cy="17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73" w:right="905" w:hanging="73"/>
        <w:spacing w:before="25" w:line="20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大规模数据预训练得到的大模型</w:t>
      </w:r>
      <w:r>
        <w:rPr>
          <w:rFonts w:ascii="Microsoft YaHei" w:hAnsi="Microsoft YaHei" w:eastAsia="Microsoft YaHei" w:cs="Microsoft YaHei"/>
          <w:sz w:val="12"/>
          <w:szCs w:val="12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，</w:t>
      </w:r>
      <w:r>
        <w:rPr>
          <w:rFonts w:ascii="Microsoft YaHei" w:hAnsi="Microsoft YaHei" w:eastAsia="Microsoft YaHei" w:cs="Microsoft YaHei"/>
          <w:sz w:val="12"/>
          <w:szCs w:val="12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NLP</w:t>
      </w: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、</w:t>
      </w:r>
      <w:r>
        <w:rPr>
          <w:rFonts w:ascii="Microsoft YaHei" w:hAnsi="Microsoft YaHei" w:eastAsia="Microsoft YaHei" w:cs="Microsoft YaHei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CV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spacing w:val="18"/>
        </w:rPr>
        <w:t>、科学计算多模态大模型提高了人</w:t>
      </w: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工智能的语意学习、复杂推理等能力，</w:t>
      </w:r>
    </w:p>
    <w:p>
      <w:pPr>
        <w:ind w:left="777"/>
        <w:spacing w:line="129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5"/>
        </w:rPr>
        <w:t>显著增强模型的通用性、泛化性</w:t>
      </w:r>
    </w:p>
    <w:p>
      <w:pPr>
        <w:ind w:firstLine="1403"/>
        <w:spacing w:line="280" w:lineRule="exact"/>
        <w:rPr/>
      </w:pPr>
      <w:r>
        <w:rPr>
          <w:position w:val="-5"/>
        </w:rPr>
        <w:drawing>
          <wp:inline distT="0" distB="0" distL="0" distR="0">
            <wp:extent cx="179103" cy="17782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103" cy="1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282" w:lineRule="exact"/>
        <w:rPr/>
      </w:pPr>
      <w:r>
        <w:rPr>
          <w:position w:val="-5"/>
        </w:rPr>
        <w:drawing>
          <wp:inline distT="0" distB="0" distL="0" distR="0">
            <wp:extent cx="179103" cy="17898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103" cy="17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exact"/>
        <w:sectPr>
          <w:type w:val="continuous"/>
          <w:pgSz w:w="11907" w:h="16839"/>
          <w:pgMar w:top="400" w:right="1717" w:bottom="0" w:left="1785" w:header="0" w:footer="0" w:gutter="0"/>
          <w:cols w:equalWidth="0" w:num="2">
            <w:col w:w="4482" w:space="100"/>
            <w:col w:w="3823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type w:val="continuous"/>
          <w:pgSz w:w="11907" w:h="16839"/>
          <w:pgMar w:top="400" w:right="1717" w:bottom="0" w:left="1785" w:header="0" w:footer="0" w:gutter="0"/>
          <w:cols w:equalWidth="0" w:num="1">
            <w:col w:w="8404" w:space="0"/>
          </w:cols>
        </w:sectPr>
        <w:rPr/>
      </w:pPr>
    </w:p>
    <w:p>
      <w:pPr>
        <w:ind w:firstLine="1869"/>
        <w:spacing w:before="28" w:line="89" w:lineRule="exact"/>
        <w:rPr/>
      </w:pPr>
      <w:r>
        <w:rPr>
          <w:position w:val="-1"/>
        </w:rPr>
        <w:pict>
          <v:shape id="_x0000_s6" style="mso-position-vertical-relative:line;mso-position-horizontal-relative:char;width:4.6pt;height:4.45pt;" fillcolor="#1F74AD" filled="true" stroked="false" coordsize="91,88" coordorigin="0,0" path="m0,46c2,19,21,0,46,0c71,0,91,19,91,44c91,69,71,88,46,88c21,88,2,69,0,46e"/>
        </w:pict>
      </w:r>
    </w:p>
    <w:p>
      <w:pPr>
        <w:ind w:firstLine="1184"/>
        <w:spacing w:before="159" w:line="306" w:lineRule="exact"/>
        <w:rPr/>
      </w:pPr>
      <w:r>
        <w:rPr>
          <w:position w:val="-6"/>
        </w:rPr>
        <w:pict>
          <v:shape id="_x0000_s8" style="mso-position-vertical-relative:line;mso-position-horizontal-relative:char;width:73.1pt;height:15.35pt;" fillcolor="#1F74A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08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</w:rPr>
                    <w:t>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</w:rPr>
                    <w:t>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3"/>
                    </w:rPr>
                    <w:t xml:space="preserve"> 1 .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3"/>
                    </w:rPr>
                    <w:t>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FFFFFF"/>
                      <w:spacing w:val="3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FFFFFF"/>
                      <w:spacing w:val="3"/>
                    </w:rPr>
                    <w:t>专家系统</w:t>
                  </w:r>
                </w:p>
              </w:txbxContent>
            </v:textbox>
          </v:shape>
        </w:pict>
      </w:r>
    </w:p>
    <w:p>
      <w:pPr>
        <w:ind w:left="869"/>
        <w:spacing w:before="111" w:line="197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4"/>
        </w:rPr>
        <w:t>以基于数理逻辑的符号逻辑为基础，</w:t>
      </w:r>
    </w:p>
    <w:p>
      <w:pPr>
        <w:ind w:left="865"/>
        <w:spacing w:before="8" w:line="198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5"/>
        </w:rPr>
        <w:t>基于符号知识推理的临床决策支持系</w:t>
      </w:r>
    </w:p>
    <w:p>
      <w:pPr>
        <w:ind w:left="871"/>
        <w:spacing w:before="7" w:line="193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5"/>
        </w:rPr>
        <w:t>统（</w:t>
      </w:r>
      <w:r>
        <w:rPr>
          <w:rFonts w:ascii="Arial" w:hAnsi="Arial" w:eastAsia="Arial" w:cs="Arial"/>
          <w:sz w:val="12"/>
          <w:szCs w:val="12"/>
        </w:rPr>
        <w:t>CD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SS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spacing w:val="15"/>
        </w:rPr>
        <w:t>）产生，通过逻辑推理和</w:t>
      </w:r>
    </w:p>
    <w:p>
      <w:pPr>
        <w:ind w:left="942"/>
        <w:spacing w:before="12" w:line="183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匹帮助医生进行诊断与治疗推荐。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06"/>
        <w:spacing w:line="309" w:lineRule="exact"/>
        <w:rPr/>
      </w:pPr>
      <w:r>
        <w:rPr>
          <w:position w:val="-6"/>
        </w:rPr>
        <w:pict>
          <v:shape id="_x0000_s10" style="mso-position-vertical-relative:line;mso-position-horizontal-relative:char;width:73.1pt;height:15.6pt;" fillcolor="#1AA3A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0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</w:rPr>
                    <w:t>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</w:rPr>
                    <w:t>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2"/>
                    </w:rPr>
                    <w:t>3 .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2"/>
                    </w:rPr>
                    <w:t>0 :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FFFFFF"/>
                      <w:spacing w:val="2"/>
                    </w:rPr>
                    <w:t>深度学习</w:t>
                  </w:r>
                </w:p>
              </w:txbxContent>
            </v:textbox>
          </v:shape>
        </w:pict>
      </w:r>
    </w:p>
    <w:p>
      <w:pPr>
        <w:ind w:left="26"/>
        <w:spacing w:before="108" w:line="19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经过深度学习</w:t>
      </w:r>
      <w:r>
        <w:rPr>
          <w:rFonts w:ascii="Microsoft YaHei" w:hAnsi="Microsoft YaHei" w:eastAsia="Microsoft YaHei" w:cs="Microsoft YaHei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2"/>
        </w:rPr>
        <w:t>+</w:t>
      </w:r>
      <w:r>
        <w:rPr>
          <w:rFonts w:ascii="Arial" w:hAnsi="Arial" w:eastAsia="Arial" w:cs="Arial"/>
          <w:sz w:val="12"/>
          <w:szCs w:val="12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大数据驱动的技术</w:t>
      </w:r>
    </w:p>
    <w:p>
      <w:pPr>
        <w:spacing w:before="8" w:line="197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5"/>
        </w:rPr>
        <w:t>进步。深度学习技术在医学影像等</w:t>
      </w:r>
    </w:p>
    <w:p>
      <w:pPr>
        <w:ind w:left="271"/>
        <w:spacing w:before="8" w:line="198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4"/>
        </w:rPr>
        <w:t>特定领域取得了显著成果</w:t>
      </w:r>
    </w:p>
    <w:p>
      <w:pPr>
        <w:spacing w:line="198" w:lineRule="auto"/>
        <w:sectPr>
          <w:type w:val="continuous"/>
          <w:pgSz w:w="11907" w:h="16839"/>
          <w:pgMar w:top="400" w:right="1717" w:bottom="0" w:left="1785" w:header="0" w:footer="0" w:gutter="0"/>
          <w:cols w:equalWidth="0" w:num="2">
            <w:col w:w="3787" w:space="100"/>
            <w:col w:w="4518" w:space="0"/>
          </w:cols>
        </w:sectPr>
        <w:rPr>
          <w:rFonts w:ascii="Microsoft YaHei" w:hAnsi="Microsoft YaHei" w:eastAsia="Microsoft YaHei" w:cs="Microsoft YaHei"/>
          <w:sz w:val="12"/>
          <w:szCs w:val="12"/>
        </w:rPr>
      </w:pPr>
    </w:p>
    <w:p>
      <w:pPr>
        <w:ind w:left="2407"/>
        <w:spacing w:before="155" w:line="23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9"/>
        </w:rPr>
        <w:t>图</w:t>
      </w:r>
      <w:r>
        <w:rPr>
          <w:rFonts w:ascii="KaiTi" w:hAnsi="KaiTi" w:eastAsia="KaiTi" w:cs="KaiTi"/>
          <w:sz w:val="30"/>
          <w:szCs w:val="3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    AI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医疗发展演进进程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6" w:right="91" w:firstLine="597"/>
        <w:spacing w:before="98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．利好政策和市场医疗资源分布不均衡推动医疗大模型落</w:t>
      </w:r>
      <w:r>
        <w:rPr>
          <w:b/>
          <w:bCs/>
          <w:spacing w:val="-7"/>
        </w:rPr>
        <w:t>地应用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5" w:right="77" w:firstLine="599"/>
        <w:spacing w:before="98" w:line="333" w:lineRule="auto"/>
        <w:jc w:val="both"/>
        <w:rPr/>
      </w:pPr>
      <w:r>
        <w:rPr>
          <w:spacing w:val="-4"/>
        </w:rPr>
        <w:t>近五年来，国家陆续出台了大量医疗产业的相关发展规</w:t>
      </w:r>
      <w:r>
        <w:rPr>
          <w:spacing w:val="-5"/>
        </w:rPr>
        <w:t>划和</w:t>
      </w:r>
      <w:r>
        <w:rPr>
          <w:spacing w:val="-4"/>
        </w:rPr>
        <w:t>政策文件，强调了信息化和新一代信息技术对医疗产业的重要支</w:t>
      </w:r>
      <w:r>
        <w:rPr>
          <w:spacing w:val="-4"/>
        </w:rPr>
        <w:t>撑作用。在“健康中国”战略推动下，医疗正在由提供“医疗保</w:t>
      </w:r>
      <w:r>
        <w:rPr>
          <w:spacing w:val="-3"/>
        </w:rPr>
        <w:t>障”向提供“健康服务”智慧化、信息化、定</w:t>
      </w:r>
      <w:r>
        <w:rPr>
          <w:spacing w:val="-4"/>
        </w:rPr>
        <w:t>制化的转型，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spacing w:val="-5"/>
        </w:rPr>
        <w:t>年国家药监局器审中心发布《人工智能医疗器械注册审查指导原</w:t>
      </w:r>
      <w:r>
        <w:rPr>
          <w:spacing w:val="-7"/>
        </w:rPr>
        <w:t>则》，树立了明确的注册规定和标准，推动了</w:t>
      </w:r>
      <w:r>
        <w:rPr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AI+</w:t>
      </w:r>
      <w:r>
        <w:rPr>
          <w:spacing w:val="-7"/>
        </w:rPr>
        <w:t>器械领域的规</w:t>
      </w:r>
      <w:r>
        <w:rPr>
          <w:spacing w:val="-9"/>
        </w:rPr>
        <w:t>范化发展。</w:t>
      </w:r>
    </w:p>
    <w:p>
      <w:pPr>
        <w:pStyle w:val="BodyText"/>
        <w:ind w:left="27" w:right="81" w:firstLine="593"/>
        <w:spacing w:before="275" w:line="296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2023  </w:t>
      </w:r>
      <w:r>
        <w:rPr>
          <w:spacing w:val="1"/>
        </w:rPr>
        <w:t>年国务院印发《关于进一步完善医疗卫生服务体系的</w:t>
      </w:r>
      <w:r>
        <w:rPr>
          <w:spacing w:val="-10"/>
        </w:rPr>
        <w:t>意见》，指出发展“互联网</w:t>
      </w:r>
      <w:r>
        <w:rPr>
          <w:rFonts w:ascii="Times New Roman" w:hAnsi="Times New Roman" w:eastAsia="Times New Roman" w:cs="Times New Roman"/>
          <w:spacing w:val="-10"/>
        </w:rPr>
        <w:t>+</w:t>
      </w:r>
      <w:r>
        <w:rPr>
          <w:spacing w:val="-10"/>
        </w:rPr>
        <w:t>医疗健康”，加快推进互联网、物联</w:t>
      </w:r>
      <w:r>
        <w:rPr>
          <w:spacing w:val="-4"/>
        </w:rPr>
        <w:t>网、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、云计算等应用。城乡医疗供给矛盾突</w:t>
      </w:r>
      <w:r>
        <w:rPr>
          <w:spacing w:val="-5"/>
        </w:rPr>
        <w:t>出，大模型等数字</w:t>
      </w:r>
      <w:r>
        <w:rPr>
          <w:spacing w:val="-9"/>
        </w:rPr>
        <w:t>技术发展推动区域医疗资源均衡发展。我国老龄化程度加深， 医</w:t>
      </w:r>
    </w:p>
    <w:p>
      <w:pPr>
        <w:spacing w:line="296" w:lineRule="auto"/>
        <w:sectPr>
          <w:type w:val="continuous"/>
          <w:pgSz w:w="11907" w:h="16839"/>
          <w:pgMar w:top="400" w:right="1717" w:bottom="0" w:left="1785" w:header="0" w:footer="0" w:gutter="0"/>
          <w:cols w:equalWidth="0" w:num="1">
            <w:col w:w="8404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5" w:right="101"/>
        <w:spacing w:before="98" w:line="331" w:lineRule="auto"/>
        <w:jc w:val="both"/>
        <w:rPr/>
      </w:pPr>
      <w:r>
        <w:rPr>
          <w:spacing w:val="-2"/>
        </w:rPr>
        <w:t>疗资源分布不均问题依然突出，</w:t>
      </w:r>
      <w:r>
        <w:rPr>
          <w:rFonts w:ascii="Times New Roman" w:hAnsi="Times New Roman" w:eastAsia="Times New Roman" w:cs="Times New Roman"/>
          <w:spacing w:val="-2"/>
        </w:rPr>
        <w:t>60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2"/>
        </w:rPr>
        <w:t>岁、</w:t>
      </w:r>
      <w:r>
        <w:rPr>
          <w:rFonts w:ascii="Times New Roman" w:hAnsi="Times New Roman" w:eastAsia="Times New Roman" w:cs="Times New Roman"/>
          <w:spacing w:val="-2"/>
        </w:rPr>
        <w:t>65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2"/>
        </w:rPr>
        <w:t>岁及以上农村老年人</w:t>
      </w:r>
      <w:r>
        <w:rPr>
          <w:spacing w:val="-6"/>
        </w:rPr>
        <w:t>口占比远高于城镇，分别为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23.81%</w:t>
      </w:r>
      <w:r>
        <w:rPr>
          <w:spacing w:val="-6"/>
        </w:rPr>
        <w:t>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17.72%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10"/>
        </w:rPr>
        <w:t>1</w:t>
      </w:r>
      <w:r>
        <w:rPr>
          <w:spacing w:val="-6"/>
        </w:rPr>
        <w:t>；</w:t>
      </w: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年我国县域</w:t>
      </w:r>
      <w:r>
        <w:rPr>
          <w:spacing w:val="-1"/>
        </w:rPr>
        <w:t>各类医疗卫生机构数共有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651390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1"/>
        </w:rPr>
        <w:t>个，千人口</w:t>
      </w:r>
      <w:r>
        <w:rPr>
          <w:spacing w:val="-2"/>
        </w:rPr>
        <w:t>卫生技术人员、执</w:t>
      </w:r>
      <w:r>
        <w:rPr>
          <w:spacing w:val="-2"/>
        </w:rPr>
        <w:t>业（助理）医师和注册护士分别为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6.27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人、</w:t>
      </w: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-3"/>
        </w:rPr>
        <w:t>42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人和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2.64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人，</w:t>
      </w:r>
      <w:r>
        <w:rPr>
          <w:spacing w:val="-9"/>
        </w:rPr>
        <w:t>远远低于城市水平。我国医务人员短缺， 以医疗影像为例，目前</w:t>
      </w:r>
      <w:r>
        <w:rPr>
          <w:spacing w:val="-5"/>
        </w:rPr>
        <w:t>我国医疗影像数据的年增长率高达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30%</w:t>
      </w:r>
      <w:r>
        <w:rPr>
          <w:spacing w:val="-5"/>
        </w:rPr>
        <w:t>，但是影像科的医生年增</w:t>
      </w:r>
      <w:r>
        <w:rPr>
          <w:spacing w:val="-2"/>
        </w:rPr>
        <w:t>长率却只有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4%</w:t>
      </w:r>
      <w:r>
        <w:rPr>
          <w:spacing w:val="-2"/>
        </w:rPr>
        <w:t>，考虑医生的培训周期，人员缺口很大，急需智</w:t>
      </w:r>
      <w:r>
        <w:rPr>
          <w:spacing w:val="-5"/>
        </w:rPr>
        <w:t>能化应用辅助医生诊断。</w:t>
      </w:r>
    </w:p>
    <w:p>
      <w:pPr>
        <w:pStyle w:val="BodyText"/>
        <w:ind w:left="26" w:right="113" w:firstLine="595"/>
        <w:spacing w:before="298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．医疗大模型有医疗服务、医药研发及器械制造三大落地</w:t>
      </w:r>
      <w:r>
        <w:rPr>
          <w:b/>
          <w:bCs/>
          <w:spacing w:val="-3"/>
        </w:rPr>
        <w:t>应用方向，医疗服务成熟度最高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1358"/>
        <w:spacing w:before="98" w:line="233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    </w:t>
      </w:r>
      <w:r>
        <w:rPr>
          <w:rFonts w:ascii="KaiTi" w:hAnsi="KaiTi" w:eastAsia="KaiTi" w:cs="KaiTi"/>
          <w:sz w:val="30"/>
          <w:szCs w:val="30"/>
          <w:spacing w:val="-2"/>
        </w:rPr>
        <w:t>相对成熟医疗大模型及应用场景一览</w:t>
      </w:r>
    </w:p>
    <w:p>
      <w:pPr>
        <w:spacing w:line="147" w:lineRule="exact"/>
        <w:rPr/>
      </w:pPr>
      <w:r/>
    </w:p>
    <w:tbl>
      <w:tblPr>
        <w:tblStyle w:val="TableNormal"/>
        <w:tblW w:w="8306" w:type="dxa"/>
        <w:tblInd w:w="14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407"/>
        <w:gridCol w:w="1119"/>
        <w:gridCol w:w="1410"/>
        <w:gridCol w:w="3363"/>
        <w:gridCol w:w="1007"/>
      </w:tblGrid>
      <w:tr>
        <w:trPr>
          <w:trHeight w:val="378" w:hRule="atLeast"/>
        </w:trPr>
        <w:tc>
          <w:tcPr>
            <w:shd w:val="clear" w:fill="1F74AD"/>
            <w:tcW w:w="140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78"/>
              <w:spacing w:before="13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8"/>
              </w:rPr>
              <w:t>模型名称</w:t>
            </w:r>
          </w:p>
        </w:tc>
        <w:tc>
          <w:tcPr>
            <w:shd w:val="clear" w:fill="1F74AD"/>
            <w:tcW w:w="1119" w:type="dxa"/>
            <w:vAlign w:val="top"/>
            <w:tcBorders>
              <w:top w:val="nil"/>
            </w:tcBorders>
          </w:tcPr>
          <w:p>
            <w:pPr>
              <w:pStyle w:val="TableText"/>
              <w:ind w:left="232"/>
              <w:spacing w:before="13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8"/>
              </w:rPr>
              <w:t>公司名称</w:t>
            </w:r>
          </w:p>
        </w:tc>
        <w:tc>
          <w:tcPr>
            <w:shd w:val="clear" w:fill="1F74AD"/>
            <w:tcW w:w="1410" w:type="dxa"/>
            <w:vAlign w:val="top"/>
            <w:tcBorders>
              <w:top w:val="nil"/>
            </w:tcBorders>
          </w:tcPr>
          <w:p>
            <w:pPr>
              <w:pStyle w:val="TableText"/>
              <w:ind w:left="379"/>
              <w:spacing w:before="13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8"/>
              </w:rPr>
              <w:t>基座模型</w:t>
            </w:r>
          </w:p>
        </w:tc>
        <w:tc>
          <w:tcPr>
            <w:shd w:val="clear" w:fill="1F74AD"/>
            <w:tcW w:w="3363" w:type="dxa"/>
            <w:vAlign w:val="top"/>
            <w:tcBorders>
              <w:top w:val="nil"/>
            </w:tcBorders>
          </w:tcPr>
          <w:p>
            <w:pPr>
              <w:pStyle w:val="TableText"/>
              <w:ind w:left="1355"/>
              <w:spacing w:before="137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8"/>
              </w:rPr>
              <w:t>应用场景</w:t>
            </w:r>
          </w:p>
        </w:tc>
        <w:tc>
          <w:tcPr>
            <w:shd w:val="clear" w:fill="1F74AD"/>
            <w:tcW w:w="1007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99"/>
              <w:spacing w:before="13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9"/>
              </w:rPr>
              <w:t>算力提供商</w:t>
            </w:r>
          </w:p>
        </w:tc>
      </w:tr>
      <w:tr>
        <w:trPr>
          <w:trHeight w:val="385" w:hRule="atLeast"/>
        </w:trPr>
        <w:tc>
          <w:tcPr>
            <w:shd w:val="clear" w:fill="A4C3F0"/>
            <w:tcW w:w="1407" w:type="dxa"/>
            <w:vAlign w:val="top"/>
            <w:tcBorders>
              <w:left w:val="nil"/>
            </w:tcBorders>
          </w:tcPr>
          <w:p>
            <w:pPr>
              <w:pStyle w:val="TableText"/>
              <w:ind w:left="221"/>
              <w:spacing w:before="54" w:line="186" w:lineRule="auto"/>
              <w:rPr/>
            </w:pPr>
            <w:r>
              <w:rPr>
                <w:spacing w:val="3"/>
              </w:rPr>
              <w:t>Dragon Ambient</w:t>
            </w:r>
          </w:p>
          <w:p>
            <w:pPr>
              <w:pStyle w:val="TableText"/>
              <w:ind w:left="124"/>
              <w:spacing w:before="22" w:line="161" w:lineRule="auto"/>
              <w:rPr/>
            </w:pPr>
            <w:r>
              <w:rPr/>
              <w:t>eXperience</w:t>
            </w:r>
            <w:r>
              <w:rPr>
                <w:spacing w:val="25"/>
              </w:rPr>
              <w:t>（</w:t>
            </w:r>
            <w:r>
              <w:rPr/>
              <w:t>DAX</w:t>
            </w:r>
            <w:r>
              <w:rPr>
                <w:spacing w:val="25"/>
              </w:rPr>
              <w:t>）</w:t>
            </w:r>
          </w:p>
        </w:tc>
        <w:tc>
          <w:tcPr>
            <w:shd w:val="clear" w:fill="A4C3F0"/>
            <w:tcW w:w="1119" w:type="dxa"/>
            <w:vAlign w:val="top"/>
          </w:tcPr>
          <w:p>
            <w:pPr>
              <w:pStyle w:val="TableText"/>
              <w:ind w:left="159"/>
              <w:spacing w:before="145" w:line="203" w:lineRule="auto"/>
              <w:rPr/>
            </w:pPr>
            <w:r>
              <w:rPr/>
              <w:t>Nuance</w:t>
            </w:r>
            <w:r>
              <w:rPr>
                <w:spacing w:val="11"/>
              </w:rPr>
              <w:t>和微软</w:t>
            </w:r>
          </w:p>
        </w:tc>
        <w:tc>
          <w:tcPr>
            <w:shd w:val="clear" w:fill="A4C3F0"/>
            <w:tcW w:w="1410" w:type="dxa"/>
            <w:vAlign w:val="top"/>
          </w:tcPr>
          <w:p>
            <w:pPr>
              <w:pStyle w:val="TableText"/>
              <w:ind w:left="535"/>
              <w:spacing w:before="146" w:line="220" w:lineRule="auto"/>
              <w:rPr/>
            </w:pPr>
            <w:r>
              <w:rPr/>
              <w:t>GPT</w:t>
            </w:r>
            <w:r>
              <w:rPr>
                <w:spacing w:val="7"/>
              </w:rPr>
              <w:t>-4</w:t>
            </w:r>
          </w:p>
        </w:tc>
        <w:tc>
          <w:tcPr>
            <w:shd w:val="clear" w:fill="A4C3F0"/>
            <w:tcW w:w="3363" w:type="dxa"/>
            <w:vAlign w:val="top"/>
          </w:tcPr>
          <w:p>
            <w:pPr>
              <w:pStyle w:val="TableText"/>
              <w:ind w:left="45"/>
              <w:spacing w:before="145" w:line="202" w:lineRule="auto"/>
              <w:rPr/>
            </w:pPr>
            <w:r>
              <w:rPr>
                <w:spacing w:val="7"/>
              </w:rPr>
              <w:t>对话式输入数据，自动生成电子病历，导入医</w:t>
            </w:r>
            <w:r>
              <w:rPr>
                <w:spacing w:val="6"/>
              </w:rPr>
              <w:t>疗信息化系统</w:t>
            </w:r>
          </w:p>
        </w:tc>
        <w:tc>
          <w:tcPr>
            <w:shd w:val="clear" w:fill="A4C3F0"/>
            <w:tcW w:w="1007" w:type="dxa"/>
            <w:vAlign w:val="top"/>
            <w:tcBorders>
              <w:right w:val="nil"/>
            </w:tcBorders>
          </w:tcPr>
          <w:p>
            <w:pPr>
              <w:pStyle w:val="TableText"/>
              <w:ind w:left="393"/>
              <w:spacing w:before="145" w:line="203" w:lineRule="auto"/>
              <w:rPr/>
            </w:pPr>
            <w:r>
              <w:rPr>
                <w:spacing w:val="6"/>
              </w:rPr>
              <w:t>微软</w:t>
            </w:r>
          </w:p>
        </w:tc>
      </w:tr>
      <w:tr>
        <w:trPr>
          <w:trHeight w:val="216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</w:tcBorders>
          </w:tcPr>
          <w:p>
            <w:pPr>
              <w:pStyle w:val="TableText"/>
              <w:ind w:left="445"/>
              <w:spacing w:before="65" w:line="164" w:lineRule="auto"/>
              <w:rPr/>
            </w:pPr>
            <w:r>
              <w:rPr/>
              <w:t>GBI</w:t>
            </w:r>
            <w:r>
              <w:rPr>
                <w:spacing w:val="23"/>
              </w:rPr>
              <w:t>—</w:t>
            </w:r>
            <w:r>
              <w:rPr/>
              <w:t>Bot</w:t>
            </w:r>
          </w:p>
        </w:tc>
        <w:tc>
          <w:tcPr>
            <w:shd w:val="clear" w:fill="D8DFF5"/>
            <w:tcW w:w="1119" w:type="dxa"/>
            <w:vAlign w:val="top"/>
          </w:tcPr>
          <w:p>
            <w:pPr>
              <w:pStyle w:val="TableText"/>
              <w:ind w:left="446"/>
              <w:spacing w:before="61" w:line="168" w:lineRule="auto"/>
              <w:rPr/>
            </w:pPr>
            <w:r>
              <w:rPr>
                <w:spacing w:val="5"/>
              </w:rPr>
              <w:t>百度</w:t>
            </w:r>
          </w:p>
        </w:tc>
        <w:tc>
          <w:tcPr>
            <w:shd w:val="clear" w:fill="D8DFF5"/>
            <w:tcW w:w="1410" w:type="dxa"/>
            <w:vAlign w:val="top"/>
          </w:tcPr>
          <w:p>
            <w:pPr>
              <w:pStyle w:val="TableText"/>
              <w:ind w:left="465"/>
              <w:spacing w:before="61" w:line="168" w:lineRule="auto"/>
              <w:rPr/>
            </w:pPr>
            <w:r>
              <w:rPr>
                <w:spacing w:val="6"/>
              </w:rPr>
              <w:t>文心一言</w:t>
            </w:r>
          </w:p>
        </w:tc>
        <w:tc>
          <w:tcPr>
            <w:shd w:val="clear" w:fill="D8DFF5"/>
            <w:tcW w:w="3363" w:type="dxa"/>
            <w:vAlign w:val="top"/>
          </w:tcPr>
          <w:p>
            <w:pPr>
              <w:pStyle w:val="TableText"/>
              <w:ind w:left="490"/>
              <w:spacing w:before="61" w:line="168" w:lineRule="auto"/>
              <w:rPr/>
            </w:pPr>
            <w:r>
              <w:rPr>
                <w:spacing w:val="6"/>
              </w:rPr>
              <w:t>新药研发、智能临床、智能管理、智能服务</w:t>
            </w:r>
          </w:p>
        </w:tc>
        <w:tc>
          <w:tcPr>
            <w:shd w:val="clear" w:fill="D8DFF5"/>
            <w:tcW w:w="1007" w:type="dxa"/>
            <w:vAlign w:val="top"/>
            <w:tcBorders>
              <w:right w:val="nil"/>
            </w:tcBorders>
          </w:tcPr>
          <w:p>
            <w:pPr>
              <w:pStyle w:val="TableText"/>
              <w:ind w:left="394"/>
              <w:spacing w:before="61" w:line="168" w:lineRule="auto"/>
              <w:rPr/>
            </w:pPr>
            <w:r>
              <w:rPr>
                <w:spacing w:val="5"/>
              </w:rPr>
              <w:t>百度</w:t>
            </w:r>
          </w:p>
        </w:tc>
      </w:tr>
      <w:tr>
        <w:trPr>
          <w:trHeight w:val="315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</w:tcBorders>
          </w:tcPr>
          <w:p>
            <w:pPr>
              <w:pStyle w:val="TableText"/>
              <w:ind w:left="468"/>
              <w:spacing w:before="112" w:line="183" w:lineRule="auto"/>
              <w:rPr/>
            </w:pPr>
            <w:r>
              <w:rPr>
                <w:spacing w:val="2"/>
              </w:rPr>
              <w:t>MedGPT</w:t>
            </w:r>
          </w:p>
        </w:tc>
        <w:tc>
          <w:tcPr>
            <w:shd w:val="clear" w:fill="D8DFF5"/>
            <w:tcW w:w="1119" w:type="dxa"/>
            <w:vAlign w:val="top"/>
          </w:tcPr>
          <w:p>
            <w:pPr>
              <w:pStyle w:val="TableText"/>
              <w:ind w:left="455"/>
              <w:spacing w:before="111" w:line="204" w:lineRule="auto"/>
              <w:rPr/>
            </w:pPr>
            <w:r>
              <w:rPr>
                <w:spacing w:val="1"/>
              </w:rPr>
              <w:t>医联</w:t>
            </w:r>
          </w:p>
        </w:tc>
        <w:tc>
          <w:tcPr>
            <w:shd w:val="clear" w:fill="D8DFF5"/>
            <w:tcW w:w="1410" w:type="dxa"/>
            <w:vAlign w:val="top"/>
          </w:tcPr>
          <w:p>
            <w:pPr>
              <w:pStyle w:val="TableText"/>
              <w:ind w:left="467"/>
              <w:spacing w:before="112" w:line="183" w:lineRule="auto"/>
              <w:rPr/>
            </w:pPr>
            <w:r>
              <w:rPr>
                <w:spacing w:val="2"/>
              </w:rPr>
              <w:t>MedGPT</w:t>
            </w:r>
          </w:p>
        </w:tc>
        <w:tc>
          <w:tcPr>
            <w:shd w:val="clear" w:fill="D8DFF5"/>
            <w:tcW w:w="3363" w:type="dxa"/>
            <w:vAlign w:val="top"/>
          </w:tcPr>
          <w:p>
            <w:pPr>
              <w:pStyle w:val="TableText"/>
              <w:ind w:left="299"/>
              <w:spacing w:before="111" w:line="202" w:lineRule="auto"/>
              <w:rPr/>
            </w:pPr>
            <w:r>
              <w:rPr>
                <w:spacing w:val="6"/>
              </w:rPr>
              <w:t>疾病预防、诊断、治疗、康复全流程的智能化诊疗</w:t>
            </w:r>
          </w:p>
        </w:tc>
        <w:tc>
          <w:tcPr>
            <w:shd w:val="clear" w:fill="D8DFF5"/>
            <w:tcW w:w="1007" w:type="dxa"/>
            <w:vAlign w:val="top"/>
            <w:tcBorders>
              <w:right w:val="nil"/>
            </w:tcBorders>
          </w:tcPr>
          <w:p>
            <w:pPr>
              <w:pStyle w:val="TableText"/>
              <w:ind w:left="381"/>
              <w:spacing w:before="171" w:line="96" w:lineRule="exact"/>
              <w:rPr/>
            </w:pPr>
            <w:r>
              <w:rPr>
                <w:spacing w:val="7"/>
                <w:position w:val="-1"/>
              </w:rPr>
              <w:t>——</w:t>
            </w:r>
          </w:p>
        </w:tc>
      </w:tr>
      <w:tr>
        <w:trPr>
          <w:trHeight w:val="216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</w:tcBorders>
          </w:tcPr>
          <w:p>
            <w:pPr>
              <w:pStyle w:val="TableText"/>
              <w:ind w:left="338"/>
              <w:spacing w:before="61" w:line="168" w:lineRule="auto"/>
              <w:rPr/>
            </w:pPr>
            <w:r>
              <w:rPr>
                <w:spacing w:val="6"/>
              </w:rPr>
              <w:t>盘古药物分子</w:t>
            </w:r>
          </w:p>
        </w:tc>
        <w:tc>
          <w:tcPr>
            <w:shd w:val="clear" w:fill="D8DFF5"/>
            <w:tcW w:w="1119" w:type="dxa"/>
            <w:vAlign w:val="top"/>
          </w:tcPr>
          <w:p>
            <w:pPr>
              <w:pStyle w:val="TableText"/>
              <w:ind w:left="445"/>
              <w:spacing w:before="61" w:line="168" w:lineRule="auto"/>
              <w:rPr/>
            </w:pPr>
            <w:r>
              <w:rPr>
                <w:spacing w:val="5"/>
              </w:rPr>
              <w:t>盘古</w:t>
            </w:r>
          </w:p>
        </w:tc>
        <w:tc>
          <w:tcPr>
            <w:shd w:val="clear" w:fill="D8DFF5"/>
            <w:tcW w:w="1410" w:type="dxa"/>
            <w:vAlign w:val="top"/>
          </w:tcPr>
          <w:p>
            <w:pPr>
              <w:pStyle w:val="TableText"/>
              <w:ind w:left="591"/>
              <w:spacing w:before="61" w:line="168" w:lineRule="auto"/>
              <w:rPr/>
            </w:pPr>
            <w:r>
              <w:rPr>
                <w:spacing w:val="5"/>
              </w:rPr>
              <w:t>盘古</w:t>
            </w:r>
          </w:p>
        </w:tc>
        <w:tc>
          <w:tcPr>
            <w:shd w:val="clear" w:fill="D8DFF5"/>
            <w:tcW w:w="3363" w:type="dxa"/>
            <w:vAlign w:val="top"/>
          </w:tcPr>
          <w:p>
            <w:pPr>
              <w:pStyle w:val="TableText"/>
              <w:ind w:left="1442"/>
              <w:spacing w:before="61" w:line="168" w:lineRule="auto"/>
              <w:rPr/>
            </w:pPr>
            <w:r>
              <w:rPr>
                <w:spacing w:val="6"/>
              </w:rPr>
              <w:t>新药研发</w:t>
            </w:r>
          </w:p>
        </w:tc>
        <w:tc>
          <w:tcPr>
            <w:shd w:val="clear" w:fill="D8DFF5"/>
            <w:tcW w:w="1007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61" w:line="168" w:lineRule="auto"/>
              <w:rPr/>
            </w:pPr>
            <w:r>
              <w:rPr>
                <w:spacing w:val="6"/>
              </w:rPr>
              <w:t>华为智算中心</w:t>
            </w:r>
          </w:p>
        </w:tc>
      </w:tr>
      <w:tr>
        <w:trPr>
          <w:trHeight w:val="377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</w:tcBorders>
          </w:tcPr>
          <w:p>
            <w:pPr>
              <w:pStyle w:val="TableText"/>
              <w:ind w:left="446"/>
              <w:spacing w:before="142" w:line="204" w:lineRule="auto"/>
              <w:rPr/>
            </w:pPr>
            <w:r>
              <w:rPr>
                <w:spacing w:val="5"/>
              </w:rPr>
              <w:t>商汤 大医</w:t>
            </w:r>
          </w:p>
        </w:tc>
        <w:tc>
          <w:tcPr>
            <w:shd w:val="clear" w:fill="D8DFF5"/>
            <w:tcW w:w="1119" w:type="dxa"/>
            <w:vAlign w:val="top"/>
          </w:tcPr>
          <w:p>
            <w:pPr>
              <w:pStyle w:val="TableText"/>
              <w:ind w:left="446"/>
              <w:spacing w:before="142" w:line="204" w:lineRule="auto"/>
              <w:rPr/>
            </w:pPr>
            <w:r>
              <w:rPr>
                <w:spacing w:val="5"/>
              </w:rPr>
              <w:t>商汤</w:t>
            </w:r>
          </w:p>
        </w:tc>
        <w:tc>
          <w:tcPr>
            <w:shd w:val="clear" w:fill="D8DFF5"/>
            <w:tcW w:w="1410" w:type="dxa"/>
            <w:vAlign w:val="top"/>
          </w:tcPr>
          <w:p>
            <w:pPr>
              <w:pStyle w:val="TableText"/>
              <w:ind w:left="545"/>
              <w:spacing w:before="143" w:line="204" w:lineRule="auto"/>
              <w:rPr/>
            </w:pPr>
            <w:r>
              <w:rPr/>
              <w:t>日日新</w:t>
            </w:r>
          </w:p>
        </w:tc>
        <w:tc>
          <w:tcPr>
            <w:shd w:val="clear" w:fill="D8DFF5"/>
            <w:tcW w:w="3363" w:type="dxa"/>
            <w:vAlign w:val="top"/>
          </w:tcPr>
          <w:p>
            <w:pPr>
              <w:pStyle w:val="TableText"/>
              <w:ind w:left="236"/>
              <w:spacing w:before="142" w:line="203" w:lineRule="auto"/>
              <w:rPr/>
            </w:pPr>
            <w:r>
              <w:rPr>
                <w:spacing w:val="6"/>
              </w:rPr>
              <w:t>病历检查、辅助诊疗、随访、健康咨询、互联网问诊</w:t>
            </w:r>
          </w:p>
        </w:tc>
        <w:tc>
          <w:tcPr>
            <w:shd w:val="clear" w:fill="D8DFF5"/>
            <w:tcW w:w="1007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143" w:line="203" w:lineRule="auto"/>
              <w:rPr/>
            </w:pPr>
            <w:r>
              <w:rPr>
                <w:spacing w:val="6"/>
              </w:rPr>
              <w:t>商汤智算中心</w:t>
            </w:r>
          </w:p>
        </w:tc>
      </w:tr>
      <w:tr>
        <w:trPr>
          <w:trHeight w:val="377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</w:tcBorders>
          </w:tcPr>
          <w:p>
            <w:pPr>
              <w:pStyle w:val="TableText"/>
              <w:ind w:left="591"/>
              <w:spacing w:before="143" w:line="203" w:lineRule="auto"/>
              <w:rPr/>
            </w:pPr>
            <w:r>
              <w:rPr>
                <w:spacing w:val="6"/>
              </w:rPr>
              <w:t>矾石</w:t>
            </w:r>
          </w:p>
        </w:tc>
        <w:tc>
          <w:tcPr>
            <w:shd w:val="clear" w:fill="D8DFF5"/>
            <w:tcW w:w="1119" w:type="dxa"/>
            <w:vAlign w:val="top"/>
          </w:tcPr>
          <w:p>
            <w:pPr>
              <w:pStyle w:val="TableText"/>
              <w:ind w:left="381"/>
              <w:spacing w:before="143" w:line="203" w:lineRule="auto"/>
              <w:rPr/>
            </w:pPr>
            <w:r>
              <w:rPr>
                <w:spacing w:val="6"/>
              </w:rPr>
              <w:t>智慧眼</w:t>
            </w:r>
          </w:p>
        </w:tc>
        <w:tc>
          <w:tcPr>
            <w:shd w:val="clear" w:fill="D8DFF5"/>
            <w:tcW w:w="1410" w:type="dxa"/>
            <w:vAlign w:val="top"/>
          </w:tcPr>
          <w:p>
            <w:pPr>
              <w:pStyle w:val="TableText"/>
              <w:ind w:left="590"/>
              <w:spacing w:before="143" w:line="203" w:lineRule="auto"/>
              <w:rPr/>
            </w:pPr>
            <w:r>
              <w:rPr>
                <w:spacing w:val="6"/>
              </w:rPr>
              <w:t>矾石</w:t>
            </w:r>
          </w:p>
        </w:tc>
        <w:tc>
          <w:tcPr>
            <w:shd w:val="clear" w:fill="D8DFF5"/>
            <w:tcW w:w="3363" w:type="dxa"/>
            <w:vAlign w:val="top"/>
          </w:tcPr>
          <w:p>
            <w:pPr>
              <w:pStyle w:val="TableText"/>
              <w:ind w:left="55"/>
              <w:spacing w:before="52" w:line="202" w:lineRule="auto"/>
              <w:rPr/>
            </w:pPr>
            <w:r>
              <w:rPr>
                <w:spacing w:val="6"/>
              </w:rPr>
              <w:t>医疗辅助诊断、病历质控、健康管理、慢病管理、合理规范</w:t>
            </w:r>
          </w:p>
          <w:p>
            <w:pPr>
              <w:pStyle w:val="TableText"/>
              <w:ind w:left="1252"/>
              <w:spacing w:before="9" w:line="132" w:lineRule="exact"/>
              <w:rPr/>
            </w:pPr>
            <w:r>
              <w:rPr>
                <w:spacing w:val="6"/>
              </w:rPr>
              <w:t>用药、辅助阅片</w:t>
            </w:r>
          </w:p>
        </w:tc>
        <w:tc>
          <w:tcPr>
            <w:shd w:val="clear" w:fill="D8DFF5"/>
            <w:tcW w:w="1007" w:type="dxa"/>
            <w:vAlign w:val="top"/>
            <w:tcBorders>
              <w:right w:val="nil"/>
            </w:tcBorders>
          </w:tcPr>
          <w:p>
            <w:pPr>
              <w:pStyle w:val="TableText"/>
              <w:ind w:left="381"/>
              <w:spacing w:before="203" w:line="97" w:lineRule="exact"/>
              <w:rPr/>
            </w:pPr>
            <w:r>
              <w:rPr>
                <w:spacing w:val="7"/>
                <w:position w:val="-1"/>
              </w:rPr>
              <w:t>——</w:t>
            </w:r>
          </w:p>
        </w:tc>
      </w:tr>
      <w:tr>
        <w:trPr>
          <w:trHeight w:val="699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0"/>
              <w:spacing w:before="52" w:line="178" w:lineRule="auto"/>
              <w:rPr/>
            </w:pPr>
            <w:r>
              <w:rPr>
                <w:spacing w:val="2"/>
              </w:rPr>
              <w:t>HuatuoGPT</w:t>
            </w:r>
          </w:p>
        </w:tc>
        <w:tc>
          <w:tcPr>
            <w:shd w:val="clear" w:fill="D8DFF5"/>
            <w:tcW w:w="1119" w:type="dxa"/>
            <w:vAlign w:val="top"/>
          </w:tcPr>
          <w:p>
            <w:pPr>
              <w:pStyle w:val="TableText"/>
              <w:ind w:left="64" w:right="35"/>
              <w:spacing w:before="213" w:line="222" w:lineRule="auto"/>
              <w:rPr/>
            </w:pPr>
            <w:r>
              <w:rPr>
                <w:spacing w:val="6"/>
              </w:rPr>
              <w:t>香港中文大学和深</w:t>
            </w:r>
            <w:r>
              <w:rPr>
                <w:spacing w:val="6"/>
              </w:rPr>
              <w:t>圳市大数据研究所</w:t>
            </w:r>
          </w:p>
        </w:tc>
        <w:tc>
          <w:tcPr>
            <w:shd w:val="clear" w:fill="D8DFF5"/>
            <w:tcW w:w="141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0"/>
              <w:spacing w:before="51" w:line="183" w:lineRule="auto"/>
              <w:rPr/>
            </w:pPr>
            <w:r>
              <w:rPr>
                <w:spacing w:val="3"/>
              </w:rPr>
              <w:t>ChatGPT</w:t>
            </w:r>
          </w:p>
        </w:tc>
        <w:tc>
          <w:tcPr>
            <w:shd w:val="clear" w:fill="D8DFF5"/>
            <w:tcW w:w="336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1"/>
              <w:spacing w:before="51" w:line="203" w:lineRule="auto"/>
              <w:rPr/>
            </w:pPr>
            <w:r>
              <w:rPr>
                <w:spacing w:val="6"/>
              </w:rPr>
              <w:t>智能问诊</w:t>
            </w:r>
          </w:p>
        </w:tc>
        <w:tc>
          <w:tcPr>
            <w:shd w:val="clear" w:fill="D8DFF5"/>
            <w:tcW w:w="1007" w:type="dxa"/>
            <w:vAlign w:val="top"/>
            <w:tcBorders>
              <w:right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1"/>
              <w:spacing w:before="51" w:line="97" w:lineRule="exact"/>
              <w:rPr/>
            </w:pPr>
            <w:r>
              <w:rPr>
                <w:spacing w:val="7"/>
                <w:position w:val="-1"/>
              </w:rPr>
              <w:t>——</w:t>
            </w:r>
          </w:p>
        </w:tc>
      </w:tr>
      <w:tr>
        <w:trPr>
          <w:trHeight w:val="580" w:hRule="atLeast"/>
        </w:trPr>
        <w:tc>
          <w:tcPr>
            <w:shd w:val="clear" w:fill="D8DFF5"/>
            <w:tcW w:w="140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486"/>
              <w:spacing w:before="248" w:line="220" w:lineRule="auto"/>
              <w:rPr/>
            </w:pPr>
            <w:r>
              <w:rPr/>
              <w:t>Uni</w:t>
            </w:r>
            <w:r>
              <w:rPr>
                <w:spacing w:val="15"/>
              </w:rPr>
              <w:t>-</w:t>
            </w:r>
            <w:r>
              <w:rPr/>
              <w:t>talk</w:t>
            </w:r>
          </w:p>
        </w:tc>
        <w:tc>
          <w:tcPr>
            <w:shd w:val="clear" w:fill="D8DFF5"/>
            <w:tcW w:w="1119" w:type="dxa"/>
            <w:vAlign w:val="top"/>
            <w:tcBorders>
              <w:bottom w:val="nil"/>
            </w:tcBorders>
          </w:tcPr>
          <w:p>
            <w:pPr>
              <w:pStyle w:val="TableText"/>
              <w:ind w:left="137" w:right="36" w:hanging="71"/>
              <w:spacing w:before="158" w:line="222" w:lineRule="auto"/>
              <w:rPr/>
            </w:pPr>
            <w:r>
              <w:rPr>
                <w:spacing w:val="6"/>
              </w:rPr>
              <w:t>上海算力网络数字</w:t>
            </w:r>
            <w:r>
              <w:rPr>
                <w:spacing w:val="5"/>
              </w:rPr>
              <w:t>医疗创新实验室</w:t>
            </w:r>
          </w:p>
        </w:tc>
        <w:tc>
          <w:tcPr>
            <w:shd w:val="clear" w:fill="D8DFF5"/>
            <w:tcW w:w="1410" w:type="dxa"/>
            <w:vAlign w:val="top"/>
            <w:tcBorders>
              <w:bottom w:val="nil"/>
            </w:tcBorders>
          </w:tcPr>
          <w:p>
            <w:pPr>
              <w:pStyle w:val="TableText"/>
              <w:ind w:left="21"/>
              <w:spacing w:before="65" w:line="203" w:lineRule="auto"/>
              <w:rPr/>
            </w:pPr>
            <w:r>
              <w:rPr>
                <w:spacing w:val="3"/>
              </w:rPr>
              <w:t>上海联通携手华山医院、</w:t>
            </w:r>
          </w:p>
          <w:p>
            <w:pPr>
              <w:pStyle w:val="TableText"/>
              <w:ind w:left="84"/>
              <w:spacing w:before="8" w:line="202" w:lineRule="auto"/>
              <w:rPr/>
            </w:pPr>
            <w:r>
              <w:rPr>
                <w:spacing w:val="6"/>
              </w:rPr>
              <w:t>上海超算中心和华为公</w:t>
            </w:r>
          </w:p>
          <w:p>
            <w:pPr>
              <w:pStyle w:val="TableText"/>
              <w:ind w:left="338"/>
              <w:spacing w:before="9" w:line="162" w:lineRule="auto"/>
              <w:rPr/>
            </w:pPr>
            <w:r>
              <w:rPr>
                <w:spacing w:val="6"/>
              </w:rPr>
              <w:t>司等联合发布</w:t>
            </w:r>
          </w:p>
        </w:tc>
        <w:tc>
          <w:tcPr>
            <w:shd w:val="clear" w:fill="D8DFF5"/>
            <w:tcW w:w="3363" w:type="dxa"/>
            <w:vAlign w:val="top"/>
            <w:tcBorders>
              <w:bottom w:val="nil"/>
            </w:tcBorders>
          </w:tcPr>
          <w:p>
            <w:pPr>
              <w:pStyle w:val="TableText"/>
              <w:ind w:left="808"/>
              <w:spacing w:before="248" w:line="202" w:lineRule="auto"/>
              <w:rPr/>
            </w:pPr>
            <w:r>
              <w:rPr>
                <w:spacing w:val="6"/>
              </w:rPr>
              <w:t>专业医学文献搜索、辅助诊断等</w:t>
            </w:r>
          </w:p>
        </w:tc>
        <w:tc>
          <w:tcPr>
            <w:shd w:val="clear" w:fill="D8DFF5"/>
            <w:tcW w:w="1007" w:type="dxa"/>
            <w:vAlign w:val="top"/>
            <w:tcBorders>
              <w:bottom w:val="nil"/>
              <w:right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1"/>
              <w:spacing w:before="51" w:line="97" w:lineRule="exact"/>
              <w:rPr/>
            </w:pPr>
            <w:r>
              <w:rPr>
                <w:spacing w:val="7"/>
                <w:position w:val="-1"/>
              </w:rPr>
              <w:t>——</w:t>
            </w:r>
          </w:p>
        </w:tc>
      </w:tr>
    </w:tbl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31" w:firstLine="598"/>
        <w:spacing w:before="98" w:line="339" w:lineRule="auto"/>
        <w:jc w:val="both"/>
        <w:rPr/>
      </w:pPr>
      <w:r>
        <w:rPr>
          <w:spacing w:val="-11"/>
        </w:rPr>
        <w:t>从医学科研、药物研发到智慧诊疗的各阶段</w:t>
      </w:r>
      <w:r>
        <w:rPr>
          <w:spacing w:val="-12"/>
        </w:rPr>
        <w:t>、医疗设备运维、</w:t>
      </w:r>
      <w:r>
        <w:rPr/>
        <w:t>医院管理等，均有大模型产品涌现，高校及科研机</w:t>
      </w:r>
      <w:r>
        <w:rPr>
          <w:spacing w:val="-1"/>
        </w:rPr>
        <w:t>构展开探索，</w:t>
      </w:r>
      <w:r>
        <w:rPr>
          <w:spacing w:val="-4"/>
        </w:rPr>
        <w:t>企业快速推进商业化落地，相对成熟的医疗行业大模型及应用场</w:t>
      </w:r>
      <w:r>
        <w:rPr>
          <w:spacing w:val="-11"/>
        </w:rPr>
        <w:t>景如表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</w:t>
      </w:r>
      <w:r>
        <w:rPr>
          <w:spacing w:val="-11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12" style="position:absolute;margin-left:0.72599pt;margin-top:8.40928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22"/>
        <w:spacing w:before="68" w:line="23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    </w:t>
      </w:r>
      <w:r>
        <w:rPr>
          <w:rFonts w:ascii="FangSong" w:hAnsi="FangSong" w:eastAsia="FangSong" w:cs="FangSong"/>
          <w:sz w:val="21"/>
          <w:szCs w:val="21"/>
          <w:spacing w:val="-2"/>
        </w:rPr>
        <w:t>第七次人口普查数据</w:t>
      </w:r>
    </w:p>
    <w:p>
      <w:pPr>
        <w:spacing w:line="235" w:lineRule="auto"/>
        <w:sectPr>
          <w:headerReference w:type="default" r:id="rId7"/>
          <w:pgSz w:w="11907" w:h="16839"/>
          <w:pgMar w:top="400" w:right="1694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7" w:right="81" w:firstLine="612"/>
        <w:spacing w:before="97" w:line="332" w:lineRule="auto"/>
        <w:jc w:val="both"/>
        <w:rPr/>
      </w:pPr>
      <w:r>
        <w:rPr>
          <w:spacing w:val="-2"/>
        </w:rPr>
        <w:t>医疗服务：包含辅助临床诊断决策、</w:t>
      </w:r>
      <w:r>
        <w:rPr>
          <w:rFonts w:ascii="Times New Roman" w:hAnsi="Times New Roman" w:eastAsia="Times New Roman" w:cs="Times New Roman"/>
          <w:spacing w:val="-2"/>
        </w:rPr>
        <w:t>CT</w:t>
      </w:r>
      <w:r>
        <w:rPr>
          <w:rFonts w:ascii="Times New Roman" w:hAnsi="Times New Roman" w:eastAsia="Times New Roman" w:cs="Times New Roman"/>
          <w:spacing w:val="71"/>
          <w:w w:val="101"/>
        </w:rPr>
        <w:t xml:space="preserve"> </w:t>
      </w:r>
      <w:r>
        <w:rPr>
          <w:spacing w:val="-2"/>
        </w:rPr>
        <w:t>影像识别协助病例</w:t>
      </w:r>
      <w:r>
        <w:rPr>
          <w:spacing w:val="-9"/>
        </w:rPr>
        <w:t>筛查及智能分析、慢病监测与诊疗等场景， 微软、百度、医联等</w:t>
      </w:r>
      <w:r>
        <w:rPr>
          <w:spacing w:val="-4"/>
        </w:rPr>
        <w:t>已发布医疗大模型（见表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）主要围绕医疗服务场景应用，商业</w:t>
      </w:r>
      <w:r>
        <w:rPr>
          <w:spacing w:val="-2"/>
        </w:rPr>
        <w:t>化走在前列，有望带来互联网医疗、基层医疗服务质量升</w:t>
      </w:r>
      <w:r>
        <w:rPr>
          <w:spacing w:val="-3"/>
        </w:rPr>
        <w:t>级。</w:t>
      </w:r>
    </w:p>
    <w:p>
      <w:pPr>
        <w:pStyle w:val="BodyText"/>
        <w:ind w:left="25" w:right="80" w:firstLine="615"/>
        <w:spacing w:before="283" w:line="341" w:lineRule="auto"/>
        <w:jc w:val="both"/>
        <w:rPr/>
      </w:pPr>
      <w:r>
        <w:rPr>
          <w:spacing w:val="-10"/>
        </w:rPr>
        <w:t>医药研发：重点是药物筛选、药物辅助设计， 大模型应用可</w:t>
      </w:r>
      <w:r>
        <w:rPr>
          <w:spacing w:val="-9"/>
        </w:rPr>
        <w:t>减少研发成本、缩短研发周期， 但市场壁垒较高，国内目前仅百</w:t>
      </w:r>
      <w:r>
        <w:rPr>
          <w:spacing w:val="-5"/>
        </w:rPr>
        <w:t>度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GBI-Bot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5"/>
        </w:rPr>
        <w:t>医疗大模型有涉及。</w:t>
      </w:r>
    </w:p>
    <w:p>
      <w:pPr>
        <w:pStyle w:val="BodyText"/>
        <w:ind w:left="26" w:firstLine="599"/>
        <w:spacing w:before="239" w:line="340" w:lineRule="auto"/>
        <w:jc w:val="both"/>
        <w:rPr/>
      </w:pPr>
      <w:r>
        <w:rPr>
          <w:spacing w:val="-2"/>
        </w:rPr>
        <w:t>器械制造：</w:t>
      </w:r>
      <w:r>
        <w:rPr>
          <w:rFonts w:ascii="Times New Roman" w:hAnsi="Times New Roman" w:eastAsia="Times New Roman" w:cs="Times New Roman"/>
          <w:spacing w:val="-2"/>
        </w:rPr>
        <w:t>AI+  </w:t>
      </w:r>
      <w:r>
        <w:rPr>
          <w:spacing w:val="-2"/>
        </w:rPr>
        <w:t>医疗产品获三类器械认证，产业逐</w:t>
      </w:r>
      <w:r>
        <w:rPr>
          <w:spacing w:val="-3"/>
        </w:rPr>
        <w:t>步落地，</w:t>
      </w:r>
      <w:r>
        <w:rPr>
          <w:spacing w:val="-1"/>
        </w:rPr>
        <w:t>医疗器械新增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1"/>
        </w:rPr>
        <w:t>模块，矾石大模型阅片场景已有应用，重症和</w:t>
      </w:r>
      <w:r>
        <w:rPr>
          <w:spacing w:val="-3"/>
        </w:rPr>
        <w:t>检验领域是医疗大模型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器械探索重点方向。</w:t>
      </w:r>
    </w:p>
    <w:p>
      <w:pPr>
        <w:ind w:left="2537"/>
        <w:spacing w:before="67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提升管理效率、解决医疗资源不均、提升患者可及性</w:t>
      </w:r>
    </w:p>
    <w:p>
      <w:pPr>
        <w:ind w:left="2551"/>
        <w:spacing w:before="35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•    AI+医疗管理信息化、AI+医疗解决方案</w:t>
      </w:r>
    </w:p>
    <w:p>
      <w:pPr>
        <w:ind w:left="2551"/>
        <w:spacing w:before="34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•    AI+检验诊断、AI+医疗助理</w:t>
      </w:r>
      <w:r>
        <w:rPr>
          <w:rFonts w:ascii="Microsoft YaHei" w:hAnsi="Microsoft YaHei" w:eastAsia="Microsoft YaHei" w:cs="Microsoft YaHei"/>
          <w:sz w:val="20"/>
          <w:szCs w:val="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dotted" w:color="auto"/>
        </w:rPr>
        <w:t xml:space="preserve">     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>
        <w:pict>
          <v:shape id="_x0000_s14" style="position:absolute;margin-left:193.647pt;margin-top:0.232147pt;mso-position-vertical-relative:text;mso-position-horizontal-relative:text;width:47.05pt;height:17.8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  <w:spacing w:val="5"/>
                    </w:rPr>
                    <w:t>医疗服务</w:t>
                  </w:r>
                </w:p>
              </w:txbxContent>
            </v:textbox>
          </v:shape>
        </w:pict>
      </w:r>
      <w:r/>
    </w:p>
    <w:p>
      <w:pPr>
        <w:ind w:left="733"/>
        <w:spacing w:before="87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2036084</wp:posOffset>
            </wp:positionH>
            <wp:positionV relativeFrom="paragraph">
              <wp:posOffset>-530461</wp:posOffset>
            </wp:positionV>
            <wp:extent cx="1585520" cy="150727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5520" cy="150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减少研发成本、缩短研发时间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16" style="position:absolute;margin-left:36.3023pt;margin-top:0.732178pt;mso-position-vertical-relative:text;mso-position-horizontal-relative:text;width:233.2pt;height:32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exact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2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2"/>
                    </w:rPr>
                    <w:t>AI+药物筛选</w:t>
                  </w:r>
                </w:p>
                <w:p>
                  <w:pPr>
                    <w:ind w:left="20"/>
                    <w:spacing w:line="197" w:lineRule="auto"/>
                    <w:rPr>
                      <w:rFonts w:ascii="Microsoft YaHei" w:hAnsi="Microsoft YaHei" w:eastAsia="Microsoft YaHei" w:cs="Microsoft YaHei"/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  <w:position w:val="-3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9"/>
                      <w:position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  <w:position w:val="-3"/>
                    </w:rPr>
                    <w:t>AI+药物辅助设计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48"/>
                      <w:position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u w:val="dotted" w:color="auto"/>
                      <w:spacing w:val="-1"/>
                      <w:position w:val="-3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  <w:position w:val="-3"/>
                    </w:rPr>
                    <w:t xml:space="preserve">         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FFFFFF"/>
                      <w:spacing w:val="-1"/>
                      <w:position w:val="1"/>
                    </w:rPr>
                    <w:t>医药研发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FFFFFF"/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FFFFFF"/>
                      <w:spacing w:val="-1"/>
                      <w:position w:val="3"/>
                    </w:rPr>
                    <w:t>器械制造</w:t>
                  </w:r>
                </w:p>
              </w:txbxContent>
            </v:textbox>
          </v:shape>
        </w:pict>
      </w: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4322"/>
        <w:spacing w:before="86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加速产品迭代、降低生产管理成本</w:t>
      </w:r>
    </w:p>
    <w:p>
      <w:pPr>
        <w:ind w:left="4337"/>
        <w:spacing w:before="35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•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AI+医疗器械</w:t>
      </w:r>
    </w:p>
    <w:p>
      <w:pPr>
        <w:ind w:left="4337"/>
        <w:spacing w:before="36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•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AI+管理生产</w:t>
      </w:r>
      <w:r>
        <w:rPr>
          <w:rFonts w:ascii="Microsoft YaHei" w:hAnsi="Microsoft YaHei" w:eastAsia="Microsoft YaHei" w:cs="Microsoft YaHei"/>
          <w:sz w:val="20"/>
          <w:szCs w:val="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dotted" w:color="auto"/>
        </w:rPr>
        <w:t xml:space="preserve">     </w:t>
      </w:r>
    </w:p>
    <w:p>
      <w:pPr>
        <w:ind w:left="1852"/>
        <w:spacing w:before="283" w:line="232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KaiTi" w:hAnsi="KaiTi" w:eastAsia="KaiTi" w:cs="KaiTi"/>
          <w:sz w:val="30"/>
          <w:szCs w:val="30"/>
          <w:spacing w:val="-8"/>
        </w:rPr>
        <w:t>医疗大模型三大重点领域分析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二、医疗大模型市场洞察分析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7" w:right="82" w:firstLine="609"/>
        <w:spacing w:before="98" w:line="276" w:lineRule="auto"/>
        <w:outlineLvl w:val="3"/>
        <w:rPr/>
      </w:pPr>
      <w:r>
        <w:rPr>
          <w:b/>
          <w:bCs/>
          <w:spacing w:val="-4"/>
        </w:rPr>
        <w:t>（一）</w:t>
      </w:r>
      <w:r>
        <w:rPr>
          <w:rFonts w:ascii="Times New Roman" w:hAnsi="Times New Roman" w:eastAsia="Times New Roman" w:cs="Times New Roman"/>
          <w:b/>
          <w:bCs/>
          <w:spacing w:val="-4"/>
        </w:rPr>
        <w:t>AI+</w:t>
      </w:r>
      <w:r>
        <w:rPr>
          <w:b/>
          <w:bCs/>
          <w:spacing w:val="-4"/>
        </w:rPr>
        <w:t>医疗市场规模持续增长，医疗大模型成为关键驱</w:t>
      </w:r>
      <w:r>
        <w:rPr>
          <w:b/>
          <w:bCs/>
          <w:spacing w:val="-6"/>
        </w:rPr>
        <w:t>动力</w:t>
      </w:r>
    </w:p>
    <w:p>
      <w:pPr>
        <w:spacing w:line="276" w:lineRule="auto"/>
        <w:sectPr>
          <w:pgSz w:w="11907" w:h="16839"/>
          <w:pgMar w:top="400" w:right="1719" w:bottom="0" w:left="1785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5" w:right="7" w:firstLine="617"/>
        <w:spacing w:before="98" w:line="333" w:lineRule="auto"/>
        <w:rPr/>
      </w:pPr>
      <w:r>
        <w:pict>
          <v:shape id="_x0000_s18" style="position:absolute;margin-left:266.291pt;margin-top:249.271pt;mso-position-vertical-relative:text;mso-position-horizontal-relative:text;width:108.5pt;height:12.95pt;z-index:25166745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1"/>
                    <w:spacing w:before="55" w:line="209" w:lineRule="auto"/>
                    <w:rPr>
                      <w:rFonts w:ascii="STXihei" w:hAnsi="STXihei" w:eastAsia="STXihei" w:cs="STXihei"/>
                      <w:sz w:val="15"/>
                      <w:szCs w:val="15"/>
                    </w:rPr>
                  </w:pPr>
                  <w:r>
                    <w:rPr>
                      <w:rFonts w:ascii="STXihei" w:hAnsi="STXihei" w:eastAsia="STXihei" w:cs="STXihei"/>
                      <w:sz w:val="15"/>
                      <w:szCs w:val="15"/>
                      <w:spacing w:val="15"/>
                    </w:rPr>
                    <w:t>国内医疗    市场规模</w:t>
                  </w:r>
                </w:p>
              </w:txbxContent>
            </v:textbox>
          </v:shape>
        </w:pict>
      </w:r>
      <w:r>
        <w:pict>
          <v:shape id="_x0000_s20" style="position:absolute;margin-left:306.784pt;margin-top:251.472pt;mso-position-vertical-relative:text;mso-position-horizontal-relative:text;width:10.2pt;height:10.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STXihei" w:hAnsi="STXihei" w:eastAsia="STXihei" w:cs="STXihei"/>
                      <w:sz w:val="15"/>
                      <w:szCs w:val="15"/>
                    </w:rPr>
                  </w:pPr>
                  <w:r>
                    <w:rPr>
                      <w:rFonts w:ascii="STXihei" w:hAnsi="STXihei" w:eastAsia="STXihei" w:cs="STXihei"/>
                      <w:sz w:val="15"/>
                      <w:szCs w:val="15"/>
                      <w:spacing w:val="9"/>
                    </w:rPr>
                    <w:t>AI</w:t>
                  </w:r>
                </w:p>
              </w:txbxContent>
            </v:textbox>
          </v:shape>
        </w:pict>
      </w:r>
      <w:r>
        <w:pict>
          <v:shape id="_x0000_s22" style="position:absolute;margin-left:47.1439pt;margin-top:249.673pt;mso-position-vertical-relative:text;mso-position-horizontal-relative:text;width:108.4pt;height:12.95pt;z-index:25167052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3"/>
                    <w:spacing w:before="55" w:line="209" w:lineRule="auto"/>
                    <w:rPr>
                      <w:rFonts w:ascii="STXihei" w:hAnsi="STXihei" w:eastAsia="STXihei" w:cs="STXihei"/>
                      <w:sz w:val="15"/>
                      <w:szCs w:val="15"/>
                    </w:rPr>
                  </w:pPr>
                  <w:r>
                    <w:rPr>
                      <w:rFonts w:ascii="STXihei" w:hAnsi="STXihei" w:eastAsia="STXihei" w:cs="STXihei"/>
                      <w:sz w:val="15"/>
                      <w:szCs w:val="15"/>
                      <w:spacing w:val="25"/>
                    </w:rPr>
                    <w:t>全球医疗</w:t>
                  </w:r>
                  <w:r>
                    <w:rPr>
                      <w:rFonts w:ascii="STXihei" w:hAnsi="STXihei" w:eastAsia="STXihei" w:cs="STXihei"/>
                      <w:sz w:val="15"/>
                      <w:szCs w:val="15"/>
                    </w:rPr>
                    <w:t>AI</w:t>
                  </w:r>
                  <w:r>
                    <w:rPr>
                      <w:rFonts w:ascii="STXihei" w:hAnsi="STXihei" w:eastAsia="STXihei" w:cs="STXihei"/>
                      <w:sz w:val="15"/>
                      <w:szCs w:val="15"/>
                      <w:spacing w:val="25"/>
                    </w:rPr>
                    <w:t>市场规模</w:t>
                  </w:r>
                </w:p>
              </w:txbxContent>
            </v:textbox>
          </v:shape>
        </w:pict>
      </w:r>
      <w:r>
        <w:pict>
          <v:shape id="_x0000_s24" style="position:absolute;margin-left:210.92pt;margin-top:254.66pt;mso-position-vertical-relative:text;mso-position-horizontal-relative:text;width:205.65pt;height:116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067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74"/>
                    <w:gridCol w:w="1357"/>
                    <w:gridCol w:w="463"/>
                    <w:gridCol w:w="458"/>
                    <w:gridCol w:w="912"/>
                    <w:gridCol w:w="403"/>
                  </w:tblGrid>
                  <w:tr>
                    <w:trPr>
                      <w:trHeight w:val="1170" w:hRule="atLeast"/>
                    </w:trPr>
                    <w:tc>
                      <w:tcPr>
                        <w:tcW w:w="474" w:type="dxa"/>
                        <w:vAlign w:val="top"/>
                        <w:vMerge w:val="restart"/>
                        <w:tcBorders>
                          <w:left w:val="single" w:color="7F7F7F" w:sz="2" w:space="0"/>
                          <w:top w:val="single" w:color="7F7F7F" w:sz="2" w:space="0"/>
                          <w:bottom w:val="nil"/>
                        </w:tcBorders>
                      </w:tcPr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98"/>
                          <w:spacing w:before="30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7"/>
                            <w:position w:val="1"/>
                          </w:rPr>
                          <w:t>450</w:t>
                        </w:r>
                      </w:p>
                      <w:p>
                        <w:pPr>
                          <w:ind w:left="198"/>
                          <w:spacing w:before="16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7"/>
                            <w:position w:val="1"/>
                          </w:rPr>
                          <w:t>400</w:t>
                        </w:r>
                      </w:p>
                      <w:p>
                        <w:pPr>
                          <w:ind w:left="201"/>
                          <w:spacing w:before="16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6"/>
                            <w:position w:val="1"/>
                          </w:rPr>
                          <w:t>350</w:t>
                        </w:r>
                      </w:p>
                      <w:p>
                        <w:pPr>
                          <w:ind w:left="201"/>
                          <w:spacing w:before="16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6"/>
                            <w:position w:val="1"/>
                          </w:rPr>
                          <w:t>300</w:t>
                        </w:r>
                      </w:p>
                      <w:p>
                        <w:pPr>
                          <w:ind w:left="202"/>
                          <w:spacing w:before="17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250</w:t>
                        </w:r>
                      </w:p>
                      <w:p>
                        <w:pPr>
                          <w:ind w:left="202"/>
                          <w:spacing w:before="16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200</w:t>
                        </w:r>
                      </w:p>
                      <w:p>
                        <w:pPr>
                          <w:ind w:left="205"/>
                          <w:spacing w:before="17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4"/>
                            <w:position w:val="1"/>
                          </w:rPr>
                          <w:t>150</w:t>
                        </w:r>
                      </w:p>
                      <w:p>
                        <w:pPr>
                          <w:ind w:left="205"/>
                          <w:spacing w:before="17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4"/>
                            <w:position w:val="1"/>
                          </w:rPr>
                          <w:t>100</w:t>
                        </w:r>
                      </w:p>
                      <w:p>
                        <w:pPr>
                          <w:ind w:left="260"/>
                          <w:spacing w:before="16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50</w:t>
                        </w:r>
                      </w:p>
                      <w:p>
                        <w:pPr>
                          <w:ind w:left="317"/>
                          <w:spacing w:before="17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3"/>
                            <w:position w:val="1"/>
                          </w:rPr>
                          <w:t>0</w:t>
                        </w:r>
                      </w:p>
                    </w:tc>
                    <w:tc>
                      <w:tcPr>
                        <w:tcW w:w="1357" w:type="dxa"/>
                        <w:vAlign w:val="top"/>
                        <w:tcBorders>
                          <w:top w:val="single" w:color="7F7F7F" w:sz="2" w:space="0"/>
                        </w:tcBorders>
                      </w:tcPr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568"/>
                          <w:spacing w:before="31" w:line="185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8"/>
                          </w:rPr>
                          <w:t>45%</w:t>
                        </w:r>
                      </w:p>
                      <w:p>
                        <w:pPr>
                          <w:ind w:left="1027"/>
                          <w:spacing w:line="234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8"/>
                          </w:rPr>
                          <w:t>41%</w:t>
                        </w:r>
                      </w:p>
                    </w:tc>
                    <w:tc>
                      <w:tcPr>
                        <w:tcW w:w="463" w:type="dxa"/>
                        <w:vAlign w:val="top"/>
                        <w:tcBorders>
                          <w:top w:val="single" w:color="7F7F7F" w:sz="2" w:space="0"/>
                        </w:tcBorders>
                      </w:tcPr>
                      <w:p>
                        <w:pPr>
                          <w:spacing w:line="3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30"/>
                          <w:spacing w:before="31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8"/>
                            <w:position w:val="1"/>
                          </w:rPr>
                          <w:t>41%</w:t>
                        </w:r>
                      </w:p>
                    </w:tc>
                    <w:tc>
                      <w:tcPr>
                        <w:tcW w:w="458" w:type="dxa"/>
                        <w:vAlign w:val="top"/>
                        <w:tcBorders>
                          <w:top w:val="single" w:color="7F7F7F" w:sz="2" w:space="0"/>
                        </w:tcBorders>
                      </w:tcPr>
                      <w:p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36"/>
                          <w:spacing w:before="31" w:line="126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7"/>
                            <w:position w:val="1"/>
                          </w:rPr>
                          <w:t>51%</w:t>
                        </w:r>
                      </w:p>
                    </w:tc>
                    <w:tc>
                      <w:tcPr>
                        <w:tcW w:w="912" w:type="dxa"/>
                        <w:vAlign w:val="top"/>
                        <w:tcBorders>
                          <w:top w:val="single" w:color="7F7F7F" w:sz="2" w:space="0"/>
                        </w:tcBorders>
                      </w:tcPr>
                      <w:p>
                        <w:pPr>
                          <w:spacing w:line="28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29"/>
                          <w:spacing w:before="30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8"/>
                            <w:position w:val="1"/>
                          </w:rPr>
                          <w:t>46%</w:t>
                        </w:r>
                      </w:p>
                      <w:p>
                        <w:pPr>
                          <w:ind w:left="588"/>
                          <w:spacing w:before="3" w:line="126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8"/>
                            <w:position w:val="1"/>
                          </w:rPr>
                          <w:t>40%</w:t>
                        </w:r>
                      </w:p>
                    </w:tc>
                    <w:tc>
                      <w:tcPr>
                        <w:tcW w:w="403" w:type="dxa"/>
                        <w:vAlign w:val="top"/>
                        <w:vMerge w:val="restart"/>
                        <w:tcBorders>
                          <w:right w:val="single" w:color="7F7F7F" w:sz="2" w:space="0"/>
                          <w:top w:val="single" w:color="7F7F7F" w:sz="2" w:space="0"/>
                          <w:bottom w:val="nil"/>
                        </w:tcBorders>
                      </w:tcPr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83"/>
                          <w:spacing w:before="30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0.6</w:t>
                        </w:r>
                      </w:p>
                      <w:p>
                        <w:pPr>
                          <w:ind w:left="83"/>
                          <w:spacing w:before="88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0.5</w:t>
                        </w:r>
                      </w:p>
                      <w:p>
                        <w:pPr>
                          <w:ind w:left="83"/>
                          <w:spacing w:before="88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0.4</w:t>
                        </w:r>
                      </w:p>
                      <w:p>
                        <w:pPr>
                          <w:ind w:left="83"/>
                          <w:spacing w:before="89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0.3</w:t>
                        </w:r>
                      </w:p>
                      <w:p>
                        <w:pPr>
                          <w:ind w:left="83"/>
                          <w:spacing w:before="88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0.2</w:t>
                        </w:r>
                      </w:p>
                      <w:p>
                        <w:pPr>
                          <w:ind w:left="83"/>
                          <w:spacing w:before="88" w:line="128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0.1</w:t>
                        </w:r>
                      </w:p>
                      <w:p>
                        <w:pPr>
                          <w:ind w:left="83"/>
                          <w:spacing w:before="89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3"/>
                            <w:position w:val="1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746" w:hRule="atLeast"/>
                    </w:trPr>
                    <w:tc>
                      <w:tcPr>
                        <w:tcW w:w="474" w:type="dxa"/>
                        <w:vAlign w:val="top"/>
                        <w:vMerge w:val="continue"/>
                        <w:tcBorders>
                          <w:left w:val="single" w:color="7F7F7F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0" w:type="dxa"/>
                        <w:vAlign w:val="top"/>
                        <w:gridSpan w:val="4"/>
                      </w:tcPr>
                      <w:p>
                        <w:pPr>
                          <w:spacing w:line="29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53"/>
                          <w:spacing w:before="31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30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1"/>
                            <w:position w:val="1"/>
                          </w:rPr>
                          <w:t xml:space="preserve">           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59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position w:val="1"/>
                          </w:rPr>
                          <w:t xml:space="preserve">           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80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1"/>
                            <w:position w:val="1"/>
                          </w:rPr>
                          <w:t xml:space="preserve">          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112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1"/>
                            <w:position w:val="1"/>
                          </w:rPr>
                          <w:t xml:space="preserve">        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159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2"/>
                            <w:position w:val="1"/>
                          </w:rPr>
                          <w:t xml:space="preserve">        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240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1"/>
                            <w:position w:val="1"/>
                          </w:rPr>
                          <w:t xml:space="preserve">        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404040"/>
                            <w:spacing w:val="5"/>
                            <w:position w:val="1"/>
                          </w:rPr>
                          <w:t>385</w:t>
                        </w:r>
                      </w:p>
                      <w:p>
                        <w:pPr>
                          <w:ind w:left="94"/>
                          <w:spacing w:before="108" w:line="12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5"/>
                            <w:position w:val="1"/>
                          </w:rPr>
                          <w:t>2019         2020         2021         2022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4"/>
                            <w:position w:val="1"/>
                          </w:rPr>
                          <w:t xml:space="preserve">    2023E      2024E       2025E</w:t>
                        </w:r>
                      </w:p>
                    </w:tc>
                    <w:tc>
                      <w:tcPr>
                        <w:tcW w:w="403" w:type="dxa"/>
                        <w:vAlign w:val="top"/>
                        <w:vMerge w:val="continue"/>
                        <w:tcBorders>
                          <w:right w:val="single" w:color="7F7F7F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55" w:hRule="atLeast"/>
                    </w:trPr>
                    <w:tc>
                      <w:tcPr>
                        <w:tcW w:w="4067" w:type="dxa"/>
                        <w:vAlign w:val="top"/>
                        <w:gridSpan w:val="6"/>
                        <w:tcBorders>
                          <w:left w:val="single" w:color="7F7F7F" w:sz="2" w:space="0"/>
                          <w:bottom w:val="single" w:color="7F7F7F" w:sz="2" w:space="0"/>
                          <w:right w:val="single" w:color="7F7F7F" w:sz="2" w:space="0"/>
                        </w:tcBorders>
                      </w:tcPr>
                      <w:p>
                        <w:pPr>
                          <w:ind w:left="722"/>
                          <w:spacing w:before="86" w:line="132" w:lineRule="exact"/>
                          <w:rPr>
                            <w:rFonts w:ascii="SimSun" w:hAnsi="SimSun" w:eastAsia="SimSun" w:cs="SimSun"/>
                            <w:sz w:val="10"/>
                            <w:szCs w:val="1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595959"/>
                          </w:rPr>
                          <w:drawing>
                            <wp:inline distT="0" distB="0" distL="0" distR="0">
                              <wp:extent cx="122430" cy="41911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2430" cy="419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595959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595959"/>
                            <w:spacing w:val="8"/>
                          </w:rPr>
                          <w:t>市场规模（亿元）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595959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D7D31"/>
                            <w:spacing w:val="8"/>
                          </w:rPr>
                          <w:t>——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D7D31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595959"/>
                            <w:spacing w:val="8"/>
                          </w:rPr>
                          <w:t>同比增速（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595959"/>
                            <w:spacing w:val="8"/>
                          </w:rPr>
                          <w:t>%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595959"/>
                            <w:spacing w:val="8"/>
                          </w:rPr>
                          <w:t>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26" style="position:absolute;margin-left:234.468pt;margin-top:281.968pt;mso-position-vertical-relative:text;mso-position-horizontal-relative:text;width:160.85pt;height:56.65pt;z-index:251665408;" filled="false" stroked="false" coordsize="3217,1133" coordorigin="0,0">
            <v:shape id="_x0000_s28" style="position:absolute;left:157;top:18;width:2902;height:1110;" fillcolor="#5B9BD5" filled="true" stroked="false" coordsize="2902,1110" coordorigin="0,0" path="m0,1110l144,1110l144,1023l0,1023l0,1110xem459,1110l603,1110l603,940l459,940l459,1110xem919,1110l1063,1110l1063,879l919,879l919,1110xem1378,1110l1522,1110l1522,787l1378,787l1378,1110xem1838,1110l1982,1110l1982,651l1838,651l1838,1110xem2297,1110l2441,1110l2441,418l2297,418l2297,1110xem2757,1110l2901,1110l2901,0l2757,0l2757,1110xe"/>
            <v:shape id="_x0000_s30" style="position:absolute;left:0;top:1124;width:3217;height:8;" filled="false" strokecolor="#D9D9D9" strokeweight="0.45pt" coordsize="3217,8" coordorigin="0,0" path="m0,4l3216,4e">
              <v:stroke miterlimit="10"/>
            </v:shape>
            <v:shape id="_x0000_s32" style="position:absolute;left:678;top:15;width:2320;height:257;" filled="false" strokecolor="#ED7D31" strokeweight="1.02pt" coordsize="2320,257" coordorigin="0,0" path="m10,139l470,225m470,225l929,225m929,225l1389,9m1389,9l1848,117m1848,117l2308,247e">
              <v:stroke endcap="round" miterlimit="10"/>
            </v:shape>
            <v:shape id="_x0000_s34" style="position:absolute;left:664;top:134;width:49;height:43;" fillcolor="#ED7D31" filled="true" stroked="false" coordsize="49,43" coordorigin="0,0" path="m0,21c0,9,10,0,24,0c37,0,48,9,48,21c48,33,37,42,24,42c10,42,0,33,0,21e"/>
            <v:shape id="_x0000_s36" style="position:absolute;left:660;top:129;width:59;height:50;" filled="false" strokecolor="#ED7D31" strokeweight="0.45pt" coordsize="59,50" coordorigin="0,0" path="m4,25c4,13,15,4,29,4c42,4,53,13,53,25c53,37,42,46,29,46c15,46,4,37,4,25e">
              <v:stroke miterlimit="10"/>
            </v:shape>
            <v:shape id="_x0000_s38" style="position:absolute;left:1124;top:220;width:49;height:43;" fillcolor="#ED7D31" filled="true" stroked="false" coordsize="49,43" coordorigin="0,0" path="m0,21c0,9,10,0,24,0c37,0,48,9,48,21c48,33,37,42,24,42c10,42,0,33,0,21e"/>
            <v:shape id="_x0000_s40" style="position:absolute;left:1119;top:216;width:59;height:51;" filled="false" strokecolor="#ED7D31" strokeweight="0.45pt" coordsize="59,51" coordorigin="0,0" path="m4,25c4,13,15,4,29,4c42,4,53,13,53,25c53,37,42,46,29,46c15,46,4,37,4,25e">
              <v:stroke miterlimit="10"/>
            </v:shape>
            <v:shape id="_x0000_s42" style="position:absolute;left:1584;top:220;width:49;height:43;" fillcolor="#ED7D31" filled="true" stroked="false" coordsize="49,43" coordorigin="0,0" path="m0,21c0,9,10,0,24,0c37,0,48,9,48,21c48,33,37,42,24,42c10,42,0,33,0,21e"/>
            <v:shape id="_x0000_s44" style="position:absolute;left:1579;top:216;width:59;height:51;" filled="false" strokecolor="#ED7D31" strokeweight="0.45pt" coordsize="59,51" coordorigin="0,0" path="m4,25c4,13,15,4,29,4c42,4,53,13,53,25c53,37,42,46,29,46c15,46,4,37,4,25e">
              <v:stroke miterlimit="10"/>
            </v:shape>
            <v:shape id="_x0000_s46" style="position:absolute;left:2043;top:4;width:49;height:43;" fillcolor="#ED7D31" filled="true" stroked="false" coordsize="49,43" coordorigin="0,0" path="m0,21c0,9,10,0,24,0c37,0,48,9,48,21c48,33,37,42,24,42c10,42,0,33,0,21e"/>
            <v:shape id="_x0000_s48" style="position:absolute;left:2038;top:0;width:59;height:51;" filled="false" strokecolor="#ED7D31" strokeweight="0.45pt" coordsize="59,51" coordorigin="0,0" path="m4,25c4,13,15,4,29,4c42,4,53,13,53,25c53,37,42,46,29,46c15,46,4,37,4,25e">
              <v:stroke miterlimit="10"/>
            </v:shape>
            <v:shape id="_x0000_s50" style="position:absolute;left:2503;top:112;width:49;height:43;" fillcolor="#ED7D31" filled="true" stroked="false" coordsize="49,43" coordorigin="0,0" path="m0,21c0,9,10,0,24,0c37,0,48,9,48,21c48,33,37,42,24,42c10,42,0,33,0,21e"/>
            <v:shape id="_x0000_s52" style="position:absolute;left:2498;top:108;width:59;height:51;" filled="false" strokecolor="#ED7D31" strokeweight="0.45pt" coordsize="59,51" coordorigin="0,0" path="m4,25c4,13,15,4,29,4c42,4,53,13,53,25c53,37,42,46,29,46c15,46,4,37,4,25e">
              <v:stroke miterlimit="10"/>
            </v:shape>
            <v:shape id="_x0000_s54" style="position:absolute;left:2962;top:242;width:49;height:43;" fillcolor="#ED7D31" filled="true" stroked="false" coordsize="49,43" coordorigin="0,0" path="m0,21c0,9,10,0,24,0c37,0,48,9,48,21c48,33,37,42,24,42c10,42,0,33,0,21e"/>
            <v:shape id="_x0000_s56" style="position:absolute;left:2957;top:237;width:59;height:51;" filled="false" strokecolor="#ED7D31" strokeweight="0.45pt" coordsize="59,51" coordorigin="0,0" path="m4,25c4,13,15,4,29,4c42,4,53,13,53,25c53,37,42,46,29,46c15,46,4,37,4,25e">
              <v:stroke miterlimit="10"/>
            </v:shape>
            <v:shape id="_x0000_s58" style="position:absolute;left:2063;top:24;width:16;height:40;" filled="false" strokecolor="#A6A6A6" strokeweight="0.45pt" coordsize="16,40" coordorigin="0,0" path="m4,0l10,39e">
              <v:stroke miterlimit="10"/>
            </v:shape>
          </v:group>
        </w:pict>
      </w:r>
      <w:r>
        <w:rPr>
          <w:spacing w:val="-7"/>
        </w:rPr>
        <w:t>随着生成式 </w:t>
      </w:r>
      <w:r>
        <w:rPr>
          <w:rFonts w:ascii="Times New Roman" w:hAnsi="Times New Roman" w:eastAsia="Times New Roman" w:cs="Times New Roman"/>
          <w:spacing w:val="-7"/>
        </w:rPr>
        <w:t>AI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-7"/>
        </w:rPr>
        <w:t>的爆火和国内外大模型技术的不断发展，海</w:t>
      </w:r>
      <w:r>
        <w:rPr>
          <w:spacing w:val="-5"/>
        </w:rPr>
        <w:t>量数据的处理能力得到逐步提高，</w:t>
      </w:r>
      <w:r>
        <w:rPr>
          <w:rFonts w:ascii="Times New Roman" w:hAnsi="Times New Roman" w:eastAsia="Times New Roman" w:cs="Times New Roman"/>
          <w:spacing w:val="-5"/>
        </w:rPr>
        <w:t>AI  </w:t>
      </w:r>
      <w:r>
        <w:rPr>
          <w:spacing w:val="-5"/>
        </w:rPr>
        <w:t>大模型的嵌入，</w:t>
      </w:r>
      <w:r>
        <w:rPr>
          <w:rFonts w:ascii="Times New Roman" w:hAnsi="Times New Roman" w:eastAsia="Times New Roman" w:cs="Times New Roman"/>
          <w:spacing w:val="-5"/>
        </w:rPr>
        <w:t>AI+</w:t>
      </w:r>
      <w:r>
        <w:rPr>
          <w:spacing w:val="-5"/>
        </w:rPr>
        <w:t>医疗将</w:t>
      </w:r>
      <w:r>
        <w:rPr>
          <w:spacing w:val="-2"/>
        </w:rPr>
        <w:t>迎来快速发展阶段。</w:t>
      </w:r>
      <w:r>
        <w:rPr>
          <w:rFonts w:ascii="Times New Roman" w:hAnsi="Times New Roman" w:eastAsia="Times New Roman" w:cs="Times New Roman"/>
          <w:spacing w:val="-2"/>
        </w:rPr>
        <w:t>Statista </w:t>
      </w:r>
      <w:r>
        <w:rPr>
          <w:spacing w:val="-2"/>
        </w:rPr>
        <w:t>报告预测，全球医疗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市场规模保</w:t>
      </w:r>
      <w:r>
        <w:rPr>
          <w:spacing w:val="-3"/>
        </w:rPr>
        <w:t>持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37.0%</w:t>
      </w:r>
      <w:r>
        <w:rPr>
          <w:spacing w:val="-3"/>
        </w:rPr>
        <w:t>的增长率，预计到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 </w:t>
      </w:r>
      <w:r>
        <w:rPr>
          <w:spacing w:val="-3"/>
        </w:rPr>
        <w:t>年将达到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387  </w:t>
      </w:r>
      <w:r>
        <w:rPr>
          <w:spacing w:val="-3"/>
        </w:rPr>
        <w:t>亿美元。中国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spacing w:val="-1"/>
        </w:rPr>
        <w:t>医疗核心软件市场增速领跑全球，呈现繁荣态势，</w:t>
      </w:r>
      <w:r>
        <w:rPr>
          <w:rFonts w:ascii="Times New Roman" w:hAnsi="Times New Roman" w:eastAsia="Times New Roman" w:cs="Times New Roman"/>
          <w:spacing w:val="-1"/>
        </w:rPr>
        <w:t>2020~20</w:t>
      </w:r>
      <w:r>
        <w:rPr>
          <w:rFonts w:ascii="Times New Roman" w:hAnsi="Times New Roman" w:eastAsia="Times New Roman" w:cs="Times New Roman"/>
          <w:spacing w:val="-2"/>
        </w:rPr>
        <w:t>25 </w:t>
      </w:r>
      <w:r>
        <w:rPr>
          <w:spacing w:val="-2"/>
        </w:rPr>
        <w:t>年</w:t>
      </w:r>
      <w:r>
        <w:rPr>
          <w:rFonts w:ascii="Times New Roman" w:hAnsi="Times New Roman" w:eastAsia="Times New Roman" w:cs="Times New Roman"/>
          <w:spacing w:val="-6"/>
        </w:rPr>
        <w:t>CAGR </w:t>
      </w:r>
      <w:r>
        <w:rPr>
          <w:spacing w:val="-6"/>
        </w:rPr>
        <w:t>高达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45.7%</w:t>
      </w:r>
      <w:r>
        <w:rPr>
          <w:spacing w:val="-6"/>
        </w:rPr>
        <w:t>，预计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2025 </w:t>
      </w:r>
      <w:r>
        <w:rPr>
          <w:spacing w:val="-6"/>
        </w:rPr>
        <w:t>年总体规模将超过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385 </w:t>
      </w:r>
      <w:r>
        <w:rPr>
          <w:spacing w:val="-6"/>
        </w:rPr>
        <w:t>亿人民币。</w:t>
      </w:r>
      <w:r>
        <w:rPr>
          <w:spacing w:val="-2"/>
        </w:rPr>
        <w:t>医疗大模型成为医疗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2"/>
        </w:rPr>
        <w:t>核心软件市场增长关</w:t>
      </w:r>
      <w:r>
        <w:rPr>
          <w:spacing w:val="-3"/>
        </w:rPr>
        <w:t>键引擎，以未来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2"/>
        </w:rPr>
        <w:t>年约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30%</w:t>
      </w:r>
      <w:r>
        <w:rPr>
          <w:spacing w:val="-2"/>
        </w:rPr>
        <w:t>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AIGC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2"/>
        </w:rPr>
        <w:t>相关投入计，到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年医疗大模型市场空间</w:t>
      </w:r>
      <w:r>
        <w:rPr>
          <w:spacing w:val="-6"/>
        </w:rPr>
        <w:t>有望超过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120 </w:t>
      </w:r>
      <w:r>
        <w:rPr>
          <w:spacing w:val="-6"/>
        </w:rPr>
        <w:t>亿人民币。</w:t>
      </w:r>
    </w:p>
    <w:p>
      <w:pPr>
        <w:spacing w:line="134" w:lineRule="exact"/>
        <w:rPr/>
      </w:pPr>
      <w:r/>
    </w:p>
    <w:tbl>
      <w:tblPr>
        <w:tblStyle w:val="TableNormal"/>
        <w:tblW w:w="4068" w:type="dxa"/>
        <w:tblInd w:w="16" w:type="dxa"/>
        <w:tblLayout w:type="fixed"/>
        <w:tblBorders>
          <w:top w:val="single" w:color="7F7F7F" w:sz="2" w:space="0"/>
          <w:left w:val="single" w:color="7F7F7F" w:sz="2" w:space="0"/>
          <w:bottom w:val="single" w:color="7F7F7F" w:sz="2" w:space="0"/>
          <w:right w:val="single" w:color="7F7F7F" w:sz="2" w:space="0"/>
          <w:insideH w:val="single" w:color="7F7F7F" w:sz="2" w:space="0"/>
          <w:insideV w:val="single" w:color="7F7F7F" w:sz="2" w:space="0"/>
        </w:tblBorders>
      </w:tblPr>
      <w:tblGrid>
        <w:gridCol w:w="397"/>
        <w:gridCol w:w="3227"/>
        <w:gridCol w:w="444"/>
      </w:tblGrid>
      <w:tr>
        <w:trPr>
          <w:trHeight w:val="1915" w:hRule="atLeast"/>
        </w:trPr>
        <w:tc>
          <w:tcPr>
            <w:tcW w:w="397" w:type="dxa"/>
            <w:vAlign w:val="top"/>
            <w:tcBorders>
              <w:bottom w:val="nil"/>
              <w:right w:val="nil"/>
            </w:tcBorders>
          </w:tcPr>
          <w:p>
            <w:pPr>
              <w:ind w:left="166"/>
              <w:spacing w:before="245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5"/>
                <w:position w:val="1"/>
              </w:rPr>
              <w:t>200</w:t>
            </w:r>
          </w:p>
          <w:p>
            <w:pPr>
              <w:ind w:left="170"/>
              <w:spacing w:before="10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180</w:t>
            </w:r>
          </w:p>
          <w:p>
            <w:pPr>
              <w:ind w:left="170"/>
              <w:spacing w:before="11" w:line="127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160</w:t>
            </w:r>
          </w:p>
          <w:p>
            <w:pPr>
              <w:ind w:left="170"/>
              <w:spacing w:before="11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140</w:t>
            </w:r>
          </w:p>
          <w:p>
            <w:pPr>
              <w:ind w:left="170"/>
              <w:spacing w:before="10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120</w:t>
            </w:r>
          </w:p>
          <w:p>
            <w:pPr>
              <w:ind w:left="170"/>
              <w:spacing w:before="11" w:line="127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100</w:t>
            </w:r>
          </w:p>
          <w:p>
            <w:pPr>
              <w:ind w:left="223"/>
              <w:spacing w:before="12" w:line="127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5"/>
                <w:position w:val="1"/>
              </w:rPr>
              <w:t>80</w:t>
            </w:r>
          </w:p>
          <w:p>
            <w:pPr>
              <w:ind w:left="225"/>
              <w:spacing w:before="12" w:line="127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5"/>
                <w:position w:val="1"/>
              </w:rPr>
              <w:t>60</w:t>
            </w:r>
          </w:p>
          <w:p>
            <w:pPr>
              <w:ind w:left="221"/>
              <w:spacing w:before="11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  <w:position w:val="1"/>
              </w:rPr>
              <w:t>40</w:t>
            </w:r>
          </w:p>
          <w:p>
            <w:pPr>
              <w:ind w:left="225"/>
              <w:spacing w:before="11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20</w:t>
            </w:r>
          </w:p>
          <w:p>
            <w:pPr>
              <w:ind w:left="282"/>
              <w:spacing w:before="11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4"/>
                <w:position w:val="1"/>
              </w:rPr>
              <w:t>0</w:t>
            </w:r>
          </w:p>
        </w:tc>
        <w:tc>
          <w:tcPr>
            <w:tcW w:w="322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2888"/>
              <w:spacing w:before="30" w:line="185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11319</wp:posOffset>
                  </wp:positionH>
                  <wp:positionV relativeFrom="paragraph">
                    <wp:posOffset>71175</wp:posOffset>
                  </wp:positionV>
                  <wp:extent cx="2011359" cy="830496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1359" cy="83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37.4%</w:t>
            </w:r>
          </w:p>
          <w:p>
            <w:pPr>
              <w:ind w:left="2571"/>
              <w:spacing w:line="234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37.3%</w:t>
            </w:r>
          </w:p>
          <w:p>
            <w:pPr>
              <w:ind w:left="1937"/>
              <w:spacing w:before="47" w:line="185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37.1%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9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37.1%</w:t>
            </w:r>
          </w:p>
          <w:p>
            <w:pPr>
              <w:ind w:left="1620"/>
              <w:spacing w:line="234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37.0%</w:t>
            </w:r>
          </w:p>
          <w:p>
            <w:pPr>
              <w:ind w:left="1303"/>
              <w:spacing w:before="46" w:line="185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36.8%</w:t>
            </w:r>
          </w:p>
          <w:p>
            <w:pPr>
              <w:ind w:left="670"/>
              <w:spacing w:line="234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36.7%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</w:rPr>
              <w:t>36.7%</w:t>
            </w:r>
          </w:p>
          <w:p>
            <w:pPr>
              <w:ind w:left="353"/>
              <w:spacing w:before="47" w:line="127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7"/>
                <w:position w:val="1"/>
              </w:rPr>
              <w:t>36.5%</w:t>
            </w:r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53"/>
              <w:spacing w:before="30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11.06   15.1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10"/>
                <w:w w:val="103"/>
                <w:position w:val="1"/>
              </w:rPr>
              <w:t xml:space="preserve">  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26.65  28.24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5"/>
                <w:w w:val="104"/>
                <w:position w:val="1"/>
              </w:rPr>
              <w:t xml:space="preserve"> 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38.66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5"/>
                <w:w w:val="103"/>
                <w:position w:val="1"/>
              </w:rPr>
              <w:t xml:space="preserve"> 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52.97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5"/>
                <w:w w:val="103"/>
                <w:position w:val="1"/>
              </w:rPr>
              <w:t xml:space="preserve"> 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72.62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5"/>
                <w:position w:val="1"/>
              </w:rPr>
              <w:t xml:space="preserve"> 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99.63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8"/>
                <w:w w:val="104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404040"/>
                <w:spacing w:val="6"/>
                <w:position w:val="1"/>
              </w:rPr>
              <w:t>136.79187.95</w:t>
            </w:r>
          </w:p>
          <w:p>
            <w:pPr>
              <w:ind w:left="64"/>
              <w:spacing w:before="108" w:line="128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7"/>
                <w:position w:val="1"/>
              </w:rPr>
              <w:t>2021   2022  2023E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7"/>
                <w:position w:val="1"/>
              </w:rPr>
              <w:t>2024E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7"/>
                <w:position w:val="1"/>
              </w:rPr>
              <w:t>2025E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8"/>
                <w:w w:val="10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7"/>
                <w:position w:val="1"/>
              </w:rPr>
              <w:t>2026E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7"/>
                <w:position w:val="1"/>
              </w:rPr>
              <w:t>2027E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  <w:position w:val="1"/>
              </w:rPr>
              <w:t>2028E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  <w:position w:val="1"/>
              </w:rPr>
              <w:t>2029E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  <w:position w:val="1"/>
              </w:rPr>
              <w:t>2030E</w:t>
            </w:r>
          </w:p>
        </w:tc>
        <w:tc>
          <w:tcPr>
            <w:tcW w:w="444" w:type="dxa"/>
            <w:vAlign w:val="top"/>
            <w:tcBorders>
              <w:left w:val="nil"/>
              <w:bottom w:val="nil"/>
            </w:tcBorders>
          </w:tcPr>
          <w:p>
            <w:pPr>
              <w:ind w:left="39" w:right="142"/>
              <w:spacing w:before="244" w:line="33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0.376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0.374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0.372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5"/>
              </w:rPr>
              <w:t>0.37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0.368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0.366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0.364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</w:rPr>
              <w:t>0.362</w:t>
            </w:r>
          </w:p>
          <w:p>
            <w:pPr>
              <w:ind w:left="39"/>
              <w:spacing w:before="46" w:line="127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6"/>
                <w:position w:val="1"/>
              </w:rPr>
              <w:t>0.36</w:t>
            </w:r>
          </w:p>
        </w:tc>
      </w:tr>
      <w:tr>
        <w:trPr>
          <w:trHeight w:val="356" w:hRule="atLeast"/>
        </w:trPr>
        <w:tc>
          <w:tcPr>
            <w:tcW w:w="4068" w:type="dxa"/>
            <w:vAlign w:val="top"/>
            <w:gridSpan w:val="3"/>
            <w:tcBorders>
              <w:top w:val="nil"/>
            </w:tcBorders>
          </w:tcPr>
          <w:p>
            <w:pPr>
              <w:ind w:left="818"/>
              <w:spacing w:before="61" w:line="132" w:lineRule="exact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z w:val="10"/>
                <w:szCs w:val="10"/>
                <w:color w:val="595959"/>
              </w:rPr>
              <w:drawing>
                <wp:inline distT="0" distB="0" distL="0" distR="0">
                  <wp:extent cx="122431" cy="4191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431" cy="41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10"/>
                <w:szCs w:val="10"/>
                <w:color w:val="59595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color w:val="595959"/>
                <w:spacing w:val="9"/>
              </w:rPr>
              <w:t>市场规模（十亿美元）</w:t>
            </w:r>
            <w:r>
              <w:rPr>
                <w:rFonts w:ascii="SimSun" w:hAnsi="SimSun" w:eastAsia="SimSun" w:cs="SimSun"/>
                <w:sz w:val="10"/>
                <w:szCs w:val="10"/>
                <w:color w:val="595959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D7D31"/>
                <w:spacing w:val="9"/>
              </w:rPr>
              <w:t>——</w:t>
            </w:r>
            <w:r>
              <w:rPr>
                <w:rFonts w:ascii="Arial" w:hAnsi="Arial" w:eastAsia="Arial" w:cs="Arial"/>
                <w:sz w:val="10"/>
                <w:szCs w:val="10"/>
                <w:color w:val="ED7D31"/>
                <w:spacing w:val="16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color w:val="595959"/>
                <w:spacing w:val="9"/>
              </w:rPr>
              <w:t>同比增速（</w:t>
            </w:r>
            <w:r>
              <w:rPr>
                <w:rFonts w:ascii="Calibri" w:hAnsi="Calibri" w:eastAsia="Calibri" w:cs="Calibri"/>
                <w:sz w:val="10"/>
                <w:szCs w:val="10"/>
                <w:color w:val="595959"/>
                <w:spacing w:val="9"/>
              </w:rPr>
              <w:t>%</w:t>
            </w:r>
            <w:r>
              <w:rPr>
                <w:rFonts w:ascii="SimSun" w:hAnsi="SimSun" w:eastAsia="SimSun" w:cs="SimSun"/>
                <w:sz w:val="10"/>
                <w:szCs w:val="10"/>
                <w:color w:val="595959"/>
                <w:spacing w:val="9"/>
              </w:rPr>
              <w:t>）</w:t>
            </w:r>
          </w:p>
        </w:tc>
      </w:tr>
    </w:tbl>
    <w:p>
      <w:pPr>
        <w:ind w:left="1920"/>
        <w:spacing w:before="218" w:line="231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   </w:t>
      </w:r>
      <w:r>
        <w:rPr>
          <w:rFonts w:ascii="KaiTi" w:hAnsi="KaiTi" w:eastAsia="KaiTi" w:cs="KaiTi"/>
          <w:sz w:val="30"/>
          <w:szCs w:val="30"/>
          <w:spacing w:val="-7"/>
        </w:rPr>
        <w:t>国内外全球医疗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KaiTi" w:hAnsi="KaiTi" w:eastAsia="KaiTi" w:cs="KaiTi"/>
          <w:sz w:val="30"/>
          <w:szCs w:val="30"/>
          <w:spacing w:val="-7"/>
        </w:rPr>
        <w:t>市场规模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7" w:right="14" w:firstLine="609"/>
        <w:spacing w:before="98" w:line="276" w:lineRule="auto"/>
        <w:outlineLvl w:val="3"/>
        <w:rPr/>
      </w:pPr>
      <w:r>
        <w:rPr>
          <w:b/>
          <w:bCs/>
          <w:spacing w:val="-4"/>
        </w:rPr>
        <w:t>（二）市场参与者在不同方向切入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AI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b/>
          <w:bCs/>
          <w:spacing w:val="-4"/>
        </w:rPr>
        <w:t>智慧医疗赛道，迎来</w:t>
      </w:r>
      <w:r>
        <w:rPr>
          <w:b/>
          <w:bCs/>
          <w:spacing w:val="-5"/>
        </w:rPr>
        <w:t>新发展机遇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5" w:right="14" w:firstLine="603"/>
        <w:spacing w:before="97" w:line="331" w:lineRule="auto"/>
        <w:jc w:val="both"/>
        <w:rPr/>
      </w:pPr>
      <w:r>
        <w:rPr>
          <w:spacing w:val="-3"/>
        </w:rPr>
        <w:t>我国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AI+</w:t>
      </w:r>
      <w:r>
        <w:rPr>
          <w:spacing w:val="-3"/>
        </w:rPr>
        <w:t>医疗相关企业数量超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万家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2</w:t>
      </w:r>
      <w:r>
        <w:rPr>
          <w:spacing w:val="-3"/>
        </w:rPr>
        <w:t>，智能化的颠覆几乎</w:t>
      </w:r>
      <w:r>
        <w:rPr>
          <w:spacing w:val="-1"/>
        </w:rPr>
        <w:t>存在于所有医疗赛道，分成医疗信息化领军、互联网及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大数</w:t>
      </w:r>
      <w:r>
        <w:rPr>
          <w:spacing w:val="-3"/>
        </w:rPr>
        <w:t>据三大类企业，从各自擅长领域切入。</w:t>
      </w:r>
    </w:p>
    <w:p>
      <w:pPr>
        <w:pStyle w:val="BodyText"/>
        <w:ind w:left="636"/>
        <w:spacing w:before="28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．医疗信息化领军企业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98" w:line="219" w:lineRule="auto"/>
        <w:jc w:val="right"/>
        <w:rPr/>
      </w:pPr>
      <w:r>
        <w:rPr>
          <w:spacing w:val="-11"/>
        </w:rPr>
        <w:t>以卫宁、东软等为代表的企业， 深耕医院客户多年，拥有丰</w:t>
      </w:r>
    </w:p>
    <w:p>
      <w:pPr>
        <w:spacing w:line="424" w:lineRule="auto"/>
        <w:rPr>
          <w:rFonts w:ascii="Arial"/>
          <w:sz w:val="21"/>
        </w:rPr>
      </w:pPr>
      <w:r>
        <w:pict>
          <v:shape id="_x0000_s60" style="position:absolute;margin-left:0.72599pt;margin-top:17.4884pt;mso-position-vertical-relative:text;mso-position-horizontal-relative:text;width:144.05pt;height:0.5pt;z-index:251668480;" fillcolor="#000000" filled="true" stroked="false" coordsize="2881,10" coordorigin="0,0" path="m0,9l2880,9l2880,0l0,0l0,9xe"/>
        </w:pict>
      </w:r>
      <w:r/>
    </w:p>
    <w:p>
      <w:pPr>
        <w:ind w:left="27" w:right="14" w:hanging="7"/>
        <w:spacing w:before="69" w:line="24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2    </w:t>
      </w:r>
      <w:r>
        <w:rPr>
          <w:rFonts w:ascii="FangSong" w:hAnsi="FangSong" w:eastAsia="FangSong" w:cs="FangSong"/>
          <w:sz w:val="21"/>
          <w:szCs w:val="21"/>
          <w:spacing w:val="-1"/>
        </w:rPr>
        <w:t>中研普华产业研究院的报告《</w:t>
      </w:r>
      <w:hyperlink w:history="true" r:id="rId12">
        <w:r>
          <w:rPr>
            <w:rFonts w:ascii="FangSong" w:hAnsi="FangSong" w:eastAsia="FangSong" w:cs="FangSong"/>
            <w:sz w:val="21"/>
            <w:szCs w:val="21"/>
            <w:spacing w:val="-1"/>
          </w:rPr>
          <w:t>2023-2028</w:t>
        </w:r>
        <w:r>
          <w:rPr>
            <w:rFonts w:ascii="FangSong" w:hAnsi="FangSong" w:eastAsia="FangSong" w:cs="FangSong"/>
            <w:sz w:val="21"/>
            <w:szCs w:val="21"/>
            <w:spacing w:val="-22"/>
          </w:rPr>
          <w:t xml:space="preserve"> </w:t>
        </w:r>
        <w:r>
          <w:rPr>
            <w:rFonts w:ascii="FangSong" w:hAnsi="FangSong" w:eastAsia="FangSong" w:cs="FangSong"/>
            <w:sz w:val="21"/>
            <w:szCs w:val="21"/>
            <w:spacing w:val="-1"/>
          </w:rPr>
          <w:t>年中国人工智能医疗行业深度分析及发展前景预</w:t>
        </w:r>
      </w:hyperlink>
      <w:hyperlink w:history="true" r:id="rId12">
        <w:r>
          <w:rPr>
            <w:rFonts w:ascii="FangSong" w:hAnsi="FangSong" w:eastAsia="FangSong" w:cs="FangSong"/>
            <w:sz w:val="21"/>
            <w:szCs w:val="21"/>
            <w:spacing w:val="-3"/>
          </w:rPr>
          <w:t>测报告</w:t>
        </w:r>
      </w:hyperlink>
      <w:r>
        <w:rPr>
          <w:rFonts w:ascii="FangSong" w:hAnsi="FangSong" w:eastAsia="FangSong" w:cs="FangSong"/>
          <w:sz w:val="21"/>
          <w:szCs w:val="21"/>
          <w:spacing w:val="-3"/>
        </w:rPr>
        <w:t>》</w:t>
      </w:r>
    </w:p>
    <w:p>
      <w:pPr>
        <w:spacing w:line="246" w:lineRule="auto"/>
        <w:sectPr>
          <w:pgSz w:w="11907" w:h="16839"/>
          <w:pgMar w:top="400" w:right="1785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8" w:right="9" w:firstLine="12"/>
        <w:spacing w:before="97" w:line="325" w:lineRule="auto"/>
        <w:rPr/>
      </w:pPr>
      <w:r>
        <w:rPr>
          <w:spacing w:val="-3"/>
        </w:rPr>
        <w:t>富的行业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know-how </w:t>
      </w:r>
      <w:r>
        <w:rPr>
          <w:spacing w:val="-3"/>
        </w:rPr>
        <w:t>和强大的技术实力</w:t>
      </w:r>
      <w:r>
        <w:rPr>
          <w:spacing w:val="-4"/>
        </w:rPr>
        <w:t>，有望从传统的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HIS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4"/>
        </w:rPr>
        <w:t>系统</w:t>
      </w:r>
      <w:r>
        <w:rPr>
          <w:spacing w:val="-4"/>
        </w:rPr>
        <w:t>等医疗信息系统建设切入智慧医疗赛道。</w:t>
      </w:r>
    </w:p>
    <w:p>
      <w:pPr>
        <w:pStyle w:val="BodyText"/>
        <w:ind w:left="624"/>
        <w:spacing w:before="302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．互联网医疗平台企业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9" w:right="12" w:firstLine="630"/>
        <w:spacing w:before="97" w:line="334" w:lineRule="auto"/>
        <w:jc w:val="both"/>
        <w:rPr/>
      </w:pPr>
      <w:r>
        <w:rPr>
          <w:spacing w:val="-10"/>
        </w:rPr>
        <w:t>以平安好医生、京东健康等为代表的企业，</w:t>
      </w:r>
      <w:r>
        <w:rPr>
          <w:spacing w:val="-81"/>
        </w:rPr>
        <w:t xml:space="preserve"> </w:t>
      </w:r>
      <w:r>
        <w:rPr>
          <w:spacing w:val="-10"/>
        </w:rPr>
        <w:t>掌握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C </w:t>
      </w:r>
      <w:r>
        <w:rPr>
          <w:spacing w:val="-10"/>
        </w:rPr>
        <w:t>端患者入</w:t>
      </w:r>
      <w:r>
        <w:rPr>
          <w:spacing w:val="-4"/>
        </w:rPr>
        <w:t>口，依托在线问诊等互联网医疗需求切入智慧医疗赛道，未来有</w:t>
      </w:r>
      <w:r>
        <w:rPr>
          <w:spacing w:val="1"/>
        </w:rPr>
        <w:t>望实现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B </w:t>
      </w:r>
      <w:r>
        <w:rPr>
          <w:spacing w:val="1"/>
        </w:rPr>
        <w:t>端和</w:t>
      </w:r>
      <w:r>
        <w:rPr>
          <w:rFonts w:ascii="Times New Roman" w:hAnsi="Times New Roman" w:eastAsia="Times New Roman" w:cs="Times New Roman"/>
          <w:spacing w:val="1"/>
        </w:rPr>
        <w:t>C </w:t>
      </w:r>
      <w:r>
        <w:rPr>
          <w:spacing w:val="1"/>
        </w:rPr>
        <w:t>端双驱动。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b/>
          <w:bCs/>
          <w:spacing w:val="-2"/>
        </w:rPr>
        <w:t>AI </w:t>
      </w:r>
      <w:r>
        <w:rPr>
          <w:b/>
          <w:bCs/>
          <w:spacing w:val="-2"/>
        </w:rPr>
        <w:t>大数据企业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5" w:right="12" w:firstLine="635"/>
        <w:spacing w:before="98" w:line="334" w:lineRule="auto"/>
        <w:jc w:val="both"/>
        <w:rPr/>
      </w:pPr>
      <w:r>
        <w:rPr>
          <w:spacing w:val="-3"/>
        </w:rPr>
        <w:t>以百度、医渡科技等为代表的企业，拥有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和大数据核心</w:t>
      </w:r>
      <w:r>
        <w:rPr>
          <w:spacing w:val="-4"/>
        </w:rPr>
        <w:t>技术，通过新兴技术赋能医疗产业，有望在数据和技术驱动下开</w:t>
      </w:r>
      <w:r>
        <w:rPr>
          <w:spacing w:val="-3"/>
        </w:rPr>
        <w:t>辟智慧医疗新应用场景，从而实现快速增长。</w:t>
      </w:r>
    </w:p>
    <w:p>
      <w:pPr>
        <w:spacing w:line="111" w:lineRule="exact"/>
        <w:rPr/>
      </w:pPr>
      <w:r/>
    </w:p>
    <w:p>
      <w:pPr>
        <w:spacing w:line="111" w:lineRule="exact"/>
        <w:sectPr>
          <w:pgSz w:w="11907" w:h="16839"/>
          <w:pgMar w:top="400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ind w:left="349" w:right="1888" w:firstLine="2"/>
        <w:spacing w:before="107" w:line="180" w:lineRule="auto"/>
        <w:jc w:val="both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62" style="position:absolute;margin-left:216.179pt;margin-top:17.2545pt;mso-position-vertical-relative:text;mso-position-horizontal-relative:text;width:11.65pt;height:11.65pt;z-index:251677696;" fillcolor="#FFFFFF" filled="true" stroked="false" coordsize="232,232" coordorigin="0,0" path="m116,0c52,0,0,52,0,116c0,179,52,232,116,232c179,232,232,179,232,116c232,52,179,0,116,0m161,137c71,137,71,137,71,137c60,137,50,126,50,116c50,103,60,95,71,95c161,95,161,95,161,95c171,95,179,103,179,116c179,126,171,137,161,137e"/>
        </w:pict>
      </w:r>
      <w:r>
        <w:pict>
          <v:shape id="_x0000_s64" style="position:absolute;margin-left:205.414pt;margin-top:3.62402pt;mso-position-vertical-relative:text;mso-position-horizontal-relative:text;width:34.25pt;height:39.2pt;z-index:-251644928;" fillcolor="#1F487C" filled="true" stroked="false" coordsize="685,784" coordorigin="0,0" path="m344,0l684,170l684,613l344,783l0,613l0,170l344,0xe"/>
        </w:pict>
      </w:r>
      <w:r>
        <w:pict>
          <v:shape id="_x0000_s66" style="position:absolute;margin-left:158.412pt;margin-top:3.62402pt;mso-position-vertical-relative:text;mso-position-horizontal-relative:text;width:34.25pt;height:39.2pt;z-index:-251643904;" fillcolor="#1F487C" filled="true" stroked="false" coordsize="685,784" coordorigin="0,0" path="m340,0l684,170l684,613l340,783l0,613l0,170l340,0xe"/>
        </w:pict>
      </w:r>
      <w:r>
        <w:pict>
          <v:shape id="_x0000_s68" style="position:absolute;margin-left:169.603pt;margin-top:16.0011pt;mso-position-vertical-relative:text;mso-position-horizontal-relative:text;width:11.65pt;height:11.65pt;z-index:251678720;" fillcolor="#FFFFFF" filled="true" stroked="false" coordsize="232,232" coordorigin="0,0" path="m116,0c52,0,0,52,0,116c0,179,52,232,116,232c179,232,232,179,232,116c232,52,179,0,116,0m161,137c71,137,71,137,71,137c60,137,50,126,50,116c50,103,60,95,71,95c161,95,161,95,161,95c171,95,179,103,179,116c179,126,171,137,161,137e"/>
        </w:pict>
      </w:r>
      <w:r>
        <w:pict>
          <v:group id="_x0000_s70" style="position:absolute;margin-left:136.031pt;margin-top:35.6298pt;mso-position-vertical-relative:text;mso-position-horizontal-relative:text;width:103.65pt;height:85.5pt;z-index:-251642880;" filled="false" stroked="false" coordsize="2073,1710" coordorigin="0,0">
            <v:shape id="_x0000_s72" style="position:absolute;left:0;top:147;width:2073;height:1563;" fillcolor="#1F487C" filled="true" stroked="false" coordsize="2073,1563" coordorigin="0,0" path="m1732,778l2072,948l2072,1392l1732,1562l1387,1392l1387,948l1732,778xem769,760l1110,931l1110,1374l769,1544l429,1374l429,931l769,760xem344,0l684,170l684,613l344,783l0,613l0,170l344,0xe"/>
            <v:shape id="_x0000_s74" style="position:absolute;left:792;top:0;width:935;height:1075;" fillcolor="#E7E6E6" filled="true" stroked="false" coordsize="935,1075" coordorigin="0,0" path="m470,0l935,232l935,841l470,1074l0,841l0,232l470,0xe"/>
          </v:group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2383409</wp:posOffset>
            </wp:positionH>
            <wp:positionV relativeFrom="paragraph">
              <wp:posOffset>615714</wp:posOffset>
            </wp:positionV>
            <wp:extent cx="274454" cy="3839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54" cy="38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6" style="position:absolute;margin-left:226.005pt;margin-top:43.0157pt;mso-position-vertical-relative:text;mso-position-horizontal-relative:text;width:34.05pt;height:39.4pt;z-index:251674624;" filled="false" stroked="false" coordsize="680,788" coordorigin="0,0">
            <v:shape id="_x0000_s78" style="position:absolute;left:0;top:0;width:680;height:788;" fillcolor="#1F487C" filled="true" stroked="false" coordsize="680,788" coordorigin="0,0" path="m340,0l680,170l680,613l340,787l0,613l0,170l340,0xe"/>
            <v:shape id="_x0000_s80" style="position:absolute;left:225;top:260;width:232;height:232;" fillcolor="#FFFFFF" filled="true" stroked="false" coordsize="232,232" coordorigin="0,0" path="m116,0c52,0,0,52,0,116c0,179,52,232,116,232c179,232,232,179,232,116c232,52,179,0,116,0m161,137c71,137,71,137,71,137c60,137,50,126,50,116c50,103,60,95,71,95c161,95,161,95,161,95c171,95,179,103,179,116c179,126,171,137,161,137e"/>
          </v:group>
        </w:pic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百度：构建国内首个“产业级”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医疗大模型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灵医大模型能够结合自由文本秒级生成结构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化病历，支持基于文献解析内容实现智能问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答等，已向200多家医疗机构开放体验。</w:t>
      </w:r>
    </w:p>
    <w:p>
      <w:pPr>
        <w:ind w:left="310" w:right="2200"/>
        <w:spacing w:before="235" w:line="180" w:lineRule="auto"/>
        <w:jc w:val="both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82" style="position:absolute;margin-left:148.027pt;margin-top:17.2635pt;mso-position-vertical-relative:text;mso-position-horizontal-relative:text;width:11.65pt;height:11.65pt;z-index:251679744;" fillcolor="#FFFFFF" filled="true" stroked="false" coordsize="232,232" coordorigin="0,0" path="m116,0c52,0,0,52,0,116c0,179,52,232,116,232c179,232,232,179,232,116c232,52,179,0,116,0m161,137c71,137,71,137,71,137c60,137,50,126,50,116c50,103,60,95,71,95c161,95,161,95,161,95c171,95,179,103,179,116c179,126,171,137,161,137e"/>
        </w:pict>
      </w:r>
      <w:r>
        <w:pict>
          <v:shape id="_x0000_s84" style="position:absolute;margin-left:169.2pt;margin-top:56.038pt;mso-position-vertical-relative:text;mso-position-horizontal-relative:text;width:11.65pt;height:11.65pt;z-index:251680768;" fillcolor="#FFFFFF" filled="true" stroked="false" coordsize="232,232" coordorigin="0,0" path="m116,0c52,0,0,52,0,116c0,179,52,232,116,232c179,232,232,179,232,116c232,52,179,0,116,0m161,137c71,137,71,137,71,137c60,137,50,126,50,116c50,103,60,95,71,95c161,95,161,95,161,95c171,95,179,103,179,116c179,126,171,137,161,137e"/>
        </w:pict>
      </w:r>
      <w:r>
        <w:pict>
          <v:shape id="_x0000_s86" style="position:absolute;margin-left:216.783pt;margin-top:56.038pt;mso-position-vertical-relative:text;mso-position-horizontal-relative:text;width:11.65pt;height:11.65pt;z-index:251676672;" fillcolor="#FFFFFF" filled="true" stroked="false" coordsize="232,232" coordorigin="0,0" path="m116,0c52,0,0,52,0,116c0,179,52,232,116,232c179,232,232,179,232,116c232,52,179,0,116,0m161,137c71,137,71,137,71,137c60,137,50,126,50,116c50,103,60,95,71,95c161,95,161,95,161,95c171,95,179,103,179,116c179,126,171,137,161,137e"/>
        </w:pic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5"/>
        </w:rPr>
        <w:t>京东健康: 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AI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5"/>
        </w:rPr>
        <w:t>驱动远程医疗与慢病管理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推出了医疗健康行业的大模型“京医千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询”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，推出医疗健康开放生态平台“京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医星脉”。</w:t>
      </w:r>
    </w:p>
    <w:p>
      <w:pPr>
        <w:ind w:left="409" w:right="1685" w:firstLine="1"/>
        <w:spacing w:before="279" w:line="182" w:lineRule="auto"/>
        <w:jc w:val="both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平安好医生：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AI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助力互联网医疗提供优质服务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致力于人工智能技术的自主研发，打造辅诊平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2"/>
        </w:rPr>
        <w:t>台项目和问诊对话即时消息的链路监控。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585" w:firstLine="2"/>
        <w:spacing w:before="29" w:line="17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"/>
        </w:rPr>
        <w:t>卫宁健康: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"/>
        </w:rPr>
        <w:t>医疗信息化龙头， 1+X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"/>
        </w:rPr>
        <w:t>医疗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AI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"/>
        </w:rPr>
        <w:t>生态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 xml:space="preserve"> 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2"/>
        </w:rPr>
        <w:t>“1”基于统一中台的 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WNEX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2"/>
        </w:rPr>
        <w:t xml:space="preserve"> 系列产品，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2"/>
        </w:rPr>
        <w:t>“X”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个数字健康应用场景，建设了医学影像 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AI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-科</w:t>
      </w:r>
    </w:p>
    <w:p>
      <w:pPr>
        <w:ind w:left="1"/>
        <w:spacing w:line="199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研合作癌症筛查科研平台</w:t>
      </w:r>
    </w:p>
    <w:p>
      <w:pPr>
        <w:ind w:left="406" w:right="317"/>
        <w:spacing w:before="253" w:line="180" w:lineRule="auto"/>
        <w:jc w:val="both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5"/>
        </w:rPr>
        <w:t>东软集团：多领域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AI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5"/>
        </w:rPr>
        <w:t>积累，接入文心一言生态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东软医疗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(为医学影像解决方案及服务)、熙康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3"/>
        </w:rPr>
        <w:t>(云医院平台)、望海(医院运营数据中心)，聚集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在辅助诊疗、生物识别、医学分析等场景</w:t>
      </w:r>
    </w:p>
    <w:p>
      <w:pPr>
        <w:ind w:right="609" w:firstLine="11"/>
        <w:spacing w:before="256" w:line="17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6"/>
        </w:rPr>
        <w:t>医渡科技：打造业内医疗数据基础设</w:t>
      </w:r>
      <w:r>
        <w:rPr>
          <w:rFonts w:ascii="Microsoft YaHei" w:hAnsi="Microsoft YaHei" w:eastAsia="Microsoft YaHei" w:cs="Microsoft YaHei"/>
          <w:sz w:val="13"/>
          <w:szCs w:val="13"/>
          <w:color w:val="3B3838"/>
        </w:rPr>
        <w:t>YiduCore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分为健康管理平台和解决方案、大数据平台和解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4"/>
        </w:rPr>
        <w:t>决方案、生命科学解决方案，处理分析30多亿份</w:t>
      </w:r>
      <w:r>
        <w:rPr>
          <w:rFonts w:ascii="Microsoft YaHei" w:hAnsi="Microsoft YaHei" w:eastAsia="Microsoft YaHei" w:cs="Microsoft YaHei"/>
          <w:sz w:val="13"/>
          <w:szCs w:val="13"/>
          <w:color w:val="3B3838"/>
          <w:spacing w:val="2"/>
        </w:rPr>
        <w:t>医疗记录，覆盖1,000家医院。</w:t>
      </w:r>
    </w:p>
    <w:p>
      <w:pPr>
        <w:spacing w:line="176" w:lineRule="auto"/>
        <w:sectPr>
          <w:type w:val="continuous"/>
          <w:pgSz w:w="11907" w:h="16839"/>
          <w:pgMar w:top="400" w:right="1785" w:bottom="0" w:left="1785" w:header="0" w:footer="0" w:gutter="0"/>
          <w:cols w:equalWidth="0" w:num="2">
            <w:col w:w="4794" w:space="88"/>
            <w:col w:w="3453" w:space="0"/>
          </w:cols>
        </w:sectPr>
        <w:rPr>
          <w:rFonts w:ascii="Microsoft YaHei" w:hAnsi="Microsoft YaHei" w:eastAsia="Microsoft YaHei" w:cs="Microsoft YaHei"/>
          <w:sz w:val="13"/>
          <w:szCs w:val="13"/>
        </w:rPr>
      </w:pPr>
    </w:p>
    <w:p>
      <w:pPr>
        <w:ind w:left="2153"/>
        <w:spacing w:before="305" w:line="232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KaiTi" w:hAnsi="KaiTi" w:eastAsia="KaiTi" w:cs="KaiTi"/>
          <w:sz w:val="30"/>
          <w:szCs w:val="30"/>
          <w:spacing w:val="-8"/>
        </w:rPr>
        <w:t>医疗大模型典型企业分析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9" w:lineRule="auto"/>
        <w:outlineLvl w:val="3"/>
        <w:rPr/>
      </w:pPr>
      <w:r>
        <w:rPr>
          <w:b/>
          <w:bCs/>
          <w:spacing w:val="-7"/>
        </w:rPr>
        <w:t>（三）</w:t>
      </w:r>
      <w:r>
        <w:rPr>
          <w:spacing w:val="-65"/>
        </w:rPr>
        <w:t xml:space="preserve"> </w:t>
      </w:r>
      <w:r>
        <w:rPr>
          <w:b/>
          <w:bCs/>
          <w:spacing w:val="-7"/>
        </w:rPr>
        <w:t>医疗产业链中，市场新进入者在应用层的机会较多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6" w:right="16" w:firstLine="590"/>
        <w:spacing w:before="98" w:line="336" w:lineRule="auto"/>
        <w:rPr/>
      </w:pP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医疗产业链上游为基础层，中游为技术层，下游为应用</w:t>
      </w:r>
      <w:r>
        <w:rPr>
          <w:spacing w:val="-5"/>
        </w:rPr>
        <w:t>层，服务终端为患者。</w:t>
      </w:r>
    </w:p>
    <w:p>
      <w:pPr>
        <w:pStyle w:val="BodyText"/>
        <w:ind w:left="58" w:right="13" w:firstLine="567"/>
        <w:spacing w:before="271" w:line="259" w:lineRule="auto"/>
        <w:rPr/>
      </w:pPr>
      <w:r>
        <w:rPr>
          <w:spacing w:val="-12"/>
        </w:rPr>
        <w:t>基础层：包含芯片与通信、数据服务等基础核心领域，</w:t>
      </w:r>
      <w:r>
        <w:rPr>
          <w:spacing w:val="55"/>
        </w:rPr>
        <w:t xml:space="preserve"> </w:t>
      </w:r>
      <w:r>
        <w:rPr>
          <w:spacing w:val="-12"/>
        </w:rPr>
        <w:t>目前</w:t>
      </w:r>
      <w:r>
        <w:rPr>
          <w:spacing w:val="-5"/>
        </w:rPr>
        <w:t>已形成牢固的技术壁垒，市场呈寡头局面。</w:t>
      </w:r>
    </w:p>
    <w:p>
      <w:pPr>
        <w:spacing w:line="259" w:lineRule="auto"/>
        <w:sectPr>
          <w:type w:val="continuous"/>
          <w:pgSz w:w="11907" w:h="16839"/>
          <w:pgMar w:top="400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4" w:firstLine="593"/>
        <w:spacing w:before="98" w:line="331" w:lineRule="auto"/>
        <w:jc w:val="both"/>
        <w:rPr/>
      </w:pPr>
      <w:r>
        <w:rPr/>
        <w:t>技术层：算法、框架以及通用技术，着重在医学图像识别、</w:t>
      </w:r>
      <w:r>
        <w:rPr/>
        <w:t>医学自然语言处理、医学语音语义识别等方面，发展</w:t>
      </w:r>
      <w:r>
        <w:rPr>
          <w:spacing w:val="-1"/>
        </w:rPr>
        <w:t>增速较快，</w:t>
      </w:r>
      <w:r>
        <w:rPr>
          <w:spacing w:val="-1"/>
        </w:rPr>
        <w:t>以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NLP</w:t>
      </w:r>
      <w:r>
        <w:rPr>
          <w:spacing w:val="-1"/>
        </w:rPr>
        <w:t>（自然语言处理）技术为例，</w:t>
      </w:r>
      <w:r>
        <w:rPr>
          <w:rFonts w:ascii="Times New Roman" w:hAnsi="Times New Roman" w:eastAsia="Times New Roman" w:cs="Times New Roman"/>
          <w:spacing w:val="-1"/>
        </w:rPr>
        <w:t>2022</w:t>
      </w:r>
      <w:r>
        <w:rPr>
          <w:rFonts w:ascii="Times New Roman" w:hAnsi="Times New Roman" w:eastAsia="Times New Roman" w:cs="Times New Roman"/>
          <w:spacing w:val="59"/>
          <w:w w:val="101"/>
        </w:rPr>
        <w:t xml:space="preserve"> </w:t>
      </w:r>
      <w:r>
        <w:rPr>
          <w:spacing w:val="-1"/>
        </w:rPr>
        <w:t>年相关市场规模</w:t>
      </w:r>
      <w:r>
        <w:rPr>
          <w:spacing w:val="-2"/>
        </w:rPr>
        <w:t>约为</w:t>
      </w:r>
      <w:r>
        <w:rPr>
          <w:rFonts w:ascii="Times New Roman" w:hAnsi="Times New Roman" w:eastAsia="Times New Roman" w:cs="Times New Roman"/>
          <w:spacing w:val="-2"/>
        </w:rPr>
        <w:t>174.5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spacing w:val="-2"/>
        </w:rPr>
        <w:t>亿元，并在未来几年内保持约 </w:t>
      </w:r>
      <w:r>
        <w:rPr>
          <w:rFonts w:ascii="Times New Roman" w:hAnsi="Times New Roman" w:eastAsia="Times New Roman" w:cs="Times New Roman"/>
          <w:spacing w:val="-2"/>
        </w:rPr>
        <w:t>36.5%</w:t>
      </w:r>
      <w:r>
        <w:rPr>
          <w:spacing w:val="-2"/>
        </w:rPr>
        <w:t>的复合增长率，预计</w:t>
      </w:r>
      <w:r>
        <w:rPr>
          <w:spacing w:val="-2"/>
        </w:rPr>
        <w:t>到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2030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年，我国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NLP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技术本身的市场规模将突破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2"/>
        </w:rPr>
        <w:t>亿，达</w:t>
      </w:r>
      <w:r>
        <w:rPr>
          <w:spacing w:val="-2"/>
        </w:rPr>
        <w:t>到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2105 </w:t>
      </w:r>
      <w:r>
        <w:rPr>
          <w:spacing w:val="-2"/>
        </w:rPr>
        <w:t>亿元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3</w:t>
      </w:r>
      <w:r>
        <w:rPr>
          <w:spacing w:val="-2"/>
        </w:rPr>
        <w:t>。但目前科技与互联网巨头企业基本完成布局，中</w:t>
      </w:r>
      <w:r>
        <w:rPr>
          <w:spacing w:val="-5"/>
        </w:rPr>
        <w:t>小企业所占市场份额较少。</w:t>
      </w:r>
    </w:p>
    <w:p>
      <w:pPr>
        <w:pStyle w:val="BodyText"/>
        <w:ind w:left="28" w:right="109" w:firstLine="597"/>
        <w:spacing w:before="294" w:line="331" w:lineRule="auto"/>
        <w:jc w:val="both"/>
        <w:rPr/>
      </w:pPr>
      <w:r>
        <w:rPr>
          <w:spacing w:val="-10"/>
        </w:rPr>
        <w:t>应用层：覆盖医疗服务、器械制造、医药研发三大领域， 如</w:t>
      </w:r>
      <w:r>
        <w:rPr>
          <w:spacing w:val="-4"/>
        </w:rPr>
        <w:t>院内临床决策系统、手术机器人、智慧病案系统、医疗影像、药</w:t>
      </w:r>
      <w:r>
        <w:rPr>
          <w:spacing w:val="-4"/>
        </w:rPr>
        <w:t>企新药研发与基因检测，已有大量互联网医疗公司和传统医疗公</w:t>
      </w:r>
      <w:r>
        <w:rPr>
          <w:spacing w:val="-2"/>
        </w:rPr>
        <w:t>司涌入，成熟的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医疗企业正在扩大产品线布局，开拓战略伙</w:t>
      </w:r>
      <w:r>
        <w:rPr>
          <w:spacing w:val="-2"/>
        </w:rPr>
        <w:t>伴合作，是市场新进入者、也是通信运营商机会最多的</w:t>
      </w:r>
      <w:r>
        <w:rPr>
          <w:spacing w:val="-3"/>
        </w:rPr>
        <w:t>领域。</w:t>
      </w:r>
    </w:p>
    <w:p>
      <w:pPr>
        <w:ind w:firstLine="537"/>
        <w:spacing w:line="3420" w:lineRule="exact"/>
        <w:rPr/>
      </w:pPr>
      <w:r>
        <w:rPr>
          <w:position w:val="-68"/>
        </w:rPr>
        <w:drawing>
          <wp:inline distT="0" distB="0" distL="0" distR="0">
            <wp:extent cx="4604003" cy="217170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4003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2"/>
        <w:spacing w:before="178" w:line="22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0"/>
        </w:rPr>
        <w:t>图</w:t>
      </w:r>
      <w:r>
        <w:rPr>
          <w:rFonts w:ascii="KaiTi" w:hAnsi="KaiTi" w:eastAsia="KaiTi" w:cs="KaiTi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KaiTi" w:hAnsi="KaiTi" w:eastAsia="KaiTi" w:cs="KaiTi"/>
          <w:sz w:val="30"/>
          <w:szCs w:val="30"/>
          <w:spacing w:val="-10"/>
        </w:rPr>
        <w:t>医疗大模型产业链图示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三、中国电信建设医疗大模型的相关建议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5" w:right="110" w:firstLine="615"/>
        <w:spacing w:before="97" w:line="334" w:lineRule="auto"/>
        <w:rPr/>
      </w:pPr>
      <w:r>
        <w:pict>
          <v:shape id="_x0000_s88" style="position:absolute;margin-left:0.72599pt;margin-top:63.7606pt;mso-position-vertical-relative:text;mso-position-horizontal-relative:text;width:144.05pt;height:0.5pt;z-index:251681792;" fillcolor="#000000" filled="true" stroked="false" coordsize="2881,10" coordorigin="0,0" path="m0,9l2880,9l2880,0l0,0l0,9xe"/>
        </w:pict>
      </w:r>
      <w:r>
        <w:rPr>
          <w:spacing w:val="7"/>
        </w:rPr>
        <w:t>医疗大模型的应用将会对医疗大数据平台与大数据治理以</w:t>
      </w:r>
      <w:r>
        <w:rPr>
          <w:spacing w:val="-4"/>
        </w:rPr>
        <w:t>及算力等基础设施的需求更高，大模型的部署则促进云原生技术</w:t>
      </w:r>
    </w:p>
    <w:p>
      <w:pPr>
        <w:ind w:left="19"/>
        <w:spacing w:before="240" w:line="24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3</w:t>
      </w:r>
      <w:r>
        <w:rPr>
          <w:rFonts w:ascii="DengXian" w:hAnsi="DengXian" w:eastAsia="DengXian" w:cs="DengXian"/>
          <w:sz w:val="11"/>
          <w:szCs w:val="11"/>
          <w:spacing w:val="12"/>
          <w:w w:val="101"/>
          <w:position w:val="10"/>
        </w:rPr>
        <w:t xml:space="preserve">   </w:t>
      </w:r>
      <w:r>
        <w:rPr>
          <w:rFonts w:ascii="FangSong" w:hAnsi="FangSong" w:eastAsia="FangSong" w:cs="FangSong"/>
          <w:sz w:val="21"/>
          <w:szCs w:val="21"/>
          <w:spacing w:val="-1"/>
        </w:rPr>
        <w:t>观知海内</w:t>
      </w:r>
      <w:r>
        <w:rPr>
          <w:rFonts w:ascii="DengXian" w:hAnsi="DengXian" w:eastAsia="DengXian" w:cs="DengXian"/>
          <w:sz w:val="21"/>
          <w:szCs w:val="21"/>
          <w:spacing w:val="-1"/>
        </w:rPr>
        <w:t>《</w:t>
      </w:r>
      <w:r>
        <w:rPr>
          <w:rFonts w:ascii="FangSong" w:hAnsi="FangSong" w:eastAsia="FangSong" w:cs="FangSong"/>
          <w:sz w:val="21"/>
          <w:szCs w:val="21"/>
          <w:spacing w:val="-1"/>
        </w:rPr>
        <w:t>2023</w:t>
      </w:r>
      <w:r>
        <w:rPr>
          <w:rFonts w:ascii="FangSong" w:hAnsi="FangSong" w:eastAsia="FangSong" w:cs="FangSong"/>
          <w:sz w:val="21"/>
          <w:szCs w:val="21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年中国智慧医疗：政策加持，未来智慧医疗应用市场前景更广阔》</w:t>
      </w:r>
    </w:p>
    <w:p>
      <w:pPr>
        <w:spacing w:line="241" w:lineRule="auto"/>
        <w:sectPr>
          <w:pgSz w:w="11907" w:h="16839"/>
          <w:pgMar w:top="400" w:right="1689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7" w:right="81" w:firstLine="23"/>
        <w:spacing w:before="97" w:line="336" w:lineRule="auto"/>
        <w:jc w:val="both"/>
        <w:rPr/>
      </w:pPr>
      <w:r>
        <w:rPr>
          <w:spacing w:val="-9"/>
        </w:rPr>
        <w:t>的发展。中国电信作为基础算力及网络服务提供商，</w:t>
      </w:r>
      <w:r>
        <w:rPr>
          <w:spacing w:val="-32"/>
        </w:rPr>
        <w:t xml:space="preserve"> </w:t>
      </w:r>
      <w:r>
        <w:rPr>
          <w:spacing w:val="-9"/>
        </w:rPr>
        <w:t>构建了多个</w:t>
      </w:r>
      <w:r>
        <w:rPr>
          <w:spacing w:val="-4"/>
        </w:rPr>
        <w:t>数据中心，持续深耕医疗信息化，医疗云基础设施领先，医疗数</w:t>
      </w:r>
      <w:r>
        <w:rPr>
          <w:spacing w:val="-4"/>
        </w:rPr>
        <w:t>字平台积淀厚，形成了全民健康信息平台、县域医共体平台、疫</w:t>
      </w:r>
      <w:r>
        <w:rPr>
          <w:spacing w:val="-8"/>
        </w:rPr>
        <w:t>情防控信息平台、突发公卫应急指挥平台等医疗数字平台，</w:t>
      </w:r>
      <w:r>
        <w:rPr>
          <w:spacing w:val="-36"/>
        </w:rPr>
        <w:t xml:space="preserve"> </w:t>
      </w:r>
      <w:r>
        <w:rPr>
          <w:spacing w:val="-8"/>
        </w:rPr>
        <w:t>在中</w:t>
      </w:r>
      <w:r>
        <w:rPr>
          <w:spacing w:val="-4"/>
        </w:rPr>
        <w:t>西部地区的占据市场领先地位，特别是在甘肃全民健康信息平台</w:t>
      </w:r>
      <w:r>
        <w:rPr>
          <w:spacing w:val="-2"/>
        </w:rPr>
        <w:t>形成省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市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县三级架构，连通全省近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300 </w:t>
      </w:r>
      <w:r>
        <w:rPr>
          <w:spacing w:val="-2"/>
        </w:rPr>
        <w:t>家二级以上医院。</w:t>
      </w:r>
    </w:p>
    <w:p>
      <w:pPr>
        <w:pStyle w:val="BodyText"/>
        <w:ind w:left="636"/>
        <w:spacing w:before="24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．夯实算力网络基础设施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7" w:firstLine="626"/>
        <w:spacing w:before="97" w:line="333" w:lineRule="auto"/>
        <w:jc w:val="both"/>
        <w:rPr/>
      </w:pPr>
      <w:r>
        <w:rPr>
          <w:spacing w:val="-5"/>
        </w:rPr>
        <w:t>中电信进一步夯实大模型所需的网络资源，以国</w:t>
      </w:r>
      <w:r>
        <w:rPr>
          <w:spacing w:val="-6"/>
        </w:rPr>
        <w:t>家的东数西</w:t>
      </w:r>
      <w:r>
        <w:rPr>
          <w:spacing w:val="-11"/>
        </w:rPr>
        <w:t>算工程为契机，积极构建重点区域间的智能算力、</w:t>
      </w:r>
      <w:r>
        <w:rPr>
          <w:spacing w:val="-12"/>
        </w:rPr>
        <w:t>数据中心节点，</w:t>
      </w:r>
      <w:r>
        <w:rPr>
          <w:spacing w:val="-1"/>
        </w:rPr>
        <w:t>提高多站点和多云组网、医疗入云、边缘计算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MEC </w:t>
      </w:r>
      <w:r>
        <w:rPr>
          <w:spacing w:val="-1"/>
        </w:rPr>
        <w:t>等能力，为</w:t>
      </w:r>
      <w:r>
        <w:rPr>
          <w:spacing w:val="-3"/>
        </w:rPr>
        <w:t>医疗大模型的应用与落地提供网络基础设施支持。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．提高医疗数字平台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AI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</w:rPr>
        <w:t xml:space="preserve"> </w:t>
      </w:r>
      <w:r>
        <w:rPr>
          <w:b/>
          <w:bCs/>
          <w:spacing w:val="-4"/>
        </w:rPr>
        <w:t>能力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6" w:right="80" w:firstLine="628"/>
        <w:spacing w:before="98" w:line="332" w:lineRule="auto"/>
        <w:jc w:val="both"/>
        <w:rPr/>
      </w:pPr>
      <w:r>
        <w:rPr>
          <w:spacing w:val="-5"/>
        </w:rPr>
        <w:t>中电信从区域基层医疗切入，在已有的“医</w:t>
      </w:r>
      <w:r>
        <w:rPr>
          <w:spacing w:val="-6"/>
        </w:rPr>
        <w:t>疗大数据应用平</w:t>
      </w:r>
      <w:r>
        <w:rPr>
          <w:spacing w:val="-2"/>
        </w:rPr>
        <w:t>台”上集成大模型医疗服务场景，以医疗数字平台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能力升级</w:t>
      </w:r>
      <w:r>
        <w:rPr>
          <w:spacing w:val="-1"/>
        </w:rPr>
        <w:t>为突破口，重点拓展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"/>
        </w:rPr>
        <w:t>在数字医疗平台的在线医疗咨询、自动</w:t>
      </w:r>
      <w:r>
        <w:rPr>
          <w:spacing w:val="-4"/>
        </w:rPr>
        <w:t>医疗指导、辅助诊断决策等前文提及的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 </w:t>
      </w:r>
      <w:r>
        <w:rPr>
          <w:spacing w:val="-4"/>
        </w:rPr>
        <w:t>大相对成熟的医</w:t>
      </w:r>
      <w:r>
        <w:rPr>
          <w:spacing w:val="-5"/>
        </w:rPr>
        <w:t>疗服务</w:t>
      </w:r>
      <w:r>
        <w:rPr>
          <w:spacing w:val="-3"/>
        </w:rPr>
        <w:t>应用场景，推动医疗大模型的发展。</w:t>
      </w:r>
    </w:p>
    <w:p>
      <w:pPr>
        <w:pStyle w:val="BodyText"/>
        <w:ind w:left="621"/>
        <w:spacing w:before="28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．构建医疗大模型的建设模式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3" w:right="75" w:firstLine="616"/>
        <w:spacing w:before="98" w:line="337" w:lineRule="auto"/>
        <w:jc w:val="both"/>
        <w:rPr/>
      </w:pPr>
      <w:r>
        <w:rPr>
          <w:spacing w:val="7"/>
        </w:rPr>
        <w:t>医疗大模型的出现为现有医疗平台提供了自身能力升级并</w:t>
      </w:r>
      <w:r>
        <w:rPr>
          <w:spacing w:val="1"/>
        </w:rPr>
        <w:t>进一步改变市场格局的契机，中电信可通过自有通用大模型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外</w:t>
      </w:r>
      <w:r>
        <w:rPr>
          <w:spacing w:val="7"/>
        </w:rPr>
        <w:t>部行业数据或者引入医疗大模型两种建设模型来进一</w:t>
      </w:r>
      <w:r>
        <w:rPr>
          <w:spacing w:val="6"/>
        </w:rPr>
        <w:t>步推动医</w:t>
      </w:r>
      <w:r>
        <w:rPr>
          <w:spacing w:val="1"/>
        </w:rPr>
        <w:t>疗大模型的落地应用。自有通用大模型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外部行业数据：参考百</w:t>
      </w:r>
    </w:p>
    <w:p>
      <w:pPr>
        <w:spacing w:line="337" w:lineRule="auto"/>
        <w:sectPr>
          <w:pgSz w:w="11907" w:h="16839"/>
          <w:pgMar w:top="400" w:right="1717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6" w:hanging="1"/>
        <w:spacing w:before="98" w:line="334" w:lineRule="auto"/>
        <w:jc w:val="both"/>
        <w:rPr/>
      </w:pPr>
      <w:r>
        <w:rPr>
          <w:spacing w:val="-3"/>
        </w:rPr>
        <w:t>度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GBI-Bot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3"/>
        </w:rPr>
        <w:t>模式，与掌握医疗数据资源的机构、企</w:t>
      </w:r>
      <w:r>
        <w:rPr>
          <w:spacing w:val="-4"/>
        </w:rPr>
        <w:t>业合作研发，</w:t>
      </w:r>
      <w:r>
        <w:rPr>
          <w:spacing w:val="-1"/>
        </w:rPr>
        <w:t>需要一定时间周期；引入医疗大模型，集成在医疗数字化平台：</w:t>
      </w:r>
      <w:r>
        <w:rPr>
          <w:spacing w:val="-3"/>
        </w:rPr>
        <w:t>推进较快，但需要加速自研大模型研发。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235991</wp:posOffset>
            </wp:positionH>
            <wp:positionV relativeFrom="paragraph">
              <wp:posOffset>135707</wp:posOffset>
            </wp:positionV>
            <wp:extent cx="757427" cy="106832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427" cy="1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69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李国钦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【17736133761】</w:t>
      </w:r>
    </w:p>
    <w:p>
      <w:pPr>
        <w:ind w:left="2270" w:right="277" w:firstLine="270"/>
        <w:spacing w:before="113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硕士，聚焦产业数字化和数字政府等领域，从</w:t>
      </w:r>
      <w:r>
        <w:rPr>
          <w:rFonts w:ascii="KaiTi" w:hAnsi="KaiTi" w:eastAsia="KaiTi" w:cs="KaiTi"/>
          <w:sz w:val="28"/>
          <w:szCs w:val="28"/>
          <w:spacing w:val="-2"/>
        </w:rPr>
        <w:t>事行业洞察研究等相关工作。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2253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226847</wp:posOffset>
            </wp:positionH>
            <wp:positionV relativeFrom="paragraph">
              <wp:posOffset>149885</wp:posOffset>
            </wp:positionV>
            <wp:extent cx="772668" cy="107137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668" cy="107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4"/>
        </w:rPr>
        <w:t>柯晓燕</w:t>
      </w:r>
    </w:p>
    <w:p>
      <w:pPr>
        <w:ind w:left="2258" w:right="269" w:firstLine="315"/>
        <w:spacing w:before="114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中国电信营销类高级专家，高级经济师；超过</w:t>
      </w:r>
      <w:r>
        <w:rPr>
          <w:rFonts w:ascii="KaiTi" w:hAnsi="KaiTi" w:eastAsia="KaiTi" w:cs="KaiTi"/>
          <w:sz w:val="28"/>
          <w:szCs w:val="28"/>
          <w:spacing w:val="-1"/>
        </w:rPr>
        <w:t>20</w:t>
      </w:r>
      <w:r>
        <w:rPr>
          <w:rFonts w:ascii="KaiTi" w:hAnsi="KaiTi" w:eastAsia="KaiTi" w:cs="KaiTi"/>
          <w:sz w:val="28"/>
          <w:szCs w:val="28"/>
          <w:spacing w:val="-5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年的通信市场与客户研究经验，在大数据应</w:t>
      </w:r>
      <w:r>
        <w:rPr>
          <w:rFonts w:ascii="KaiTi" w:hAnsi="KaiTi" w:eastAsia="KaiTi" w:cs="KaiTi"/>
          <w:sz w:val="28"/>
          <w:szCs w:val="28"/>
          <w:spacing w:val="-3"/>
        </w:rPr>
        <w:t>用、客户经营等领域有深厚研究积淀，近</w:t>
      </w:r>
      <w:r>
        <w:rPr>
          <w:rFonts w:ascii="KaiTi" w:hAnsi="KaiTi" w:eastAsia="KaiTi" w:cs="KaiTi"/>
          <w:sz w:val="28"/>
          <w:szCs w:val="28"/>
          <w:spacing w:val="-2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10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年</w:t>
      </w:r>
      <w:r>
        <w:rPr>
          <w:rFonts w:ascii="KaiTi" w:hAnsi="KaiTi" w:eastAsia="KaiTi" w:cs="KaiTi"/>
          <w:sz w:val="28"/>
          <w:szCs w:val="28"/>
          <w:spacing w:val="-1"/>
        </w:rPr>
        <w:t>来专注于客户体验数字化、服务数字化转型研</w:t>
      </w:r>
    </w:p>
    <w:p>
      <w:pPr>
        <w:ind w:left="2282"/>
        <w:spacing w:before="1" w:line="21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9"/>
        </w:rPr>
        <w:t>究，发表论文</w:t>
      </w:r>
      <w:r>
        <w:rPr>
          <w:rFonts w:ascii="KaiTi" w:hAnsi="KaiTi" w:eastAsia="KaiTi" w:cs="KaiTi"/>
          <w:sz w:val="28"/>
          <w:szCs w:val="28"/>
          <w:spacing w:val="-3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15</w:t>
      </w:r>
      <w:r>
        <w:rPr>
          <w:rFonts w:ascii="KaiTi" w:hAnsi="KaiTi" w:eastAsia="KaiTi" w:cs="KaiTi"/>
          <w:sz w:val="28"/>
          <w:szCs w:val="28"/>
          <w:spacing w:val="-6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篇+，专著</w:t>
      </w:r>
      <w:r>
        <w:rPr>
          <w:rFonts w:ascii="KaiTi" w:hAnsi="KaiTi" w:eastAsia="KaiTi" w:cs="KaiTi"/>
          <w:sz w:val="28"/>
          <w:szCs w:val="28"/>
          <w:spacing w:val="-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1</w:t>
      </w:r>
      <w:r>
        <w:rPr>
          <w:rFonts w:ascii="KaiTi" w:hAnsi="KaiTi" w:eastAsia="KaiTi" w:cs="KaiT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本，译著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7</w:t>
      </w:r>
      <w:r>
        <w:rPr>
          <w:rFonts w:ascii="KaiTi" w:hAnsi="KaiTi" w:eastAsia="KaiTi" w:cs="KaiTi"/>
          <w:sz w:val="28"/>
          <w:szCs w:val="28"/>
          <w:spacing w:val="-5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本。</w:t>
      </w:r>
    </w:p>
    <w:p>
      <w:pPr>
        <w:spacing w:line="351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226847</wp:posOffset>
            </wp:positionH>
            <wp:positionV relativeFrom="paragraph">
              <wp:posOffset>40151</wp:posOffset>
            </wp:positionV>
            <wp:extent cx="772668" cy="228904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668" cy="2289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4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常佳琦</w:t>
      </w:r>
    </w:p>
    <w:p>
      <w:pPr>
        <w:ind w:left="2257" w:right="315" w:firstLine="284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硕士，目前从事企业数字化转型、数字经济、</w:t>
      </w:r>
      <w:r>
        <w:rPr>
          <w:rFonts w:ascii="KaiTi" w:hAnsi="KaiTi" w:eastAsia="KaiTi" w:cs="KaiTi"/>
          <w:sz w:val="28"/>
          <w:szCs w:val="28"/>
          <w:spacing w:val="-3"/>
        </w:rPr>
        <w:t>数字信息产业等领域研究。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248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廖文凯</w:t>
      </w:r>
    </w:p>
    <w:p>
      <w:pPr>
        <w:ind w:left="2282" w:right="286" w:firstLine="258"/>
        <w:spacing w:before="120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sectPr>
      <w:pgSz w:w="11907" w:h="16839"/>
      <w:pgMar w:top="400" w:right="171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0" Type="http://schemas.openxmlformats.org/officeDocument/2006/relationships/fontTable" Target="fontTable.xml"/><Relationship Id="rId2" Type="http://schemas.openxmlformats.org/officeDocument/2006/relationships/image" Target="media/image1.pn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hyperlink" Target="https://www.chinairn.com/report/20230112/143318901.html?id=1861800&amp;name=liumingyue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2023-12-11T14:51:02Z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2025-11-04T15:55:26</vt:filetime>
  </property>
</Properties>
</file>