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1549"/>
        <w:spacing w:before="184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千万元级别以上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DICT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 xml:space="preserve"> 项目</w:t>
      </w:r>
    </w:p>
    <w:p>
      <w:pPr>
        <w:ind w:left="2202"/>
        <w:spacing w:before="95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市场深度洞察及对策</w:t>
      </w:r>
    </w:p>
    <w:p>
      <w:pPr>
        <w:ind w:left="1280"/>
        <w:spacing w:before="331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1"/>
        </w:rPr>
        <w:t>文/   肖胜</w:t>
      </w:r>
      <w:r>
        <w:rPr>
          <w:rFonts w:ascii="STKaiti" w:hAnsi="STKaiti" w:eastAsia="STKaiti" w:cs="STKaiti"/>
          <w:sz w:val="30"/>
          <w:szCs w:val="30"/>
          <w:spacing w:val="21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1"/>
        </w:rPr>
        <w:t>郭丽芳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1"/>
        </w:rPr>
        <w:t>刘斌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1"/>
        </w:rPr>
        <w:t>郭朝峰  徐静</w:t>
      </w:r>
      <w:r>
        <w:rPr>
          <w:rFonts w:ascii="STKaiti" w:hAnsi="STKaiti" w:eastAsia="STKaiti" w:cs="STKaiti"/>
          <w:sz w:val="30"/>
          <w:szCs w:val="30"/>
          <w:spacing w:val="1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1"/>
        </w:rPr>
        <w:t>孙丽娟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ind w:left="27" w:firstLine="615"/>
        <w:spacing w:before="97" w:line="25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"/>
        </w:rPr>
        <w:t>千万元以上</w:t>
      </w:r>
      <w:r>
        <w:rPr>
          <w:rFonts w:ascii="FangSong" w:hAnsi="FangSong" w:eastAsia="FangSong" w:cs="FangSong"/>
          <w:sz w:val="30"/>
          <w:szCs w:val="30"/>
          <w:spacing w:val="-4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DICT</w:t>
      </w:r>
      <w:r>
        <w:rPr>
          <w:rFonts w:ascii="FangSong" w:hAnsi="FangSong" w:eastAsia="FangSong" w:cs="FangSong"/>
          <w:sz w:val="30"/>
          <w:szCs w:val="30"/>
          <w:spacing w:val="-2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项目对中标厂商的营收和利润起着四两拨</w:t>
      </w:r>
      <w:r>
        <w:rPr>
          <w:rFonts w:ascii="FangSong" w:hAnsi="FangSong" w:eastAsia="FangSong" w:cs="FangSong"/>
          <w:sz w:val="30"/>
          <w:szCs w:val="30"/>
          <w:spacing w:val="-4"/>
        </w:rPr>
        <w:t>千斤的作用，其市场份额集中体现了厂商的综合实力。本文通过</w:t>
      </w:r>
      <w:r>
        <w:rPr>
          <w:rFonts w:ascii="FangSong" w:hAnsi="FangSong" w:eastAsia="FangSong" w:cs="FangSong"/>
          <w:sz w:val="30"/>
          <w:szCs w:val="30"/>
          <w:spacing w:val="-9"/>
        </w:rPr>
        <w:t>《中国采购招标网》采集了近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1</w:t>
      </w:r>
      <w:r>
        <w:rPr>
          <w:rFonts w:ascii="FangSong" w:hAnsi="FangSong" w:eastAsia="FangSong" w:cs="FangSong"/>
          <w:sz w:val="30"/>
          <w:szCs w:val="30"/>
          <w:spacing w:val="-1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年（2021</w:t>
      </w:r>
      <w:r>
        <w:rPr>
          <w:rFonts w:ascii="FangSong" w:hAnsi="FangSong" w:eastAsia="FangSong" w:cs="FangSong"/>
          <w:sz w:val="30"/>
          <w:szCs w:val="30"/>
          <w:spacing w:val="-3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年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11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月～2022</w:t>
      </w:r>
      <w:r>
        <w:rPr>
          <w:rFonts w:ascii="FangSong" w:hAnsi="FangSong" w:eastAsia="FangSong" w:cs="FangSong"/>
          <w:sz w:val="30"/>
          <w:szCs w:val="30"/>
          <w:spacing w:val="-3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年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10</w:t>
      </w:r>
      <w:r>
        <w:rPr>
          <w:rFonts w:ascii="FangSong" w:hAnsi="FangSong" w:eastAsia="FangSong" w:cs="FangSong"/>
          <w:sz w:val="30"/>
          <w:szCs w:val="30"/>
          <w:spacing w:val="-2"/>
        </w:rPr>
        <w:t>月）</w:t>
      </w:r>
      <w:r>
        <w:rPr>
          <w:rFonts w:ascii="FangSong" w:hAnsi="FangSong" w:eastAsia="FangSong" w:cs="FangSong"/>
          <w:sz w:val="15"/>
          <w:szCs w:val="15"/>
          <w:spacing w:val="-2"/>
          <w:position w:val="14"/>
        </w:rPr>
        <w:t>1</w:t>
      </w:r>
      <w:r>
        <w:rPr>
          <w:rFonts w:ascii="FangSong" w:hAnsi="FangSong" w:eastAsia="FangSong" w:cs="FangSong"/>
          <w:sz w:val="30"/>
          <w:szCs w:val="30"/>
          <w:spacing w:val="-2"/>
        </w:rPr>
        <w:t>该类项目</w:t>
      </w:r>
      <w:r>
        <w:rPr>
          <w:rFonts w:ascii="FangSong" w:hAnsi="FangSong" w:eastAsia="FangSong" w:cs="FangSong"/>
          <w:sz w:val="30"/>
          <w:szCs w:val="30"/>
          <w:spacing w:val="-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7829</w:t>
      </w:r>
      <w:r>
        <w:rPr>
          <w:rFonts w:ascii="FangSong" w:hAnsi="FangSong" w:eastAsia="FangSong" w:cs="FangSong"/>
          <w:sz w:val="30"/>
          <w:szCs w:val="30"/>
          <w:spacing w:val="-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个，对中标厂</w:t>
      </w:r>
      <w:r>
        <w:rPr>
          <w:rFonts w:ascii="FangSong" w:hAnsi="FangSong" w:eastAsia="FangSong" w:cs="FangSong"/>
          <w:sz w:val="30"/>
          <w:szCs w:val="30"/>
          <w:spacing w:val="-3"/>
        </w:rPr>
        <w:t>商、市场集中度、行业分布、</w:t>
      </w:r>
      <w:r>
        <w:rPr>
          <w:rFonts w:ascii="FangSong" w:hAnsi="FangSong" w:eastAsia="FangSong" w:cs="FangSong"/>
          <w:sz w:val="30"/>
          <w:szCs w:val="30"/>
          <w:spacing w:val="-9"/>
        </w:rPr>
        <w:t>区域分布、竞争状况进行了详细梳理，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并进一步分析运营商和头</w:t>
      </w:r>
      <w:r>
        <w:rPr>
          <w:rFonts w:ascii="FangSong" w:hAnsi="FangSong" w:eastAsia="FangSong" w:cs="FangSong"/>
          <w:sz w:val="30"/>
          <w:szCs w:val="30"/>
          <w:spacing w:val="-4"/>
        </w:rPr>
        <w:t>部云厂商在该市场上的表现，为中国电信采取针对性的措施提供</w:t>
      </w:r>
      <w:r>
        <w:rPr>
          <w:rFonts w:ascii="FangSong" w:hAnsi="FangSong" w:eastAsia="FangSong" w:cs="FangSong"/>
          <w:sz w:val="30"/>
          <w:szCs w:val="30"/>
          <w:spacing w:val="-9"/>
        </w:rPr>
        <w:t>决策依据。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一、千万元以上</w:t>
      </w:r>
      <w:r>
        <w:rPr>
          <w:rFonts w:ascii="SimHei" w:hAnsi="SimHei" w:eastAsia="SimHei" w:cs="SimHei"/>
          <w:sz w:val="31"/>
          <w:szCs w:val="31"/>
          <w:spacing w:val="-4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DICT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项目市场总体分析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789"/>
        <w:spacing w:before="54" w:line="222" w:lineRule="exact"/>
        <w:rPr/>
      </w:pPr>
      <w:r>
        <w:pict>
          <v:shape id="_x0000_s2" style="position:absolute;margin-left:6.743pt;margin-top:-4.19807pt;mso-position-vertical-relative:text;mso-position-horizontal-relative:text;width:22.2pt;height:14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595959"/>
                      <w:spacing w:val="-3"/>
                      <w:position w:val="2"/>
                    </w:rPr>
                    <w:t>60.0%</w:t>
                  </w:r>
                </w:p>
              </w:txbxContent>
            </v:textbox>
          </v:shape>
        </w:pict>
      </w:r>
      <w:r>
        <w:rPr>
          <w:color w:val="404040"/>
          <w:spacing w:val="-2"/>
          <w:position w:val="2"/>
        </w:rPr>
        <w:t>54.5%</w:t>
      </w:r>
    </w:p>
    <w:p>
      <w:pPr>
        <w:pStyle w:val="BodyText"/>
        <w:ind w:left="154"/>
        <w:spacing w:before="217" w:line="248" w:lineRule="exact"/>
        <w:rPr>
          <w:sz w:val="18"/>
          <w:szCs w:val="18"/>
        </w:rPr>
      </w:pPr>
      <w:r>
        <w:rPr>
          <w:sz w:val="18"/>
          <w:szCs w:val="18"/>
          <w:color w:val="595959"/>
          <w:spacing w:val="-3"/>
          <w:position w:val="2"/>
        </w:rPr>
        <w:t>50.0%</w:t>
      </w:r>
    </w:p>
    <w:p>
      <w:pPr>
        <w:pStyle w:val="BodyText"/>
        <w:ind w:left="7658"/>
        <w:spacing w:before="242" w:line="222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4343</wp:posOffset>
            </wp:positionH>
            <wp:positionV relativeFrom="paragraph">
              <wp:posOffset>-597187</wp:posOffset>
            </wp:positionV>
            <wp:extent cx="5283707" cy="281635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707" cy="281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6.42799pt;margin-top:14.4073pt;mso-position-vertical-relative:text;mso-position-horizontal-relative:text;width:22.5pt;height:14.4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595959"/>
                      <w:spacing w:val="-1"/>
                      <w:position w:val="2"/>
                    </w:rPr>
                    <w:t>40.0%</w:t>
                  </w:r>
                </w:p>
              </w:txbxContent>
            </v:textbox>
          </v:shape>
        </w:pict>
      </w:r>
      <w:r>
        <w:rPr>
          <w:color w:val="404040"/>
          <w:spacing w:val="-2"/>
          <w:position w:val="2"/>
        </w:rPr>
        <w:t>37.8%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52"/>
        <w:spacing w:before="61" w:line="249" w:lineRule="exact"/>
        <w:rPr>
          <w:sz w:val="18"/>
          <w:szCs w:val="18"/>
        </w:rPr>
      </w:pPr>
      <w:r>
        <w:rPr>
          <w:sz w:val="18"/>
          <w:szCs w:val="18"/>
          <w:color w:val="595959"/>
          <w:spacing w:val="-2"/>
          <w:position w:val="2"/>
        </w:rPr>
        <w:t>30.0%</w:t>
      </w:r>
    </w:p>
    <w:p>
      <w:pPr>
        <w:pStyle w:val="BodyText"/>
        <w:ind w:left="1071"/>
        <w:spacing w:before="69" w:line="161" w:lineRule="auto"/>
        <w:rPr/>
      </w:pPr>
      <w:r>
        <w:rPr>
          <w:color w:val="404040"/>
          <w:spacing w:val="-2"/>
        </w:rPr>
        <w:t>20.9%</w:t>
      </w:r>
    </w:p>
    <w:p>
      <w:pPr>
        <w:pStyle w:val="BodyText"/>
        <w:ind w:left="1533"/>
        <w:spacing w:line="221" w:lineRule="auto"/>
        <w:rPr/>
      </w:pPr>
      <w:r>
        <w:pict>
          <v:shape id="_x0000_s6" style="position:absolute;margin-left:6.716pt;margin-top:3.74884pt;mso-position-vertical-relative:text;mso-position-horizontal-relative:text;width:22.2pt;height:42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595959"/>
                      <w:spacing w:val="-3"/>
                      <w:position w:val="2"/>
                    </w:rPr>
                    <w:t>20.0%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61" w:line="24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595959"/>
                      <w:spacing w:val="-3"/>
                      <w:position w:val="2"/>
                    </w:rPr>
                    <w:t>10.0%</w:t>
                  </w:r>
                </w:p>
              </w:txbxContent>
            </v:textbox>
          </v:shape>
        </w:pict>
      </w:r>
      <w:r>
        <w:rPr>
          <w:color w:val="404040"/>
          <w:spacing w:val="-3"/>
        </w:rPr>
        <w:t>18.7%</w:t>
      </w:r>
    </w:p>
    <w:p>
      <w:pPr>
        <w:pStyle w:val="BodyText"/>
        <w:ind w:left="1832"/>
        <w:spacing w:before="118" w:line="196" w:lineRule="auto"/>
        <w:rPr/>
      </w:pPr>
      <w:r>
        <w:rPr>
          <w:color w:val="404040"/>
          <w:spacing w:val="-3"/>
        </w:rPr>
        <w:t>12.6%</w:t>
      </w:r>
    </w:p>
    <w:p>
      <w:pPr>
        <w:pStyle w:val="BodyText"/>
        <w:ind w:left="2309"/>
        <w:spacing w:line="175" w:lineRule="auto"/>
        <w:rPr/>
      </w:pPr>
      <w:r>
        <w:rPr>
          <w:color w:val="404040"/>
          <w:spacing w:val="-2"/>
        </w:rPr>
        <w:t>9.4%</w:t>
      </w:r>
    </w:p>
    <w:p>
      <w:pPr>
        <w:pStyle w:val="BodyText"/>
        <w:ind w:left="2556"/>
        <w:spacing w:before="1" w:line="235" w:lineRule="auto"/>
        <w:rPr/>
      </w:pPr>
      <w:r>
        <w:pict>
          <v:shape id="_x0000_s8" style="position:absolute;margin-left:162.09pt;margin-top:2.4343pt;mso-position-vertical-relative:text;mso-position-horizontal-relative:text;width:15.75pt;height:10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/>
                  </w:pPr>
                  <w:r>
                    <w:rPr>
                      <w:color w:val="404040"/>
                      <w:spacing w:val="-3"/>
                    </w:rPr>
                    <w:t>5.4%</w:t>
                  </w:r>
                </w:p>
              </w:txbxContent>
            </v:textbox>
          </v:shape>
        </w:pict>
      </w:r>
      <w:r>
        <w:pict>
          <v:shape id="_x0000_s10" style="position:absolute;margin-left:373.58pt;margin-top:2.7443pt;mso-position-vertical-relative:text;mso-position-horizontal-relative:text;width:15.75pt;height:10.4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/>
                  </w:pPr>
                  <w:r>
                    <w:rPr>
                      <w:color w:val="404040"/>
                      <w:spacing w:val="-3"/>
                    </w:rPr>
                    <w:t>5.3%</w:t>
                  </w:r>
                </w:p>
              </w:txbxContent>
            </v:textbox>
          </v:shape>
        </w:pict>
      </w:r>
      <w:r>
        <w:rPr>
          <w:color w:val="404040"/>
          <w:spacing w:val="-2"/>
        </w:rPr>
        <w:t>8.9%</w:t>
      </w:r>
    </w:p>
    <w:p>
      <w:pPr>
        <w:pStyle w:val="BodyText"/>
        <w:ind w:left="5481"/>
        <w:spacing w:before="7" w:line="173" w:lineRule="auto"/>
        <w:rPr/>
      </w:pPr>
      <w:r>
        <w:pict>
          <v:shape id="_x0000_s12" style="position:absolute;margin-left:235.96pt;margin-top:-2.72056pt;mso-position-vertical-relative:text;mso-position-horizontal-relative:text;width:15.9pt;height:10.4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/>
                  </w:pPr>
                  <w:r>
                    <w:rPr>
                      <w:color w:val="404040"/>
                      <w:spacing w:val="-2"/>
                    </w:rPr>
                    <w:t>3.4%</w:t>
                  </w:r>
                </w:p>
              </w:txbxContent>
            </v:textbox>
          </v:shape>
        </w:pict>
      </w:r>
      <w:r>
        <w:pict>
          <v:shape id="_x0000_s14" style="position:absolute;margin-left:198.789pt;margin-top:-5.46055pt;mso-position-vertical-relative:text;mso-position-horizontal-relative:text;width:16.1pt;height:10.4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/>
                  </w:pPr>
                  <w:r>
                    <w:rPr>
                      <w:color w:val="404040"/>
                      <w:spacing w:val="-1"/>
                    </w:rPr>
                    <w:t>4.4%</w:t>
                  </w:r>
                </w:p>
              </w:txbxContent>
            </v:textbox>
          </v:shape>
        </w:pict>
      </w:r>
      <w:r>
        <w:pict>
          <v:shape id="_x0000_s16" style="position:absolute;margin-left:151.249pt;margin-top:-0.420569pt;mso-position-vertical-relative:text;mso-position-horizontal-relative:text;width:16.1pt;height:13.1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exact"/>
                    <w:rPr/>
                  </w:pPr>
                  <w:r>
                    <w:rPr>
                      <w:color w:val="404040"/>
                      <w:spacing w:val="-1"/>
                      <w:position w:val="2"/>
                    </w:rPr>
                    <w:t>4.4%</w:t>
                  </w:r>
                </w:p>
              </w:txbxContent>
            </v:textbox>
          </v:shape>
        </w:pict>
      </w:r>
      <w:r>
        <w:pict>
          <v:shape id="_x0000_s18" style="position:absolute;margin-left:188.516pt;margin-top:1.63946pt;mso-position-vertical-relative:text;mso-position-horizontal-relative:text;width:15.8pt;height:13.1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exact"/>
                    <w:rPr/>
                  </w:pPr>
                  <w:r>
                    <w:rPr>
                      <w:color w:val="404040"/>
                      <w:spacing w:val="-2"/>
                      <w:position w:val="2"/>
                    </w:rPr>
                    <w:t>2.9%</w:t>
                  </w:r>
                </w:p>
              </w:txbxContent>
            </v:textbox>
          </v:shape>
        </w:pict>
      </w:r>
      <w:r>
        <w:pict>
          <v:shape id="_x0000_s20" style="position:absolute;margin-left:225.693pt;margin-top:4.42944pt;mso-position-vertical-relative:text;mso-position-horizontal-relative:text;width:15.6pt;height:13.1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exact"/>
                    <w:rPr/>
                  </w:pPr>
                  <w:r>
                    <w:rPr>
                      <w:color w:val="404040"/>
                      <w:spacing w:val="-3"/>
                      <w:position w:val="2"/>
                    </w:rPr>
                    <w:t>1.9%</w:t>
                  </w:r>
                </w:p>
              </w:txbxContent>
            </v:textbox>
          </v:shape>
        </w:pict>
      </w:r>
      <w:r>
        <w:rPr>
          <w:color w:val="404040"/>
          <w:spacing w:val="-2"/>
          <w:position w:val="2"/>
        </w:rPr>
        <w:t>2.7%</w:t>
      </w:r>
      <w:r>
        <w:rPr>
          <w:color w:val="404040"/>
          <w:spacing w:val="2"/>
          <w:position w:val="2"/>
        </w:rPr>
        <w:t xml:space="preserve">          </w:t>
      </w:r>
      <w:r>
        <w:rPr>
          <w:color w:val="404040"/>
          <w:spacing w:val="-2"/>
        </w:rPr>
        <w:t>2.2%           </w:t>
      </w:r>
      <w:r>
        <w:rPr>
          <w:color w:val="404040"/>
          <w:spacing w:val="-2"/>
          <w:position w:val="-2"/>
        </w:rPr>
        <w:t>1.8%</w:t>
      </w:r>
    </w:p>
    <w:p>
      <w:pPr>
        <w:pStyle w:val="BodyText"/>
        <w:ind w:left="5274"/>
        <w:spacing w:line="166" w:lineRule="auto"/>
        <w:rPr/>
      </w:pPr>
      <w:r>
        <w:rPr>
          <w:color w:val="404040"/>
          <w:spacing w:val="-3"/>
        </w:rPr>
        <w:t>1.3%</w:t>
      </w:r>
      <w:r>
        <w:rPr>
          <w:color w:val="404040"/>
          <w:spacing w:val="3"/>
        </w:rPr>
        <w:t xml:space="preserve">          </w:t>
      </w:r>
      <w:r>
        <w:rPr>
          <w:color w:val="404040"/>
          <w:spacing w:val="-3"/>
        </w:rPr>
        <w:t>0.9%</w:t>
      </w:r>
      <w:r>
        <w:rPr>
          <w:color w:val="404040"/>
          <w:spacing w:val="1"/>
        </w:rPr>
        <w:t xml:space="preserve">          </w:t>
      </w:r>
      <w:r>
        <w:rPr>
          <w:color w:val="404040"/>
          <w:spacing w:val="-3"/>
        </w:rPr>
        <w:t>0.7%</w:t>
      </w:r>
    </w:p>
    <w:p>
      <w:pPr>
        <w:pStyle w:val="BodyText"/>
        <w:ind w:left="247"/>
        <w:spacing w:before="1" w:line="190" w:lineRule="auto"/>
        <w:rPr>
          <w:sz w:val="18"/>
          <w:szCs w:val="18"/>
        </w:rPr>
      </w:pPr>
      <w:r>
        <w:rPr>
          <w:sz w:val="18"/>
          <w:szCs w:val="18"/>
          <w:color w:val="595959"/>
          <w:spacing w:val="-3"/>
        </w:rPr>
        <w:t>0.0%</w:t>
      </w:r>
    </w:p>
    <w:p>
      <w:pPr>
        <w:pStyle w:val="BodyText"/>
        <w:ind w:left="797"/>
        <w:spacing w:line="227" w:lineRule="auto"/>
        <w:rPr/>
      </w:pPr>
      <w:r>
        <w:rPr>
          <w:color w:val="595959"/>
        </w:rPr>
        <w:t>1-2千万    2-3千万    3-4千万    4-5千万   </w:t>
      </w:r>
      <w:r>
        <w:rPr>
          <w:color w:val="595959"/>
          <w:spacing w:val="-1"/>
        </w:rPr>
        <w:t xml:space="preserve"> 5-6千万    6-7千万    7-8千万    8-9千万  9千万-1亿</w:t>
      </w:r>
      <w:r>
        <w:rPr>
          <w:color w:val="595959"/>
          <w:spacing w:val="8"/>
        </w:rPr>
        <w:t xml:space="preserve">  </w:t>
      </w:r>
      <w:r>
        <w:rPr>
          <w:color w:val="595959"/>
          <w:spacing w:val="-1"/>
        </w:rPr>
        <w:t>1亿以上</w:t>
      </w:r>
    </w:p>
    <w:p>
      <w:pPr>
        <w:pStyle w:val="BodyText"/>
        <w:ind w:left="3115"/>
        <w:spacing w:before="175" w:line="224" w:lineRule="auto"/>
        <w:rPr>
          <w:sz w:val="18"/>
          <w:szCs w:val="18"/>
        </w:rPr>
      </w:pPr>
      <w:r>
        <w:rPr>
          <w:sz w:val="18"/>
          <w:szCs w:val="18"/>
          <w:color w:val="595959"/>
          <w:spacing w:val="-2"/>
        </w:rPr>
        <w:t>项目数占比</w:t>
      </w:r>
      <w:r>
        <w:rPr>
          <w:sz w:val="18"/>
          <w:szCs w:val="18"/>
          <w:color w:val="595959"/>
          <w:spacing w:val="7"/>
        </w:rPr>
        <w:t xml:space="preserve">      </w:t>
      </w:r>
      <w:r>
        <w:rPr>
          <w:sz w:val="18"/>
          <w:szCs w:val="18"/>
          <w:color w:val="595959"/>
          <w:spacing w:val="-2"/>
        </w:rPr>
        <w:t>项目金额占比</w:t>
      </w:r>
    </w:p>
    <w:p>
      <w:pPr>
        <w:ind w:left="1327"/>
        <w:spacing w:before="332" w:line="214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千万元以上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DICT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项目数量与金额分布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29" w:right="104" w:firstLine="590"/>
        <w:spacing w:before="97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2021 </w:t>
      </w:r>
      <w:r>
        <w:rPr>
          <w:rFonts w:ascii="SimSun" w:hAnsi="SimSun" w:eastAsia="SimSun" w:cs="SimSun"/>
          <w:sz w:val="30"/>
          <w:szCs w:val="30"/>
          <w:spacing w:val="-5"/>
        </w:rPr>
        <w:t>年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~2022 </w:t>
      </w:r>
      <w:r>
        <w:rPr>
          <w:rFonts w:ascii="SimSun" w:hAnsi="SimSun" w:eastAsia="SimSun" w:cs="SimSun"/>
          <w:sz w:val="30"/>
          <w:szCs w:val="30"/>
          <w:spacing w:val="-5"/>
        </w:rPr>
        <w:t>年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月，千万元以上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DICT </w:t>
      </w:r>
      <w:r>
        <w:rPr>
          <w:rFonts w:ascii="SimSun" w:hAnsi="SimSun" w:eastAsia="SimSun" w:cs="SimSun"/>
          <w:sz w:val="30"/>
          <w:szCs w:val="30"/>
          <w:spacing w:val="-5"/>
        </w:rPr>
        <w:t>项目，数量</w:t>
      </w:r>
      <w:r>
        <w:rPr>
          <w:rFonts w:ascii="SimSun" w:hAnsi="SimSun" w:eastAsia="SimSun" w:cs="SimSun"/>
          <w:sz w:val="30"/>
          <w:szCs w:val="30"/>
          <w:spacing w:val="-2"/>
        </w:rPr>
        <w:t>为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7829 </w:t>
      </w:r>
      <w:r>
        <w:rPr>
          <w:rFonts w:ascii="SimSun" w:hAnsi="SimSun" w:eastAsia="SimSun" w:cs="SimSun"/>
          <w:sz w:val="30"/>
          <w:szCs w:val="30"/>
          <w:spacing w:val="-2"/>
        </w:rPr>
        <w:t>个，占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DICT </w:t>
      </w:r>
      <w:r>
        <w:rPr>
          <w:rFonts w:ascii="SimSun" w:hAnsi="SimSun" w:eastAsia="SimSun" w:cs="SimSun"/>
          <w:sz w:val="30"/>
          <w:szCs w:val="30"/>
          <w:spacing w:val="-2"/>
        </w:rPr>
        <w:t>项目总数的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2.69%</w:t>
      </w:r>
      <w:r>
        <w:rPr>
          <w:rFonts w:ascii="SimSun" w:hAnsi="SimSun" w:eastAsia="SimSun" w:cs="SimSun"/>
          <w:sz w:val="30"/>
          <w:szCs w:val="30"/>
          <w:spacing w:val="-2"/>
        </w:rPr>
        <w:t>，金</w:t>
      </w:r>
      <w:r>
        <w:rPr>
          <w:rFonts w:ascii="SimSun" w:hAnsi="SimSun" w:eastAsia="SimSun" w:cs="SimSun"/>
          <w:sz w:val="30"/>
          <w:szCs w:val="30"/>
          <w:spacing w:val="-3"/>
        </w:rPr>
        <w:t>额为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2861 </w:t>
      </w:r>
      <w:r>
        <w:rPr>
          <w:rFonts w:ascii="SimSun" w:hAnsi="SimSun" w:eastAsia="SimSun" w:cs="SimSun"/>
          <w:sz w:val="30"/>
          <w:szCs w:val="30"/>
          <w:spacing w:val="-3"/>
        </w:rPr>
        <w:t>亿元，占</w:t>
      </w:r>
    </w:p>
    <w:p>
      <w:pPr>
        <w:spacing w:line="248" w:lineRule="auto"/>
        <w:rPr>
          <w:rFonts w:ascii="Arial"/>
          <w:sz w:val="21"/>
        </w:rPr>
      </w:pPr>
      <w:r>
        <w:pict>
          <v:shape id="_x0000_s22" style="position:absolute;margin-left:0.72599pt;margin-top:9.10993pt;mso-position-vertical-relative:text;mso-position-horizontal-relative:text;width:144.05pt;height:0.5pt;z-index:251669504;" fillcolor="#000000" filled="true" stroked="false" coordsize="2881,10" coordorigin="0,0" path="m0,9l2880,9l2880,0l0,0l0,9xe"/>
        </w:pict>
      </w:r>
      <w:r/>
    </w:p>
    <w:p>
      <w:pPr>
        <w:pStyle w:val="BodyText"/>
        <w:ind w:left="35" w:right="152" w:hanging="13"/>
        <w:spacing w:before="72" w:line="244" w:lineRule="auto"/>
        <w:rPr>
          <w:sz w:val="21"/>
          <w:szCs w:val="21"/>
        </w:rPr>
      </w:pPr>
      <w:r>
        <w:rPr>
          <w:sz w:val="11"/>
          <w:szCs w:val="11"/>
          <w:spacing w:val="-3"/>
          <w:position w:val="10"/>
        </w:rPr>
        <w:t>1</w:t>
      </w:r>
      <w:r>
        <w:rPr>
          <w:sz w:val="11"/>
          <w:szCs w:val="11"/>
          <w:spacing w:val="8"/>
          <w:w w:val="103"/>
          <w:position w:val="10"/>
        </w:rPr>
        <w:t xml:space="preserve">   </w:t>
      </w:r>
      <w:r>
        <w:rPr>
          <w:sz w:val="21"/>
          <w:szCs w:val="21"/>
          <w:spacing w:val="-3"/>
        </w:rPr>
        <w:t>之所以选择 2021 年 11 月至 2022 年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3"/>
        </w:rPr>
        <w:t>10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3"/>
        </w:rPr>
        <w:t>月</w:t>
      </w:r>
      <w:r>
        <w:rPr>
          <w:sz w:val="21"/>
          <w:szCs w:val="21"/>
          <w:spacing w:val="-32"/>
        </w:rPr>
        <w:t xml:space="preserve"> </w:t>
      </w:r>
      <w:r>
        <w:rPr>
          <w:sz w:val="21"/>
          <w:szCs w:val="21"/>
          <w:spacing w:val="-3"/>
        </w:rPr>
        <w:t>，是因为 20</w:t>
      </w:r>
      <w:r>
        <w:rPr>
          <w:sz w:val="21"/>
          <w:szCs w:val="21"/>
          <w:spacing w:val="-4"/>
        </w:rPr>
        <w:t>22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4"/>
        </w:rPr>
        <w:t>年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4"/>
        </w:rPr>
        <w:t>11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4"/>
        </w:rPr>
        <w:t>、12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4"/>
        </w:rPr>
        <w:t>两月处在疫情的特殊</w:t>
      </w:r>
      <w:r>
        <w:rPr>
          <w:sz w:val="21"/>
          <w:szCs w:val="21"/>
          <w:spacing w:val="-3"/>
        </w:rPr>
        <w:t>时期</w:t>
      </w:r>
      <w:r>
        <w:rPr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-3"/>
        </w:rPr>
        <w:t>，必然影响产业数字化项目的采购和招标。</w:t>
      </w:r>
    </w:p>
    <w:p>
      <w:pPr>
        <w:spacing w:line="244" w:lineRule="auto"/>
        <w:sectPr>
          <w:headerReference w:type="default" r:id="rId1"/>
          <w:pgSz w:w="11907" w:h="16839"/>
          <w:pgMar w:top="400" w:right="1693" w:bottom="0" w:left="1785" w:header="0" w:footer="0" w:gutter="0"/>
        </w:sectPr>
        <w:rPr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82" w:right="110" w:hanging="63"/>
        <w:spacing w:before="97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DICT </w:t>
      </w:r>
      <w:r>
        <w:rPr>
          <w:rFonts w:ascii="SimSun" w:hAnsi="SimSun" w:eastAsia="SimSun" w:cs="SimSun"/>
          <w:sz w:val="30"/>
          <w:szCs w:val="30"/>
          <w:spacing w:val="-3"/>
        </w:rPr>
        <w:t>项目总金额的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38.8%</w:t>
      </w:r>
      <w:r>
        <w:rPr>
          <w:rFonts w:ascii="SimSun" w:hAnsi="SimSun" w:eastAsia="SimSun" w:cs="SimSun"/>
          <w:sz w:val="30"/>
          <w:szCs w:val="30"/>
          <w:spacing w:val="-3"/>
        </w:rPr>
        <w:t>，由此可见，抢占千万元以上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DICT </w:t>
      </w:r>
      <w:r>
        <w:rPr>
          <w:rFonts w:ascii="SimSun" w:hAnsi="SimSun" w:eastAsia="SimSun" w:cs="SimSun"/>
          <w:sz w:val="30"/>
          <w:szCs w:val="30"/>
          <w:spacing w:val="-3"/>
        </w:rPr>
        <w:t>项</w:t>
      </w:r>
      <w:r>
        <w:rPr>
          <w:rFonts w:ascii="SimSun" w:hAnsi="SimSun" w:eastAsia="SimSun" w:cs="SimSun"/>
          <w:sz w:val="30"/>
          <w:szCs w:val="30"/>
          <w:spacing w:val="-5"/>
        </w:rPr>
        <w:t>目市场的重要性。进一步分析千万元以上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DICT </w:t>
      </w:r>
      <w:r>
        <w:rPr>
          <w:rFonts w:ascii="SimSun" w:hAnsi="SimSun" w:eastAsia="SimSun" w:cs="SimSun"/>
          <w:sz w:val="30"/>
          <w:szCs w:val="30"/>
          <w:spacing w:val="-5"/>
        </w:rPr>
        <w:t>项目：</w:t>
      </w:r>
    </w:p>
    <w:p>
      <w:pPr>
        <w:ind w:left="636"/>
        <w:spacing w:before="294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．数量占比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5.3%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的亿级项目金额占比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37.8%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，是重中之重</w:t>
      </w:r>
    </w:p>
    <w:p>
      <w:pPr>
        <w:ind w:left="26" w:right="106" w:firstLine="603"/>
        <w:spacing w:before="321" w:line="25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从项目数量看，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1~2 </w:t>
      </w:r>
      <w:r>
        <w:rPr>
          <w:rFonts w:ascii="SimSun" w:hAnsi="SimSun" w:eastAsia="SimSun" w:cs="SimSun"/>
          <w:sz w:val="30"/>
          <w:szCs w:val="30"/>
          <w:spacing w:val="-2"/>
        </w:rPr>
        <w:t>千万元的项目占比过半，但从项目金额</w:t>
      </w:r>
      <w:r>
        <w:rPr>
          <w:rFonts w:ascii="SimSun" w:hAnsi="SimSun" w:eastAsia="SimSun" w:cs="SimSun"/>
          <w:sz w:val="30"/>
          <w:szCs w:val="30"/>
          <w:spacing w:val="-17"/>
        </w:rPr>
        <w:t>看，亿元以上项目金额占比高达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37.8%</w:t>
      </w:r>
      <w:r>
        <w:rPr>
          <w:rFonts w:ascii="SimSun" w:hAnsi="SimSun" w:eastAsia="SimSun" w:cs="SimSun"/>
          <w:sz w:val="30"/>
          <w:szCs w:val="30"/>
          <w:spacing w:val="-17"/>
        </w:rPr>
        <w:t>，而数量只占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5.3%</w:t>
      </w:r>
      <w:r>
        <w:rPr>
          <w:rFonts w:ascii="SimSun" w:hAnsi="SimSun" w:eastAsia="SimSun" w:cs="SimSun"/>
          <w:sz w:val="30"/>
          <w:szCs w:val="30"/>
          <w:spacing w:val="-17"/>
        </w:rPr>
        <w:t>。因此，</w:t>
      </w:r>
      <w:r>
        <w:rPr>
          <w:rFonts w:ascii="SimSun" w:hAnsi="SimSun" w:eastAsia="SimSun" w:cs="SimSun"/>
          <w:sz w:val="30"/>
          <w:szCs w:val="30"/>
          <w:spacing w:val="-4"/>
        </w:rPr>
        <w:t>亿元以上项目值得特别关注。</w:t>
      </w:r>
    </w:p>
    <w:p>
      <w:pPr>
        <w:ind w:left="624"/>
        <w:spacing w:before="296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．中标厂商多达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3000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余家，集中度非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常低</w:t>
      </w:r>
    </w:p>
    <w:p>
      <w:pPr>
        <w:ind w:left="28" w:right="105" w:firstLine="625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中标厂商共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3092 </w:t>
      </w:r>
      <w:r>
        <w:rPr>
          <w:rFonts w:ascii="SimSun" w:hAnsi="SimSun" w:eastAsia="SimSun" w:cs="SimSun"/>
          <w:sz w:val="30"/>
          <w:szCs w:val="30"/>
        </w:rPr>
        <w:t>家，平均每家中标</w:t>
      </w:r>
      <w:r>
        <w:rPr>
          <w:rFonts w:ascii="Times New Roman" w:hAnsi="Times New Roman" w:eastAsia="Times New Roman" w:cs="Times New Roman"/>
          <w:sz w:val="30"/>
          <w:szCs w:val="30"/>
        </w:rPr>
        <w:t>2.53 </w:t>
      </w:r>
      <w:r>
        <w:rPr>
          <w:rFonts w:ascii="SimSun" w:hAnsi="SimSun" w:eastAsia="SimSun" w:cs="SimSun"/>
          <w:sz w:val="30"/>
          <w:szCs w:val="30"/>
        </w:rPr>
        <w:t>个项目，其中中标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 </w:t>
      </w:r>
      <w:r>
        <w:rPr>
          <w:rFonts w:ascii="SimSun" w:hAnsi="SimSun" w:eastAsia="SimSun" w:cs="SimSun"/>
          <w:sz w:val="30"/>
          <w:szCs w:val="30"/>
          <w:spacing w:val="-3"/>
        </w:rPr>
        <w:t>个项目的厂家占比高达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72.1%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1~3 </w:t>
      </w:r>
      <w:r>
        <w:rPr>
          <w:rFonts w:ascii="SimSun" w:hAnsi="SimSun" w:eastAsia="SimSun" w:cs="SimSun"/>
          <w:sz w:val="30"/>
          <w:szCs w:val="30"/>
          <w:spacing w:val="-3"/>
        </w:rPr>
        <w:t>个为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9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2.2%</w:t>
      </w:r>
      <w:r>
        <w:rPr>
          <w:rFonts w:ascii="SimSun" w:hAnsi="SimSun" w:eastAsia="SimSun" w:cs="SimSun"/>
          <w:sz w:val="30"/>
          <w:szCs w:val="30"/>
          <w:spacing w:val="-4"/>
        </w:rPr>
        <w:t>，中标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 </w:t>
      </w:r>
      <w:r>
        <w:rPr>
          <w:rFonts w:ascii="SimSun" w:hAnsi="SimSun" w:eastAsia="SimSun" w:cs="SimSun"/>
          <w:sz w:val="30"/>
          <w:szCs w:val="30"/>
          <w:spacing w:val="-4"/>
        </w:rPr>
        <w:t>个以</w:t>
      </w:r>
      <w:r>
        <w:rPr>
          <w:rFonts w:ascii="SimSun" w:hAnsi="SimSun" w:eastAsia="SimSun" w:cs="SimSun"/>
          <w:sz w:val="30"/>
          <w:szCs w:val="30"/>
          <w:spacing w:val="-4"/>
        </w:rPr>
        <w:t>上项目的厂家只有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1.8%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</w:p>
    <w:p>
      <w:pPr>
        <w:ind w:firstLine="14"/>
        <w:spacing w:before="85" w:line="3006" w:lineRule="exact"/>
        <w:rPr/>
      </w:pPr>
      <w:r>
        <w:rPr>
          <w:position w:val="-60"/>
        </w:rPr>
        <w:pict>
          <v:group id="_x0000_s24" style="mso-position-vertical-relative:line;mso-position-horizontal-relative:char;width:413.65pt;height:150.3pt;" filled="false" stroked="false" coordsize="8272,3006" coordorigin="0,0">
            <v:shape id="_x0000_s26" style="position:absolute;left:0;top:87;width:8272;height:2918;" filled="false" stroked="false" type="#_x0000_t75">
              <v:imagedata o:title="" r:id="rId4"/>
            </v:shape>
            <v:shape id="_x0000_s28" style="position:absolute;left:570;top:-20;width:1898;height:26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838" w:type="dxa"/>
                      <w:tblInd w:w="30" w:type="dxa"/>
                      <w:tblLayout w:type="fixed"/>
                      <w:tblBorders>
                        <w:left w:val="single" w:color="FFC000" w:sz="8" w:space="0"/>
                        <w:bottom w:val="single" w:color="FFC000" w:sz="8" w:space="0"/>
                        <w:right w:val="single" w:color="FFC000" w:sz="8" w:space="0"/>
                        <w:top w:val="single" w:color="FFC000" w:sz="8" w:space="0"/>
                      </w:tblBorders>
                    </w:tblPr>
                    <w:tblGrid>
                      <w:gridCol w:w="1838"/>
                    </w:tblGrid>
                    <w:tr>
                      <w:trPr>
                        <w:trHeight w:val="2548" w:hRule="atLeast"/>
                      </w:trPr>
                      <w:tc>
                        <w:tcPr>
                          <w:tcW w:w="183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0" style="position:absolute;left:6194;top:1873;width:1836;height:415;" filled="false" strokecolor="#FFC000" strokeweight="0.75pt" coordsize="1836,415" coordorigin="0,0" path="m,l0,415l1836,415l1836,0l0,0e">
              <v:stroke joinstyle="miter" miterlimit="0"/>
            </v:shape>
          </v:group>
        </w:pict>
      </w:r>
    </w:p>
    <w:p>
      <w:pPr>
        <w:ind w:left="878"/>
        <w:spacing w:before="163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千万元以上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DICT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项目厂家中标项目数量分布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firstLine="14"/>
        <w:spacing w:before="1" w:line="3000" w:lineRule="exact"/>
        <w:rPr/>
      </w:pPr>
      <w:r>
        <w:rPr>
          <w:position w:val="-59"/>
        </w:rPr>
        <w:drawing>
          <wp:inline distT="0" distB="0" distL="0" distR="0">
            <wp:extent cx="5273040" cy="190499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90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27"/>
        <w:spacing w:before="123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千万元以上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DICT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项目厂家中标金额集中度</w:t>
      </w:r>
    </w:p>
    <w:p>
      <w:pPr>
        <w:ind w:left="2398"/>
        <w:spacing w:before="55" w:line="222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（占项目总金额的百分比）</w:t>
      </w:r>
    </w:p>
    <w:p>
      <w:pPr>
        <w:spacing w:before="335" w:line="233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金额方面，排名前三的中标厂家，金额占比分别为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8.5%</w:t>
      </w:r>
      <w:r>
        <w:rPr>
          <w:rFonts w:ascii="SimSun" w:hAnsi="SimSun" w:eastAsia="SimSun" w:cs="SimSun"/>
          <w:sz w:val="30"/>
          <w:szCs w:val="30"/>
          <w:spacing w:val="-1"/>
        </w:rPr>
        <w:t>、</w:t>
      </w:r>
    </w:p>
    <w:p>
      <w:pPr>
        <w:spacing w:line="233" w:lineRule="auto"/>
        <w:sectPr>
          <w:headerReference w:type="default" r:id="rId3"/>
          <w:pgSz w:w="11907" w:h="16839"/>
          <w:pgMar w:top="400" w:right="169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3" w:right="110" w:hanging="8"/>
        <w:spacing w:before="9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7.0%</w:t>
      </w:r>
      <w:r>
        <w:rPr>
          <w:rFonts w:ascii="SimSun" w:hAnsi="SimSun" w:eastAsia="SimSun" w:cs="SimSun"/>
          <w:sz w:val="30"/>
          <w:szCs w:val="30"/>
          <w:spacing w:val="-5"/>
        </w:rPr>
        <w:t>和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5.2%</w:t>
      </w:r>
      <w:r>
        <w:rPr>
          <w:rFonts w:ascii="SimSun" w:hAnsi="SimSun" w:eastAsia="SimSun" w:cs="SimSun"/>
          <w:sz w:val="30"/>
          <w:szCs w:val="30"/>
          <w:spacing w:val="-5"/>
        </w:rPr>
        <w:t>。前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名厂商合计为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25.2%</w:t>
      </w:r>
      <w:r>
        <w:rPr>
          <w:rFonts w:ascii="SimSun" w:hAnsi="SimSun" w:eastAsia="SimSun" w:cs="SimSun"/>
          <w:sz w:val="30"/>
          <w:szCs w:val="30"/>
          <w:spacing w:val="-5"/>
        </w:rPr>
        <w:t>，前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100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合计占比也不</w:t>
      </w:r>
      <w:r>
        <w:rPr>
          <w:rFonts w:ascii="SimSun" w:hAnsi="SimSun" w:eastAsia="SimSun" w:cs="SimSun"/>
          <w:sz w:val="30"/>
          <w:szCs w:val="30"/>
          <w:spacing w:val="-7"/>
        </w:rPr>
        <w:t>到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60%</w:t>
      </w:r>
      <w:r>
        <w:rPr>
          <w:rFonts w:ascii="SimSun" w:hAnsi="SimSun" w:eastAsia="SimSun" w:cs="SimSun"/>
          <w:sz w:val="30"/>
          <w:szCs w:val="30"/>
          <w:spacing w:val="-7"/>
        </w:rPr>
        <w:t>。</w:t>
      </w:r>
    </w:p>
    <w:p>
      <w:pPr>
        <w:ind w:left="31" w:right="119" w:firstLine="590"/>
        <w:spacing w:before="274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．政务牵引其它行业，卫健、住建、交通物流也有不俗业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绩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5" w:firstLine="599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4343</wp:posOffset>
            </wp:positionH>
            <wp:positionV relativeFrom="paragraph">
              <wp:posOffset>926746</wp:posOffset>
            </wp:positionV>
            <wp:extent cx="5283707" cy="193547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707" cy="1935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0"/>
          <w:szCs w:val="30"/>
        </w:rPr>
        <w:t>在行业分布上，政务遥遥领先，起到牵引示范作用，住建、</w:t>
      </w:r>
      <w:r>
        <w:rPr>
          <w:rFonts w:ascii="SimSun" w:hAnsi="SimSun" w:eastAsia="SimSun" w:cs="SimSun"/>
          <w:sz w:val="30"/>
          <w:szCs w:val="30"/>
          <w:spacing w:val="-9"/>
        </w:rPr>
        <w:t>卫健、交通物流、教育、政法公安也有不俗业绩， 成为厂家主攻</w:t>
      </w:r>
      <w:r>
        <w:rPr>
          <w:rFonts w:ascii="SimSun" w:hAnsi="SimSun" w:eastAsia="SimSun" w:cs="SimSun"/>
          <w:sz w:val="30"/>
          <w:szCs w:val="30"/>
          <w:spacing w:val="-12"/>
        </w:rPr>
        <w:t>对象。</w:t>
      </w:r>
    </w:p>
    <w:p>
      <w:pPr>
        <w:ind w:left="155"/>
        <w:spacing w:before="230" w:line="239" w:lineRule="auto"/>
        <w:rPr>
          <w:rFonts w:ascii="SimSun" w:hAnsi="SimSun" w:eastAsia="SimSun" w:cs="SimSun"/>
          <w:sz w:val="18"/>
          <w:szCs w:val="18"/>
        </w:rPr>
      </w:pPr>
      <w:r>
        <w:pict>
          <v:shape id="_x0000_s32" style="position:absolute;margin-left:38.011pt;margin-top:11.6726pt;mso-position-vertical-relative:text;mso-position-horizontal-relative:text;width:24.3pt;height:13.7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1"/>
                    </w:rPr>
                    <w:t>26.6%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8"/>
          <w:szCs w:val="18"/>
          <w:color w:val="595959"/>
          <w:spacing w:val="-2"/>
        </w:rPr>
        <w:t>30.0%</w:t>
      </w:r>
    </w:p>
    <w:p>
      <w:pPr>
        <w:ind w:left="153"/>
        <w:spacing w:before="99" w:line="23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595959"/>
          <w:spacing w:val="-2"/>
        </w:rPr>
        <w:t>25.0%</w:t>
      </w:r>
    </w:p>
    <w:p>
      <w:pPr>
        <w:ind w:left="153"/>
        <w:spacing w:before="98" w:line="23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595959"/>
          <w:spacing w:val="-2"/>
        </w:rPr>
        <w:t>20.0%</w:t>
      </w:r>
    </w:p>
    <w:p>
      <w:pPr>
        <w:ind w:left="164"/>
        <w:spacing w:before="100" w:line="239" w:lineRule="auto"/>
        <w:rPr>
          <w:rFonts w:ascii="SimSun" w:hAnsi="SimSun" w:eastAsia="SimSun" w:cs="SimSun"/>
          <w:sz w:val="18"/>
          <w:szCs w:val="18"/>
        </w:rPr>
      </w:pPr>
      <w:r>
        <w:pict>
          <v:shape id="_x0000_s34" style="position:absolute;margin-left:64.869pt;margin-top:-2.18125pt;mso-position-vertical-relative:text;mso-position-horizontal-relative:text;width:23.75pt;height:11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5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3"/>
                    </w:rPr>
                    <w:t>13.8%</w:t>
                  </w:r>
                </w:p>
              </w:txbxContent>
            </v:textbox>
          </v:shape>
        </w:pict>
      </w:r>
      <w:r>
        <w:pict>
          <v:shape id="_x0000_s36" style="position:absolute;margin-left:91.179pt;margin-top:3.98879pt;mso-position-vertical-relative:text;mso-position-horizontal-relative:text;width:50.05pt;height:11.9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3"/>
                    </w:rPr>
                    <w:t>11.9% 11.8%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8"/>
          <w:szCs w:val="18"/>
          <w:color w:val="595959"/>
          <w:spacing w:val="-4"/>
        </w:rPr>
        <w:t>15.0%</w:t>
      </w:r>
    </w:p>
    <w:p>
      <w:pPr>
        <w:ind w:left="164"/>
        <w:spacing w:before="99" w:line="239" w:lineRule="auto"/>
        <w:rPr>
          <w:rFonts w:ascii="SimSun" w:hAnsi="SimSun" w:eastAsia="SimSun" w:cs="SimSun"/>
          <w:sz w:val="18"/>
          <w:szCs w:val="18"/>
        </w:rPr>
      </w:pPr>
      <w:r>
        <w:pict>
          <v:shape id="_x0000_s38" style="position:absolute;margin-left:145.429pt;margin-top:-2.74119pt;mso-position-vertical-relative:text;mso-position-horizontal-relative:text;width:46.15pt;height:17.7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1"/>
                      <w:position w:val="4"/>
                    </w:rPr>
                    <w:t>8.9%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83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1"/>
                      <w:position w:val="-4"/>
                    </w:rPr>
                    <w:t>7.5%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8"/>
          <w:szCs w:val="18"/>
          <w:color w:val="595959"/>
          <w:spacing w:val="-4"/>
        </w:rPr>
        <w:t>10.0%</w:t>
      </w:r>
    </w:p>
    <w:p>
      <w:pPr>
        <w:ind w:left="245"/>
        <w:spacing w:before="99" w:line="239" w:lineRule="auto"/>
        <w:rPr>
          <w:rFonts w:ascii="SimSun" w:hAnsi="SimSun" w:eastAsia="SimSun" w:cs="SimSun"/>
          <w:sz w:val="18"/>
          <w:szCs w:val="18"/>
        </w:rPr>
      </w:pPr>
      <w:r>
        <w:pict>
          <v:shape id="_x0000_s40" style="position:absolute;margin-left:197.967pt;margin-top:-3.65126pt;mso-position-vertical-relative:text;mso-position-horizontal-relative:text;width:204.05pt;height:23.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29" w:lineRule="exac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2"/>
                      <w:position w:val="16"/>
                    </w:rPr>
                    <w:t>4.2%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88"/>
                      <w:position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2"/>
                      <w:position w:val="16"/>
                    </w:rPr>
                    <w:t>4.2%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83"/>
                      <w:position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2"/>
                      <w:position w:val="8"/>
                    </w:rPr>
                    <w:t>3.0%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82"/>
                      <w:position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2"/>
                      <w:position w:val="2"/>
                    </w:rPr>
                    <w:t>2.0%  1.8%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2"/>
                    </w:rPr>
                    <w:t>1.6%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2"/>
                      <w:position w:val="-1"/>
                    </w:rPr>
                    <w:t>1.5%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404040"/>
                      <w:spacing w:val="-2"/>
                      <w:position w:val="-2"/>
                    </w:rPr>
                    <w:t>1.2%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8"/>
          <w:szCs w:val="18"/>
          <w:color w:val="595959"/>
          <w:spacing w:val="-3"/>
        </w:rPr>
        <w:t>5.0%</w:t>
      </w:r>
    </w:p>
    <w:p>
      <w:pPr>
        <w:ind w:left="242"/>
        <w:spacing w:before="99" w:line="23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595959"/>
          <w:spacing w:val="-2"/>
        </w:rPr>
        <w:t>0.0%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ind w:left="1478"/>
        <w:spacing w:before="99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千万元以上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DICT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项目金额行业分布</w:t>
      </w:r>
    </w:p>
    <w:p>
      <w:pPr>
        <w:ind w:left="2772"/>
        <w:spacing w:before="54" w:line="222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0"/>
        </w:rPr>
        <w:t>（按照电信</w:t>
      </w:r>
      <w:r>
        <w:rPr>
          <w:rFonts w:ascii="KaiTi" w:hAnsi="KaiTi" w:eastAsia="KaiTi" w:cs="KaiTi"/>
          <w:sz w:val="30"/>
          <w:szCs w:val="30"/>
          <w:spacing w:val="-3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0"/>
        </w:rPr>
        <w:t>BG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0"/>
        </w:rPr>
        <w:t>分类）</w:t>
      </w:r>
    </w:p>
    <w:p>
      <w:pPr>
        <w:ind w:left="624"/>
        <w:spacing w:before="334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．区域分布集中在前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10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大发达省份</w:t>
      </w:r>
    </w:p>
    <w:p>
      <w:pPr>
        <w:ind w:left="27" w:right="110" w:firstLine="598"/>
        <w:spacing w:before="322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千万元以上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DICT </w:t>
      </w:r>
      <w:r>
        <w:rPr>
          <w:rFonts w:ascii="SimSun" w:hAnsi="SimSun" w:eastAsia="SimSun" w:cs="SimSun"/>
          <w:sz w:val="30"/>
          <w:szCs w:val="30"/>
          <w:spacing w:val="-11"/>
        </w:rPr>
        <w:t>项目在区域分布上很不平衡，</w:t>
      </w:r>
      <w:r>
        <w:rPr>
          <w:rFonts w:ascii="SimSun" w:hAnsi="SimSun" w:eastAsia="SimSun" w:cs="SimSun"/>
          <w:sz w:val="30"/>
          <w:szCs w:val="30"/>
          <w:spacing w:val="-12"/>
        </w:rPr>
        <w:t>广东、北京、</w:t>
      </w:r>
      <w:r>
        <w:rPr>
          <w:rFonts w:ascii="SimSun" w:hAnsi="SimSun" w:eastAsia="SimSun" w:cs="SimSun"/>
          <w:sz w:val="30"/>
          <w:szCs w:val="30"/>
          <w:spacing w:val="-3"/>
        </w:rPr>
        <w:t>江苏、山东、安徽、浙江、河北等省份项目</w:t>
      </w:r>
      <w:r>
        <w:rPr>
          <w:rFonts w:ascii="SimSun" w:hAnsi="SimSun" w:eastAsia="SimSun" w:cs="SimSun"/>
          <w:sz w:val="30"/>
          <w:szCs w:val="30"/>
          <w:spacing w:val="-4"/>
        </w:rPr>
        <w:t>金额占比超过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50</w:t>
      </w:r>
      <w:r>
        <w:rPr>
          <w:rFonts w:ascii="SimSun" w:hAnsi="SimSun" w:eastAsia="SimSun" w:cs="SimSun"/>
          <w:sz w:val="30"/>
          <w:szCs w:val="30"/>
          <w:spacing w:val="-4"/>
        </w:rPr>
        <w:t>%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,</w:t>
      </w:r>
      <w:r>
        <w:rPr>
          <w:rFonts w:ascii="SimSun" w:hAnsi="SimSun" w:eastAsia="SimSun" w:cs="SimSun"/>
          <w:sz w:val="30"/>
          <w:szCs w:val="30"/>
          <w:spacing w:val="-3"/>
        </w:rPr>
        <w:t>其中广东独占鳌头，项目金额占比为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12.0%</w:t>
      </w:r>
      <w:r>
        <w:rPr>
          <w:rFonts w:ascii="SimSun" w:hAnsi="SimSun" w:eastAsia="SimSun" w:cs="SimSun"/>
          <w:sz w:val="30"/>
          <w:szCs w:val="30"/>
          <w:spacing w:val="-4"/>
        </w:rPr>
        <w:t>，前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名省份项目</w:t>
      </w:r>
      <w:r>
        <w:rPr>
          <w:rFonts w:ascii="SimSun" w:hAnsi="SimSun" w:eastAsia="SimSun" w:cs="SimSun"/>
          <w:sz w:val="30"/>
          <w:szCs w:val="30"/>
          <w:spacing w:val="-2"/>
        </w:rPr>
        <w:t>金额合计占比为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63.1%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spacing w:line="38" w:lineRule="exact"/>
        <w:rPr/>
      </w:pPr>
      <w:r/>
    </w:p>
    <w:tbl>
      <w:tblPr>
        <w:tblStyle w:val="TableNormal"/>
        <w:tblW w:w="7338" w:type="dxa"/>
        <w:tblInd w:w="489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587"/>
        <w:gridCol w:w="6751"/>
      </w:tblGrid>
      <w:tr>
        <w:trPr>
          <w:trHeight w:val="2821" w:hRule="atLeast"/>
        </w:trPr>
        <w:tc>
          <w:tcPr>
            <w:tcW w:w="587" w:type="dxa"/>
            <w:vAlign w:val="top"/>
            <w:tcBorders>
              <w:right w:val="nil"/>
            </w:tcBorders>
          </w:tcPr>
          <w:p>
            <w:pPr>
              <w:pStyle w:val="TableText"/>
              <w:ind w:left="141"/>
              <w:spacing w:before="124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595959"/>
                <w:spacing w:val="-3"/>
                <w:position w:val="2"/>
              </w:rPr>
              <w:t>14.0%</w:t>
            </w:r>
          </w:p>
          <w:p>
            <w:pPr>
              <w:pStyle w:val="TableText"/>
              <w:ind w:left="141"/>
              <w:spacing w:before="23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595959"/>
                <w:spacing w:val="-3"/>
                <w:position w:val="2"/>
              </w:rPr>
              <w:t>12.0%</w:t>
            </w:r>
          </w:p>
          <w:p>
            <w:pPr>
              <w:pStyle w:val="TableText"/>
              <w:ind w:left="141"/>
              <w:spacing w:before="24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595959"/>
                <w:spacing w:val="-3"/>
                <w:position w:val="2"/>
              </w:rPr>
              <w:t>10.0%</w:t>
            </w:r>
          </w:p>
          <w:p>
            <w:pPr>
              <w:pStyle w:val="TableText"/>
              <w:ind w:left="231"/>
              <w:spacing w:before="24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595959"/>
                <w:spacing w:val="-3"/>
                <w:position w:val="2"/>
              </w:rPr>
              <w:t>8.0%</w:t>
            </w:r>
          </w:p>
          <w:p>
            <w:pPr>
              <w:pStyle w:val="TableText"/>
              <w:ind w:left="233"/>
              <w:spacing w:before="24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595959"/>
                <w:spacing w:val="-3"/>
                <w:position w:val="2"/>
              </w:rPr>
              <w:t>6.0%</w:t>
            </w:r>
          </w:p>
          <w:p>
            <w:pPr>
              <w:pStyle w:val="TableText"/>
              <w:ind w:left="226"/>
              <w:spacing w:before="24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595959"/>
                <w:spacing w:val="-2"/>
                <w:position w:val="2"/>
              </w:rPr>
              <w:t>4.0%</w:t>
            </w:r>
          </w:p>
          <w:p>
            <w:pPr>
              <w:pStyle w:val="TableText"/>
              <w:ind w:left="232"/>
              <w:spacing w:before="24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595959"/>
                <w:spacing w:val="-3"/>
                <w:position w:val="2"/>
              </w:rPr>
              <w:t>2.0%</w:t>
            </w:r>
          </w:p>
          <w:p>
            <w:pPr>
              <w:pStyle w:val="TableText"/>
              <w:ind w:left="231"/>
              <w:spacing w:before="24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595959"/>
                <w:spacing w:val="-3"/>
                <w:position w:val="2"/>
              </w:rPr>
              <w:t>0.0%</w:t>
            </w:r>
          </w:p>
        </w:tc>
        <w:tc>
          <w:tcPr>
            <w:tcW w:w="6751" w:type="dxa"/>
            <w:vAlign w:val="top"/>
            <w:tcBorders>
              <w:left w:val="nil"/>
            </w:tcBorders>
          </w:tcPr>
          <w:p>
            <w:pPr>
              <w:pStyle w:val="TableText"/>
              <w:ind w:left="32"/>
              <w:spacing w:before="210" w:line="222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83840" behindDoc="0" locked="0" layoutInCell="1" allowOverlap="1">
                      <wp:simplePos x="0" y="0"/>
                      <wp:positionH relativeFrom="rightMargin">
                        <wp:posOffset>-2881172</wp:posOffset>
                      </wp:positionH>
                      <wp:positionV relativeFrom="topMargin">
                        <wp:posOffset>35213</wp:posOffset>
                      </wp:positionV>
                      <wp:extent cx="226695" cy="2945764"/>
                      <wp:effectExtent l="0" t="0" r="0" b="0"/>
                      <wp:wrapNone/>
                      <wp:docPr id="8" name="TextBox 8"/>
                      <wp:cNvGraphicFramePr/>
                      <a:graphic>
                        <a:graphicData uri="http://schemas.microsoft.com/office/word/2010/wordprocessingShape">
                          <wps:wsp>
                            <wps:cNvPr id="8" name="TextBox 8"/>
                            <wps:cNvSpPr txBox="1"/>
                            <wps:spPr>
                              <a:xfrm rot="16200000">
                                <a:off x="-2881172" y="35213"/>
                                <a:ext cx="226695" cy="29457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1"/>
                                    <w:spacing w:before="20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广东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1" w:line="226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1"/>
                                    </w:rPr>
                                    <w:t>北京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1"/>
                                    </w:rPr>
                                    <w:t>江苏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36"/>
                                    <w:spacing w:before="1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5"/>
                                    </w:rPr>
                                    <w:t>山东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5"/>
                                    <w:spacing w:before="1" w:line="226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3"/>
                                    </w:rPr>
                                    <w:t>安徽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1"/>
                                    <w:spacing w:before="3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浙江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2"/>
                                    <w:spacing w:before="1" w:line="229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河北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3"/>
                                    <w:spacing w:before="1" w:line="229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湖北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35"/>
                                    <w:spacing w:before="1" w:line="229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5"/>
                                    </w:rPr>
                                    <w:t>四川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2"/>
                                    <w:spacing w:line="229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河南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9"/>
                                    <w:spacing w:before="1" w:line="226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4"/>
                                    </w:rPr>
                                    <w:t>陕西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1"/>
                                    </w:rPr>
                                    <w:t>江西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1"/>
                                    <w:spacing w:before="1" w:line="229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福建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5"/>
                                    <w:spacing w:before="1" w:line="227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3"/>
                                    </w:rPr>
                                    <w:t>上海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6"/>
                                    <w:spacing w:before="1" w:line="230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3"/>
                                    </w:rPr>
                                    <w:t>云南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1"/>
                                    <w:spacing w:before="1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广西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3"/>
                                    <w:spacing w:before="1" w:line="229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湖南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2"/>
                                    <w:spacing w:before="1" w:line="226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辽宁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1"/>
                                    <w:spacing w:before="3" w:line="227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贵州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36"/>
                                    <w:spacing w:before="2" w:line="230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5"/>
                                    </w:rPr>
                                    <w:t>山西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3"/>
                                    <w:spacing w:line="229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新疆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3"/>
                                    <w:spacing w:before="38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甘肃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2" style="position:absolute;margin-left:-226.864pt;margin-top:2.7727pt;mso-position-vertical-relative:top-margin-area;mso-position-horizontal-relative:right-margin-area;width:17.85pt;height:231.95pt;z-index:2516838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1"/>
                              <w:spacing w:before="20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广东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1" w:line="226" w:lineRule="auto"/>
                              <w:rPr/>
                            </w:pPr>
                            <w:r>
                              <w:rPr>
                                <w:color w:val="595959"/>
                                <w:spacing w:val="-1"/>
                              </w:rPr>
                              <w:t>北京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1"/>
                              </w:rPr>
                              <w:t>江苏</w:t>
                            </w:r>
                          </w:p>
                          <w:p>
                            <w:pPr>
                              <w:pStyle w:val="TableText"/>
                              <w:ind w:left="36"/>
                              <w:spacing w:before="1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5"/>
                              </w:rPr>
                              <w:t>山东</w:t>
                            </w:r>
                          </w:p>
                          <w:p>
                            <w:pPr>
                              <w:pStyle w:val="TableText"/>
                              <w:ind w:left="25"/>
                              <w:spacing w:before="1" w:line="226" w:lineRule="auto"/>
                              <w:rPr/>
                            </w:pPr>
                            <w:r>
                              <w:rPr>
                                <w:color w:val="595959"/>
                                <w:spacing w:val="-3"/>
                              </w:rPr>
                              <w:t>安徽</w:t>
                            </w:r>
                          </w:p>
                          <w:p>
                            <w:pPr>
                              <w:pStyle w:val="TableText"/>
                              <w:ind w:left="21"/>
                              <w:spacing w:before="3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浙江</w:t>
                            </w:r>
                          </w:p>
                          <w:p>
                            <w:pPr>
                              <w:pStyle w:val="TableText"/>
                              <w:ind w:left="22"/>
                              <w:spacing w:before="1" w:line="229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河北</w:t>
                            </w:r>
                          </w:p>
                          <w:p>
                            <w:pPr>
                              <w:pStyle w:val="TableText"/>
                              <w:ind w:left="23"/>
                              <w:spacing w:before="1" w:line="229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湖北</w:t>
                            </w:r>
                          </w:p>
                          <w:p>
                            <w:pPr>
                              <w:pStyle w:val="TableText"/>
                              <w:ind w:left="35"/>
                              <w:spacing w:before="1" w:line="229" w:lineRule="auto"/>
                              <w:rPr/>
                            </w:pPr>
                            <w:r>
                              <w:rPr>
                                <w:color w:val="595959"/>
                                <w:spacing w:val="-5"/>
                              </w:rPr>
                              <w:t>四川</w:t>
                            </w:r>
                          </w:p>
                          <w:p>
                            <w:pPr>
                              <w:pStyle w:val="TableText"/>
                              <w:ind w:left="22"/>
                              <w:spacing w:line="229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河南</w:t>
                            </w:r>
                          </w:p>
                          <w:p>
                            <w:pPr>
                              <w:pStyle w:val="TableText"/>
                              <w:ind w:left="29"/>
                              <w:spacing w:before="1" w:line="226" w:lineRule="auto"/>
                              <w:rPr/>
                            </w:pPr>
                            <w:r>
                              <w:rPr>
                                <w:color w:val="595959"/>
                                <w:spacing w:val="-4"/>
                              </w:rPr>
                              <w:t>陕西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1"/>
                              </w:rPr>
                              <w:t>江西</w:t>
                            </w:r>
                          </w:p>
                          <w:p>
                            <w:pPr>
                              <w:pStyle w:val="TableText"/>
                              <w:ind w:left="21"/>
                              <w:spacing w:before="1" w:line="229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福建</w:t>
                            </w:r>
                          </w:p>
                          <w:p>
                            <w:pPr>
                              <w:pStyle w:val="TableText"/>
                              <w:ind w:left="25"/>
                              <w:spacing w:before="1" w:line="227" w:lineRule="auto"/>
                              <w:rPr/>
                            </w:pPr>
                            <w:r>
                              <w:rPr>
                                <w:color w:val="595959"/>
                                <w:spacing w:val="-3"/>
                              </w:rPr>
                              <w:t>上海</w:t>
                            </w:r>
                          </w:p>
                          <w:p>
                            <w:pPr>
                              <w:pStyle w:val="TableText"/>
                              <w:ind w:left="26"/>
                              <w:spacing w:before="1" w:line="230" w:lineRule="auto"/>
                              <w:rPr/>
                            </w:pPr>
                            <w:r>
                              <w:rPr>
                                <w:color w:val="595959"/>
                                <w:spacing w:val="-3"/>
                              </w:rPr>
                              <w:t>云南</w:t>
                            </w:r>
                          </w:p>
                          <w:p>
                            <w:pPr>
                              <w:pStyle w:val="TableText"/>
                              <w:ind w:left="21"/>
                              <w:spacing w:before="1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广西</w:t>
                            </w:r>
                          </w:p>
                          <w:p>
                            <w:pPr>
                              <w:pStyle w:val="TableText"/>
                              <w:ind w:left="23"/>
                              <w:spacing w:before="1" w:line="229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湖南</w:t>
                            </w:r>
                          </w:p>
                          <w:p>
                            <w:pPr>
                              <w:pStyle w:val="TableText"/>
                              <w:ind w:left="22"/>
                              <w:spacing w:before="1" w:line="226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辽宁</w:t>
                            </w:r>
                          </w:p>
                          <w:p>
                            <w:pPr>
                              <w:pStyle w:val="TableText"/>
                              <w:ind w:left="21"/>
                              <w:spacing w:before="3" w:line="227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贵州</w:t>
                            </w:r>
                          </w:p>
                          <w:p>
                            <w:pPr>
                              <w:pStyle w:val="TableText"/>
                              <w:ind w:left="36"/>
                              <w:spacing w:before="2" w:line="230" w:lineRule="auto"/>
                              <w:rPr/>
                            </w:pPr>
                            <w:r>
                              <w:rPr>
                                <w:color w:val="595959"/>
                                <w:spacing w:val="-5"/>
                              </w:rPr>
                              <w:t>山西</w:t>
                            </w:r>
                          </w:p>
                          <w:p>
                            <w:pPr>
                              <w:pStyle w:val="TableText"/>
                              <w:ind w:left="23"/>
                              <w:spacing w:line="229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新疆</w:t>
                            </w:r>
                          </w:p>
                          <w:p>
                            <w:pPr>
                              <w:pStyle w:val="TableText"/>
                              <w:ind w:left="23"/>
                              <w:spacing w:before="38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甘肃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3056" behindDoc="0" locked="0" layoutInCell="1" allowOverlap="1">
                      <wp:simplePos x="0" y="0"/>
                      <wp:positionH relativeFrom="rightMargin">
                        <wp:posOffset>-1413386</wp:posOffset>
                      </wp:positionH>
                      <wp:positionV relativeFrom="topMargin">
                        <wp:posOffset>1463517</wp:posOffset>
                      </wp:positionV>
                      <wp:extent cx="318770" cy="178435"/>
                      <wp:effectExtent l="0" t="0" r="0" b="0"/>
                      <wp:wrapNone/>
                      <wp:docPr id="10" name="TextBox 10"/>
                      <wp:cNvGraphicFramePr/>
                      <a:graphic>
                        <a:graphicData uri="http://schemas.microsoft.com/office/word/2010/wordprocessingShape">
                          <wps:wsp>
                            <wps:cNvPr id="10" name="TextBox 10"/>
                            <wps:cNvSpPr txBox="1"/>
                            <wps:spPr>
                              <a:xfrm rot="16200000">
                                <a:off x="-1413386" y="1463517"/>
                                <a:ext cx="318770" cy="1784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6" w:line="226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5"/>
                                    </w:rPr>
                                    <w:t>内蒙古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4" style="position:absolute;margin-left:-111.29pt;margin-top:115.238pt;mso-position-vertical-relative:top-margin-area;mso-position-horizontal-relative:right-margin-area;width:25.1pt;height:14.05pt;z-index:2516930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6" w:line="226" w:lineRule="auto"/>
                              <w:rPr/>
                            </w:pPr>
                            <w:r>
                              <w:rPr>
                                <w:color w:val="595959"/>
                                <w:spacing w:val="-5"/>
                              </w:rPr>
                              <w:t>内蒙古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86912" behindDoc="0" locked="0" layoutInCell="1" allowOverlap="1">
                      <wp:simplePos x="0" y="0"/>
                      <wp:positionH relativeFrom="rightMargin">
                        <wp:posOffset>-1103042</wp:posOffset>
                      </wp:positionH>
                      <wp:positionV relativeFrom="topMargin">
                        <wp:posOffset>1285663</wp:posOffset>
                      </wp:positionV>
                      <wp:extent cx="224790" cy="441959"/>
                      <wp:effectExtent l="0" t="0" r="0" b="0"/>
                      <wp:wrapNone/>
                      <wp:docPr id="12" name="TextBox 12"/>
                      <wp:cNvGraphicFramePr/>
                      <a:graphic>
                        <a:graphicData uri="http://schemas.microsoft.com/office/word/2010/wordprocessingShape">
                          <wps:wsp>
                            <wps:cNvPr id="12" name="TextBox 12"/>
                            <wps:cNvSpPr txBox="1"/>
                            <wps:spPr>
                              <a:xfrm rot="16200000">
                                <a:off x="-1103042" y="1285663"/>
                                <a:ext cx="224790" cy="44195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海南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1" w:line="229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重庆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2"/>
                                    <w:spacing w:before="36" w:line="227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3"/>
                                    </w:rPr>
                                    <w:t>吉林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6" style="position:absolute;margin-left:-86.8538pt;margin-top:101.233pt;mso-position-vertical-relative:top-margin-area;mso-position-horizontal-relative:right-margin-area;width:17.7pt;height:34.8pt;z-index:2516869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海南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1" w:line="229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重庆</w:t>
                            </w:r>
                          </w:p>
                          <w:p>
                            <w:pPr>
                              <w:pStyle w:val="TableText"/>
                              <w:ind w:left="22"/>
                              <w:spacing w:before="36" w:line="227" w:lineRule="auto"/>
                              <w:rPr/>
                            </w:pPr>
                            <w:r>
                              <w:rPr>
                                <w:color w:val="595959"/>
                                <w:spacing w:val="-3"/>
                              </w:rPr>
                              <w:t>吉林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1008" behindDoc="0" locked="0" layoutInCell="1" allowOverlap="1">
                      <wp:simplePos x="0" y="0"/>
                      <wp:positionH relativeFrom="rightMargin">
                        <wp:posOffset>-890762</wp:posOffset>
                      </wp:positionH>
                      <wp:positionV relativeFrom="topMargin">
                        <wp:posOffset>1466620</wp:posOffset>
                      </wp:positionV>
                      <wp:extent cx="327025" cy="180339"/>
                      <wp:effectExtent l="0" t="0" r="0" b="0"/>
                      <wp:wrapNone/>
                      <wp:docPr id="14" name="TextBox 14"/>
                      <wp:cNvGraphicFramePr/>
                      <a:graphic>
                        <a:graphicData uri="http://schemas.microsoft.com/office/word/2010/wordprocessingShape">
                          <wps:wsp>
                            <wps:cNvPr id="14" name="TextBox 14"/>
                            <wps:cNvSpPr txBox="1"/>
                            <wps:spPr>
                              <a:xfrm rot="16200000">
                                <a:off x="-890762" y="1466620"/>
                                <a:ext cx="327025" cy="1803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7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黑龙江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8" style="position:absolute;margin-left:-70.1388pt;margin-top:115.482pt;mso-position-vertical-relative:top-margin-area;mso-position-horizontal-relative:right-margin-area;width:25.75pt;height:14.2pt;z-index:2516910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7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黑龙江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84864" behindDoc="0" locked="0" layoutInCell="1" allowOverlap="1">
                      <wp:simplePos x="0" y="0"/>
                      <wp:positionH relativeFrom="rightMargin">
                        <wp:posOffset>-510292</wp:posOffset>
                      </wp:positionH>
                      <wp:positionV relativeFrom="topMargin">
                        <wp:posOffset>1219091</wp:posOffset>
                      </wp:positionV>
                      <wp:extent cx="224790" cy="575309"/>
                      <wp:effectExtent l="0" t="0" r="0" b="0"/>
                      <wp:wrapNone/>
                      <wp:docPr id="16" name="TextBox 16"/>
                      <wp:cNvGraphicFramePr/>
                      <a:graphic>
                        <a:graphicData uri="http://schemas.microsoft.com/office/word/2010/wordprocessingShape">
                          <wps:wsp>
                            <wps:cNvPr id="16" name="TextBox 16"/>
                            <wps:cNvSpPr txBox="1"/>
                            <wps:spPr>
                              <a:xfrm rot="16200000">
                                <a:off x="-510292" y="1219091"/>
                                <a:ext cx="224790" cy="57530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226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天津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2"/>
                                    <w:spacing w:before="2" w:line="226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3"/>
                                    </w:rPr>
                                    <w:t>青海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5"/>
                                    <w:spacing w:before="2" w:line="227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4"/>
                                    </w:rPr>
                                    <w:t>宁夏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40" w:line="228" w:lineRule="auto"/>
                                    <w:rPr/>
                                  </w:pPr>
                                  <w:r>
                                    <w:rPr>
                                      <w:color w:val="595959"/>
                                      <w:spacing w:val="-2"/>
                                    </w:rPr>
                                    <w:t>西藏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0" style="position:absolute;margin-left:-40.1805pt;margin-top:95.9915pt;mso-position-vertical-relative:top-margin-area;mso-position-horizontal-relative:right-margin-area;width:17.7pt;height:45.3pt;z-index:25168486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226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天津</w:t>
                            </w:r>
                          </w:p>
                          <w:p>
                            <w:pPr>
                              <w:pStyle w:val="TableText"/>
                              <w:ind w:left="22"/>
                              <w:spacing w:before="2" w:line="226" w:lineRule="auto"/>
                              <w:rPr/>
                            </w:pPr>
                            <w:r>
                              <w:rPr>
                                <w:color w:val="595959"/>
                                <w:spacing w:val="-3"/>
                              </w:rPr>
                              <w:t>青海</w:t>
                            </w:r>
                          </w:p>
                          <w:p>
                            <w:pPr>
                              <w:pStyle w:val="TableText"/>
                              <w:ind w:left="25"/>
                              <w:spacing w:before="2" w:line="227" w:lineRule="auto"/>
                              <w:rPr/>
                            </w:pPr>
                            <w:r>
                              <w:rPr>
                                <w:color w:val="595959"/>
                                <w:spacing w:val="-4"/>
                              </w:rPr>
                              <w:t>宁夏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40" w:line="228" w:lineRule="auto"/>
                              <w:rPr/>
                            </w:pPr>
                            <w:r>
                              <w:rPr>
                                <w:color w:val="595959"/>
                                <w:spacing w:val="-2"/>
                              </w:rPr>
                              <w:t>西藏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688960" behindDoc="0" locked="0" layoutInCell="1" allowOverlap="1">
                  <wp:simplePos x="0" y="0"/>
                  <wp:positionH relativeFrom="rightMargin">
                    <wp:posOffset>-4173473</wp:posOffset>
                  </wp:positionH>
                  <wp:positionV relativeFrom="topMargin">
                    <wp:posOffset>312165</wp:posOffset>
                  </wp:positionV>
                  <wp:extent cx="45719" cy="1039368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" cy="103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3"/>
                <w:position w:val="2"/>
              </w:rPr>
              <w:t>12.0%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55" w:line="186" w:lineRule="auto"/>
              <w:rPr/>
            </w:pPr>
            <w:r>
              <w:pict>
                <v:shape id="_x0000_s52" style="position:absolute;margin-left:4.07999pt;margin-top:7.27539pt;mso-position-vertical-relative:text;mso-position-horizontal-relative:text;width:325.35pt;height:64.05pt;z-index:251694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240" w:lineRule="exact"/>
                          <w:jc w:val="right"/>
                          <w:rPr/>
                        </w:pPr>
                        <w:r>
                          <w:rPr>
                            <w:color w:val="404040"/>
                            <w:position w:val="-24"/>
                          </w:rPr>
                          <w:drawing>
                            <wp:inline distT="0" distB="0" distL="0" distR="0">
                              <wp:extent cx="3104405" cy="245363"/>
                              <wp:effectExtent l="0" t="0" r="0" b="0"/>
                              <wp:docPr id="20" name="IM 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 20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04405" cy="2453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position w:val="-24"/>
                          </w:rPr>
                          <w:drawing>
                            <wp:inline distT="0" distB="0" distL="0" distR="0">
                              <wp:extent cx="38254" cy="679704"/>
                              <wp:effectExtent l="0" t="0" r="0" b="0"/>
                              <wp:docPr id="22" name="IM 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 22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8254" cy="6797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86"/>
                          </w:rPr>
                          <w:t>7.0</w:t>
                        </w: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38254" cy="609600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8254" cy="609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75"/>
                          </w:rPr>
                          <w:drawing>
                            <wp:inline distT="0" distB="0" distL="0" distR="0">
                              <wp:extent cx="40819" cy="152116"/>
                              <wp:effectExtent l="0" t="0" r="0" b="0"/>
                              <wp:docPr id="26" name="IM 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819" cy="1521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78"/>
                          </w:rPr>
                          <w:t>.8</w:t>
                        </w: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38254" cy="595883"/>
                              <wp:effectExtent l="0" t="0" r="0" b="0"/>
                              <wp:docPr id="28" name="IM 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8254" cy="5958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76"/>
                          </w:rPr>
                          <w:t>%6</w:t>
                        </w:r>
                        <w:r>
                          <w:rPr>
                            <w:color w:val="404040"/>
                            <w:w w:val="1"/>
                            <w:position w:val="73"/>
                          </w:rPr>
                          <w:t>.2</w:t>
                        </w:r>
                        <w:r>
                          <w:rPr>
                            <w:position w:val="61"/>
                          </w:rPr>
                          <w:drawing>
                            <wp:inline distT="0" distB="0" distL="0" distR="0">
                              <wp:extent cx="40074" cy="159482"/>
                              <wp:effectExtent l="0" t="0" r="0" b="0"/>
                              <wp:docPr id="30" name="IM 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" name="IM 3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074" cy="1594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65"/>
                          </w:rPr>
                          <w:t>.5</w:t>
                        </w:r>
                        <w:r>
                          <w:rPr>
                            <w:color w:val="404040"/>
                            <w:w w:val="1"/>
                            <w:position w:val="62"/>
                          </w:rPr>
                          <w:t>%5</w:t>
                        </w:r>
                        <w:r>
                          <w:rPr>
                            <w:color w:val="404040"/>
                            <w:w w:val="1"/>
                            <w:position w:val="58"/>
                          </w:rPr>
                          <w:t>.4</w:t>
                        </w:r>
                        <w:r>
                          <w:rPr>
                            <w:position w:val="47"/>
                          </w:rPr>
                          <w:drawing>
                            <wp:inline distT="0" distB="0" distL="0" distR="0">
                              <wp:extent cx="42792" cy="157323"/>
                              <wp:effectExtent l="0" t="0" r="0" b="0"/>
                              <wp:docPr id="32" name="IM 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" name="IM 3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2792" cy="1573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50"/>
                          </w:rPr>
                          <w:t>.4</w:t>
                        </w:r>
                        <w:r>
                          <w:rPr>
                            <w:position w:val="41"/>
                          </w:rPr>
                          <w:drawing>
                            <wp:inline distT="0" distB="0" distL="0" distR="0">
                              <wp:extent cx="42792" cy="143607"/>
                              <wp:effectExtent l="0" t="0" r="0" b="0"/>
                              <wp:docPr id="34" name="IM 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" name="IM 3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2792" cy="14360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44"/>
                          </w:rPr>
                          <w:t>.2%3.9</w:t>
                        </w:r>
                        <w:r>
                          <w:rPr>
                            <w:color w:val="404040"/>
                            <w:w w:val="1"/>
                            <w:position w:val="40"/>
                          </w:rPr>
                          <w:t>3</w:t>
                        </w:r>
                        <w:r>
                          <w:rPr>
                            <w:em w:val="dot"/>
                            <w:color w:val="404040"/>
                            <w:w w:val="1"/>
                            <w:position w:val="40"/>
                          </w:rPr>
                          <w:t>%</w:t>
                        </w:r>
                        <w:r>
                          <w:rPr>
                            <w:color w:val="404040"/>
                            <w:w w:val="1"/>
                            <w:position w:val="36"/>
                          </w:rPr>
                          <w:t>3</w:t>
                        </w:r>
                        <w:r>
                          <w:rPr>
                            <w:position w:val="28"/>
                          </w:rPr>
                          <w:drawing>
                            <wp:inline distT="0" distB="0" distL="0" distR="0">
                              <wp:extent cx="41239" cy="135606"/>
                              <wp:effectExtent l="0" t="0" r="0" b="0"/>
                              <wp:docPr id="36" name="IM 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" name="IM 36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1239" cy="1356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31"/>
                          </w:rPr>
                          <w:t>.3%2</w:t>
                        </w:r>
                        <w:r>
                          <w:rPr>
                            <w:color w:val="404040"/>
                            <w:w w:val="1"/>
                            <w:position w:val="30"/>
                          </w:rPr>
                          <w:t>.9</w:t>
                        </w:r>
                        <w:r>
                          <w:rPr>
                            <w:position w:val="25"/>
                          </w:rPr>
                          <w:drawing>
                            <wp:inline distT="0" distB="0" distL="0" distR="0">
                              <wp:extent cx="40818" cy="119096"/>
                              <wp:effectExtent l="0" t="0" r="0" b="0"/>
                              <wp:docPr id="38" name="IM 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" name="IM 38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818" cy="119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28"/>
                          </w:rPr>
                          <w:t>.7</w:t>
                        </w:r>
                        <w:r>
                          <w:rPr>
                            <w:position w:val="22"/>
                          </w:rPr>
                          <w:drawing>
                            <wp:inline distT="0" distB="0" distL="0" distR="0">
                              <wp:extent cx="40915" cy="122906"/>
                              <wp:effectExtent l="0" t="0" r="0" b="0"/>
                              <wp:docPr id="40" name="IM 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" name="IM 40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22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26"/>
                          </w:rPr>
                          <w:t>.5</w:t>
                        </w:r>
                        <w:r>
                          <w:rPr>
                            <w:position w:val="22"/>
                          </w:rPr>
                          <w:drawing>
                            <wp:inline distT="0" distB="0" distL="0" distR="0">
                              <wp:extent cx="40915" cy="108174"/>
                              <wp:effectExtent l="0" t="0" r="0" b="0"/>
                              <wp:docPr id="42" name="IM 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" name="IM 42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081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w w:val="1"/>
                            <w:position w:val="26"/>
                          </w:rPr>
                          <w:t>.5</w:t>
                        </w:r>
                        <w:r>
                          <w:rPr>
                            <w:position w:val="20"/>
                          </w:rPr>
                          <w:drawing>
                            <wp:inline distT="0" distB="0" distL="0" distR="0">
                              <wp:extent cx="40915" cy="120747"/>
                              <wp:effectExtent l="0" t="0" r="0" b="0"/>
                              <wp:docPr id="44" name="IM 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" name="IM 44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207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23"/>
                          </w:rPr>
                          <w:t>.3</w:t>
                        </w:r>
                        <w:r>
                          <w:rPr>
                            <w:position w:val="13"/>
                          </w:rPr>
                          <w:drawing>
                            <wp:inline distT="0" distB="0" distL="0" distR="0">
                              <wp:extent cx="40915" cy="146909"/>
                              <wp:effectExtent l="0" t="0" r="0" b="0"/>
                              <wp:docPr id="46" name="IM 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6" name="IM 46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469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17"/>
                          </w:rPr>
                          <w:t>.9</w:t>
                        </w:r>
                        <w:r>
                          <w:rPr>
                            <w:position w:val="12"/>
                          </w:rPr>
                          <w:drawing>
                            <wp:inline distT="0" distB="0" distL="0" distR="0">
                              <wp:extent cx="40818" cy="111984"/>
                              <wp:effectExtent l="0" t="0" r="0" b="0"/>
                              <wp:docPr id="48" name="IM 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" name="IM 48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818" cy="1119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16"/>
                          </w:rPr>
                          <w:t>.8</w:t>
                        </w:r>
                        <w:r>
                          <w:rPr>
                            <w:position w:val="12"/>
                          </w:rPr>
                          <w:drawing>
                            <wp:inline distT="0" distB="0" distL="0" distR="0">
                              <wp:extent cx="40915" cy="111857"/>
                              <wp:effectExtent l="0" t="0" r="0" b="0"/>
                              <wp:docPr id="50" name="IM 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" name="IM 50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1185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15"/>
                          </w:rPr>
                          <w:t>.7</w:t>
                        </w:r>
                        <w:r>
                          <w:rPr>
                            <w:position w:val="11"/>
                          </w:rPr>
                          <w:drawing>
                            <wp:inline distT="0" distB="0" distL="0" distR="0">
                              <wp:extent cx="40915" cy="107539"/>
                              <wp:effectExtent l="0" t="0" r="0" b="0"/>
                              <wp:docPr id="52" name="IM 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IM 52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075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15"/>
                          </w:rPr>
                          <w:t>.7</w:t>
                        </w:r>
                        <w:r>
                          <w:rPr>
                            <w:position w:val="11"/>
                          </w:rPr>
                          <w:drawing>
                            <wp:inline distT="0" distB="0" distL="0" distR="0">
                              <wp:extent cx="40915" cy="107666"/>
                              <wp:effectExtent l="0" t="0" r="0" b="0"/>
                              <wp:docPr id="54" name="IM 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" name="IM 54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076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15"/>
                          </w:rPr>
                          <w:t>.7</w:t>
                        </w:r>
                        <w:r>
                          <w:rPr>
                            <w:position w:val="11"/>
                          </w:rPr>
                          <w:drawing>
                            <wp:inline distT="0" distB="0" distL="0" distR="0">
                              <wp:extent cx="40915" cy="106396"/>
                              <wp:effectExtent l="0" t="0" r="0" b="0"/>
                              <wp:docPr id="56" name="IM 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" name="IM 56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063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15"/>
                          </w:rPr>
                          <w:t>.7</w:t>
                        </w:r>
                        <w:r>
                          <w:rPr>
                            <w:position w:val="8"/>
                          </w:rPr>
                          <w:drawing>
                            <wp:inline distT="0" distB="0" distL="0" distR="0">
                              <wp:extent cx="40819" cy="127478"/>
                              <wp:effectExtent l="0" t="0" r="0" b="0"/>
                              <wp:docPr id="58" name="IM 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8" name="IM 58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819" cy="1274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12"/>
                          </w:rPr>
                          <w:t>.5</w:t>
                        </w:r>
                        <w:r>
                          <w:rPr>
                            <w:position w:val="7"/>
                          </w:rPr>
                          <w:drawing>
                            <wp:inline distT="0" distB="0" distL="0" distR="0">
                              <wp:extent cx="40915" cy="110968"/>
                              <wp:effectExtent l="0" t="0" r="0" b="0"/>
                              <wp:docPr id="60" name="IM 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109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11"/>
                          </w:rPr>
                          <w:t>.4</w:t>
                        </w:r>
                        <w:r>
                          <w:rPr>
                            <w:position w:val="5"/>
                          </w:rPr>
                          <w:drawing>
                            <wp:inline distT="0" distB="0" distL="0" distR="0">
                              <wp:extent cx="40915" cy="120620"/>
                              <wp:effectExtent l="0" t="0" r="0" b="0"/>
                              <wp:docPr id="62" name="IM 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" name="IM 62"/>
                                      <pic:cNvPicPr/>
                                    </pic:nvPicPr>
                                    <pic:blipFill>
                                      <a:blip r:embed="rId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206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9"/>
                          </w:rPr>
                          <w:t>.3</w:t>
                        </w: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40915" cy="131796"/>
                              <wp:effectExtent l="0" t="0" r="0" b="0"/>
                              <wp:docPr id="64" name="IM 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4" name="IM 64"/>
                                      <pic:cNvPicPr/>
                                    </pic:nvPicPr>
                                    <pic:blipFill>
                                      <a:blip r:embed="rId3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317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5"/>
                          </w:rPr>
                          <w:t>.0</w:t>
                        </w:r>
                        <w:r>
                          <w:rPr/>
                          <w:drawing>
                            <wp:inline distT="0" distB="0" distL="0" distR="0">
                              <wp:extent cx="40915" cy="112746"/>
                              <wp:effectExtent l="0" t="0" r="0" b="0"/>
                              <wp:docPr id="66" name="IM 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" name="IM 66"/>
                                      <pic:cNvPicPr/>
                                    </pic:nvPicPr>
                                    <pic:blipFill>
                                      <a:blip r:embed="rId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15" cy="1127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4"/>
                          </w:rPr>
                          <w:t>.9</w:t>
                        </w:r>
                        <w:r>
                          <w:rPr>
                            <w:position w:val="-8"/>
                          </w:rPr>
                          <w:drawing>
                            <wp:inline distT="0" distB="0" distL="0" distR="0">
                              <wp:extent cx="40940" cy="153965"/>
                              <wp:effectExtent l="0" t="0" r="0" b="0"/>
                              <wp:docPr id="68" name="IM 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" name="IM 68"/>
                                      <pic:cNvPicPr/>
                                    </pic:nvPicPr>
                                    <pic:blipFill>
                                      <a:blip r:embed="rId3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40" cy="1539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404040"/>
                            <w:spacing w:val="-1"/>
                            <w:w w:val="1"/>
                            <w:position w:val="-7"/>
                          </w:rPr>
                          <w:t>.1%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2"/>
              </w:rPr>
              <w:t>7.8%</w:t>
            </w:r>
          </w:p>
        </w:tc>
      </w:tr>
    </w:tbl>
    <w:p>
      <w:pPr>
        <w:ind w:left="1478"/>
        <w:spacing w:before="215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5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千万元以上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DICT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项目金额省份分布</w:t>
      </w:r>
    </w:p>
    <w:p>
      <w:pPr>
        <w:spacing w:line="214" w:lineRule="auto"/>
        <w:sectPr>
          <w:pgSz w:w="11907" w:h="16839"/>
          <w:pgMar w:top="400" w:right="1688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7" w:right="22" w:firstLine="599"/>
        <w:spacing w:before="97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5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．从竞争看，运营商领先，央企异军突起，地方国资遍地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开花</w:t>
      </w:r>
    </w:p>
    <w:p>
      <w:pPr>
        <w:ind w:left="2184"/>
        <w:spacing w:before="325" w:line="21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表</w:t>
      </w:r>
      <w:r>
        <w:rPr>
          <w:rFonts w:ascii="KaiTi" w:hAnsi="KaiTi" w:eastAsia="KaiTi" w:cs="KaiTi"/>
          <w:sz w:val="30"/>
          <w:szCs w:val="30"/>
          <w:spacing w:val="-40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1</w:t>
      </w:r>
      <w:r>
        <w:rPr>
          <w:rFonts w:ascii="KaiTi" w:hAnsi="KaiTi" w:eastAsia="KaiTi" w:cs="KaiTi"/>
          <w:sz w:val="30"/>
          <w:szCs w:val="30"/>
        </w:rPr>
        <w:t xml:space="preserve">  </w:t>
      </w:r>
      <w:r>
        <w:rPr>
          <w:rFonts w:ascii="KaiTi" w:hAnsi="KaiTi" w:eastAsia="KaiTi" w:cs="KaiTi"/>
          <w:sz w:val="30"/>
          <w:szCs w:val="30"/>
        </w:rPr>
        <w:t>项目金额前30</w:t>
      </w:r>
      <w:r>
        <w:rPr>
          <w:rFonts w:ascii="KaiTi" w:hAnsi="KaiTi" w:eastAsia="KaiTi" w:cs="KaiTi"/>
          <w:sz w:val="30"/>
          <w:szCs w:val="30"/>
          <w:spacing w:val="-30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中标厂家</w:t>
      </w:r>
    </w:p>
    <w:p>
      <w:pPr>
        <w:ind w:firstLine="21"/>
        <w:spacing w:before="79" w:line="6984" w:lineRule="exact"/>
        <w:rPr/>
      </w:pPr>
      <w:r>
        <w:rPr>
          <w:position w:val="-139"/>
        </w:rPr>
        <w:drawing>
          <wp:inline distT="0" distB="0" distL="0" distR="0">
            <wp:extent cx="5264150" cy="443484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15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27" w:right="14" w:firstLine="597"/>
        <w:spacing w:before="97" w:line="25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①运营商位居前三：中标数量和金额，排名前三的</w:t>
      </w:r>
      <w:r>
        <w:rPr>
          <w:rFonts w:ascii="SimSun" w:hAnsi="SimSun" w:eastAsia="SimSun" w:cs="SimSun"/>
          <w:sz w:val="30"/>
          <w:szCs w:val="30"/>
          <w:spacing w:val="-5"/>
        </w:rPr>
        <w:t>分别为移</w:t>
      </w:r>
      <w:r>
        <w:rPr>
          <w:rFonts w:ascii="SimSun" w:hAnsi="SimSun" w:eastAsia="SimSun" w:cs="SimSun"/>
          <w:sz w:val="30"/>
          <w:szCs w:val="30"/>
          <w:spacing w:val="-6"/>
        </w:rPr>
        <w:t>动、电信、联通，</w:t>
      </w:r>
      <w:r>
        <w:rPr>
          <w:rFonts w:ascii="SimSun" w:hAnsi="SimSun" w:eastAsia="SimSun" w:cs="SimSun"/>
          <w:sz w:val="30"/>
          <w:szCs w:val="30"/>
          <w:spacing w:val="8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项目数分别为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709 </w:t>
      </w:r>
      <w:r>
        <w:rPr>
          <w:rFonts w:ascii="SimSun" w:hAnsi="SimSun" w:eastAsia="SimSun" w:cs="SimSun"/>
          <w:sz w:val="30"/>
          <w:szCs w:val="30"/>
          <w:spacing w:val="-6"/>
        </w:rPr>
        <w:t>个、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634 </w:t>
      </w:r>
      <w:r>
        <w:rPr>
          <w:rFonts w:ascii="SimSun" w:hAnsi="SimSun" w:eastAsia="SimSun" w:cs="SimSun"/>
          <w:sz w:val="30"/>
          <w:szCs w:val="30"/>
          <w:spacing w:val="-6"/>
        </w:rPr>
        <w:t>个和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392 </w:t>
      </w:r>
      <w:r>
        <w:rPr>
          <w:rFonts w:ascii="SimSun" w:hAnsi="SimSun" w:eastAsia="SimSun" w:cs="SimSun"/>
          <w:sz w:val="30"/>
          <w:szCs w:val="30"/>
          <w:spacing w:val="-6"/>
        </w:rPr>
        <w:t>个，金额</w:t>
      </w:r>
      <w:r>
        <w:rPr>
          <w:rFonts w:ascii="SimSun" w:hAnsi="SimSun" w:eastAsia="SimSun" w:cs="SimSun"/>
          <w:sz w:val="30"/>
          <w:szCs w:val="30"/>
          <w:spacing w:val="-8"/>
        </w:rPr>
        <w:t>分别为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243.75 </w:t>
      </w:r>
      <w:r>
        <w:rPr>
          <w:rFonts w:ascii="SimSun" w:hAnsi="SimSun" w:eastAsia="SimSun" w:cs="SimSun"/>
          <w:sz w:val="30"/>
          <w:szCs w:val="30"/>
          <w:spacing w:val="-8"/>
        </w:rPr>
        <w:t>亿元、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200.41 </w:t>
      </w:r>
      <w:r>
        <w:rPr>
          <w:rFonts w:ascii="SimSun" w:hAnsi="SimSun" w:eastAsia="SimSun" w:cs="SimSun"/>
          <w:sz w:val="30"/>
          <w:szCs w:val="30"/>
          <w:spacing w:val="-8"/>
        </w:rPr>
        <w:t>亿元和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149.2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3 </w:t>
      </w:r>
      <w:r>
        <w:rPr>
          <w:rFonts w:ascii="SimSun" w:hAnsi="SimSun" w:eastAsia="SimSun" w:cs="SimSun"/>
          <w:sz w:val="30"/>
          <w:szCs w:val="30"/>
          <w:spacing w:val="-9"/>
        </w:rPr>
        <w:t>亿元，远超其它厂家。</w:t>
      </w:r>
    </w:p>
    <w:p>
      <w:pPr>
        <w:ind w:left="29" w:right="26" w:firstLine="593"/>
        <w:spacing w:before="316" w:line="24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②央企突飞猛进：包括中国中铁（排名第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6</w:t>
      </w:r>
      <w:r>
        <w:rPr>
          <w:rFonts w:ascii="SimSun" w:hAnsi="SimSun" w:eastAsia="SimSun" w:cs="SimSun"/>
          <w:sz w:val="30"/>
          <w:szCs w:val="30"/>
          <w:spacing w:val="-10"/>
        </w:rPr>
        <w:t>）、中国电科（排</w:t>
      </w:r>
      <w:r>
        <w:rPr>
          <w:rFonts w:ascii="SimSun" w:hAnsi="SimSun" w:eastAsia="SimSun" w:cs="SimSun"/>
          <w:sz w:val="30"/>
          <w:szCs w:val="30"/>
          <w:spacing w:val="-6"/>
        </w:rPr>
        <w:t>名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13</w:t>
      </w:r>
      <w:r>
        <w:rPr>
          <w:rFonts w:ascii="SimSun" w:hAnsi="SimSun" w:eastAsia="SimSun" w:cs="SimSun"/>
          <w:sz w:val="30"/>
          <w:szCs w:val="30"/>
          <w:spacing w:val="-77"/>
          <w:w w:val="97"/>
        </w:rPr>
        <w:t>），</w:t>
      </w:r>
      <w:r>
        <w:rPr>
          <w:rFonts w:ascii="SimSun" w:hAnsi="SimSun" w:eastAsia="SimSun" w:cs="SimSun"/>
          <w:sz w:val="30"/>
          <w:szCs w:val="30"/>
          <w:spacing w:val="-6"/>
        </w:rPr>
        <w:t>中国电子（排名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14</w:t>
      </w:r>
      <w:r>
        <w:rPr>
          <w:rFonts w:ascii="SimSun" w:hAnsi="SimSun" w:eastAsia="SimSun" w:cs="SimSun"/>
          <w:sz w:val="30"/>
          <w:szCs w:val="30"/>
          <w:spacing w:val="-77"/>
          <w:w w:val="97"/>
        </w:rPr>
        <w:t>），</w:t>
      </w:r>
      <w:r>
        <w:rPr>
          <w:rFonts w:ascii="SimSun" w:hAnsi="SimSun" w:eastAsia="SimSun" w:cs="SimSun"/>
          <w:sz w:val="30"/>
          <w:szCs w:val="30"/>
          <w:spacing w:val="-6"/>
        </w:rPr>
        <w:t>中国铁塔（排名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25</w:t>
      </w:r>
      <w:r>
        <w:rPr>
          <w:rFonts w:ascii="SimSun" w:hAnsi="SimSun" w:eastAsia="SimSun" w:cs="SimSun"/>
          <w:sz w:val="30"/>
          <w:szCs w:val="30"/>
          <w:spacing w:val="-6"/>
        </w:rPr>
        <w:t>）等。</w:t>
      </w:r>
    </w:p>
    <w:p>
      <w:pPr>
        <w:ind w:left="29" w:right="12" w:firstLine="593"/>
        <w:spacing w:before="317" w:line="25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③地方国资遍地开花：各省甚至地市均有地方国资主导政府</w:t>
      </w:r>
      <w:r>
        <w:rPr>
          <w:rFonts w:ascii="SimSun" w:hAnsi="SimSun" w:eastAsia="SimSun" w:cs="SimSun"/>
          <w:sz w:val="30"/>
          <w:szCs w:val="30"/>
          <w:spacing w:val="-14"/>
        </w:rPr>
        <w:t>的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DICT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项目，规模较大的如数字广东和广东网络建设（省级</w:t>
      </w:r>
      <w:r>
        <w:rPr>
          <w:rFonts w:ascii="SimSun" w:hAnsi="SimSun" w:eastAsia="SimSun" w:cs="SimSun"/>
          <w:sz w:val="30"/>
          <w:szCs w:val="30"/>
          <w:spacing w:val="-15"/>
        </w:rPr>
        <w:t>）、</w:t>
      </w:r>
      <w:r>
        <w:rPr>
          <w:rFonts w:ascii="SimSun" w:hAnsi="SimSun" w:eastAsia="SimSun" w:cs="SimSun"/>
          <w:sz w:val="30"/>
          <w:szCs w:val="30"/>
          <w:spacing w:val="-14"/>
        </w:rPr>
        <w:t>吉林祥云（省级）、河南垂天（地市级）等，甘肃省市两</w:t>
      </w:r>
      <w:r>
        <w:rPr>
          <w:rFonts w:ascii="SimSun" w:hAnsi="SimSun" w:eastAsia="SimSun" w:cs="SimSun"/>
          <w:sz w:val="30"/>
          <w:szCs w:val="30"/>
          <w:spacing w:val="-15"/>
        </w:rPr>
        <w:t>级国资平</w:t>
      </w:r>
      <w:r>
        <w:rPr>
          <w:rFonts w:ascii="SimSun" w:hAnsi="SimSun" w:eastAsia="SimSun" w:cs="SimSun"/>
          <w:sz w:val="30"/>
          <w:szCs w:val="30"/>
          <w:spacing w:val="-5"/>
        </w:rPr>
        <w:t>台多达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家（丝绸之路、云上甘肃等</w:t>
      </w:r>
      <w:r>
        <w:rPr>
          <w:rFonts w:ascii="SimSun" w:hAnsi="SimSun" w:eastAsia="SimSun" w:cs="SimSun"/>
          <w:sz w:val="30"/>
          <w:szCs w:val="30"/>
          <w:spacing w:val="-35"/>
        </w:rPr>
        <w:t>），</w:t>
      </w:r>
      <w:r>
        <w:rPr>
          <w:rFonts w:ascii="SimSun" w:hAnsi="SimSun" w:eastAsia="SimSun" w:cs="SimSun"/>
          <w:sz w:val="30"/>
          <w:szCs w:val="30"/>
          <w:spacing w:val="-5"/>
        </w:rPr>
        <w:t>它们往往将承揽的项目</w:t>
      </w:r>
      <w:r>
        <w:rPr>
          <w:rFonts w:ascii="SimSun" w:hAnsi="SimSun" w:eastAsia="SimSun" w:cs="SimSun"/>
          <w:sz w:val="30"/>
          <w:szCs w:val="30"/>
          <w:spacing w:val="-2"/>
        </w:rPr>
        <w:t>分包给运营商、硬件厂商、软件公司、集成公</w:t>
      </w:r>
      <w:r>
        <w:rPr>
          <w:rFonts w:ascii="SimSun" w:hAnsi="SimSun" w:eastAsia="SimSun" w:cs="SimSun"/>
          <w:sz w:val="30"/>
          <w:szCs w:val="30"/>
          <w:spacing w:val="-3"/>
        </w:rPr>
        <w:t>司和云厂商。</w:t>
      </w:r>
    </w:p>
    <w:p>
      <w:pPr>
        <w:spacing w:line="251" w:lineRule="auto"/>
        <w:sectPr>
          <w:pgSz w:w="11907" w:h="16839"/>
          <w:pgMar w:top="400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9" w:right="267" w:firstLine="593"/>
        <w:spacing w:before="98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④科技明星成为新玩家：如科大讯飞排名第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5</w:t>
      </w:r>
      <w:r>
        <w:rPr>
          <w:rFonts w:ascii="SimSun" w:hAnsi="SimSun" w:eastAsia="SimSun" w:cs="SimSun"/>
          <w:sz w:val="30"/>
          <w:szCs w:val="30"/>
          <w:spacing w:val="1"/>
        </w:rPr>
        <w:t>，北斗恒星排</w:t>
      </w:r>
      <w:r>
        <w:rPr>
          <w:rFonts w:ascii="SimSun" w:hAnsi="SimSun" w:eastAsia="SimSun" w:cs="SimSun"/>
          <w:sz w:val="30"/>
          <w:szCs w:val="30"/>
          <w:spacing w:val="-6"/>
        </w:rPr>
        <w:t>名第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</w:t>
      </w:r>
      <w:r>
        <w:rPr>
          <w:rFonts w:ascii="SimSun" w:hAnsi="SimSun" w:eastAsia="SimSun" w:cs="SimSun"/>
          <w:sz w:val="30"/>
          <w:szCs w:val="30"/>
          <w:spacing w:val="-6"/>
        </w:rPr>
        <w:t>，海信科技排名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15</w:t>
      </w:r>
      <w:r>
        <w:rPr>
          <w:rFonts w:ascii="SimSun" w:hAnsi="SimSun" w:eastAsia="SimSun" w:cs="SimSun"/>
          <w:sz w:val="30"/>
          <w:szCs w:val="30"/>
          <w:spacing w:val="-6"/>
        </w:rPr>
        <w:t>，寒武纪也挤进了前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30</w:t>
      </w:r>
      <w:r>
        <w:rPr>
          <w:rFonts w:ascii="SimSun" w:hAnsi="SimSun" w:eastAsia="SimSun" w:cs="SimSun"/>
          <w:sz w:val="30"/>
          <w:szCs w:val="30"/>
          <w:spacing w:val="-6"/>
        </w:rPr>
        <w:t>。</w:t>
      </w:r>
    </w:p>
    <w:p>
      <w:pPr>
        <w:ind w:left="31" w:right="255" w:firstLine="592"/>
        <w:spacing w:before="321" w:line="25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⑤很多知名的硬件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/</w:t>
      </w:r>
      <w:r>
        <w:rPr>
          <w:rFonts w:ascii="SimSun" w:hAnsi="SimSun" w:eastAsia="SimSun" w:cs="SimSun"/>
          <w:sz w:val="30"/>
          <w:szCs w:val="30"/>
          <w:spacing w:val="9"/>
        </w:rPr>
        <w:t>软件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/</w:t>
      </w:r>
      <w:r>
        <w:rPr>
          <w:rFonts w:ascii="SimSun" w:hAnsi="SimSun" w:eastAsia="SimSun" w:cs="SimSun"/>
          <w:sz w:val="30"/>
          <w:szCs w:val="30"/>
          <w:spacing w:val="9"/>
        </w:rPr>
        <w:t>系统集成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/</w:t>
      </w:r>
      <w:r>
        <w:rPr>
          <w:rFonts w:ascii="SimSun" w:hAnsi="SimSun" w:eastAsia="SimSun" w:cs="SimSun"/>
          <w:sz w:val="30"/>
          <w:szCs w:val="30"/>
          <w:spacing w:val="9"/>
        </w:rPr>
        <w:t>互联网厂商排名并不靠</w:t>
      </w:r>
      <w:r>
        <w:rPr>
          <w:rFonts w:ascii="SimSun" w:hAnsi="SimSun" w:eastAsia="SimSun" w:cs="SimSun"/>
          <w:sz w:val="30"/>
          <w:szCs w:val="30"/>
          <w:spacing w:val="-15"/>
        </w:rPr>
        <w:t>前，甚至没出现在前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30 </w:t>
      </w:r>
      <w:r>
        <w:rPr>
          <w:rFonts w:ascii="SimSun" w:hAnsi="SimSun" w:eastAsia="SimSun" w:cs="SimSun"/>
          <w:sz w:val="30"/>
          <w:szCs w:val="30"/>
          <w:spacing w:val="-15"/>
        </w:rPr>
        <w:t>榜单中：前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30 </w:t>
      </w:r>
      <w:r>
        <w:rPr>
          <w:rFonts w:ascii="SimSun" w:hAnsi="SimSun" w:eastAsia="SimSun" w:cs="SimSun"/>
          <w:sz w:val="30"/>
          <w:szCs w:val="30"/>
          <w:spacing w:val="-15"/>
        </w:rPr>
        <w:t>榜单，只出现华为、浪潮、</w:t>
      </w:r>
      <w:r>
        <w:rPr>
          <w:rFonts w:ascii="SimSun" w:hAnsi="SimSun" w:eastAsia="SimSun" w:cs="SimSun"/>
          <w:sz w:val="30"/>
          <w:szCs w:val="30"/>
          <w:spacing w:val="-9"/>
        </w:rPr>
        <w:t>阿里、腾讯、太极等少数几家老牌知名厂商， 而我们熟知的其他</w:t>
      </w:r>
      <w:r>
        <w:rPr>
          <w:rFonts w:ascii="SimSun" w:hAnsi="SimSun" w:eastAsia="SimSun" w:cs="SimSun"/>
          <w:sz w:val="30"/>
          <w:szCs w:val="30"/>
          <w:spacing w:val="-11"/>
        </w:rPr>
        <w:t>老牌厂商如新华三、中兴、海康威视、中软、用友、</w:t>
      </w:r>
      <w:r>
        <w:rPr>
          <w:rFonts w:ascii="SimSun" w:hAnsi="SimSun" w:eastAsia="SimSun" w:cs="SimSun"/>
          <w:sz w:val="30"/>
          <w:szCs w:val="30"/>
          <w:spacing w:val="4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金蝶等并未</w:t>
      </w:r>
      <w:r>
        <w:rPr>
          <w:rFonts w:ascii="SimSun" w:hAnsi="SimSun" w:eastAsia="SimSun" w:cs="SimSun"/>
          <w:sz w:val="30"/>
          <w:szCs w:val="30"/>
          <w:spacing w:val="-14"/>
        </w:rPr>
        <w:t>出现。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44" w:right="257" w:firstLine="630"/>
        <w:spacing w:before="101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二、运营商和头部云厂商在千万元以上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DICT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项目方面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的市场表现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7" w:firstLine="602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鉴于云服务在产业数字化领域的战略性地位，重点分析阿里、</w:t>
      </w:r>
      <w:r>
        <w:rPr>
          <w:rFonts w:ascii="SimSun" w:hAnsi="SimSun" w:eastAsia="SimSun" w:cs="SimSun"/>
          <w:sz w:val="30"/>
          <w:szCs w:val="30"/>
          <w:spacing w:val="-4"/>
        </w:rPr>
        <w:t>华为、腾讯等头部云厂商（以下简称云巨头）及运营商在该市场</w:t>
      </w:r>
      <w:r>
        <w:rPr>
          <w:rFonts w:ascii="SimSun" w:hAnsi="SimSun" w:eastAsia="SimSun" w:cs="SimSun"/>
          <w:sz w:val="30"/>
          <w:szCs w:val="30"/>
        </w:rPr>
        <w:t>上的各自表现，有利于中国电信了解竞争对手，采取更佳对策。</w:t>
      </w:r>
    </w:p>
    <w:p>
      <w:pPr>
        <w:ind w:left="636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．云巨头主攻重要省份，运营商全国发力</w:t>
      </w:r>
    </w:p>
    <w:p>
      <w:pPr>
        <w:ind w:left="26" w:right="256" w:firstLine="608"/>
        <w:spacing w:before="31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云巨头在前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省份的项目金额占比均超过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84%</w:t>
      </w:r>
      <w:r>
        <w:rPr>
          <w:rFonts w:ascii="SimSun" w:hAnsi="SimSun" w:eastAsia="SimSun" w:cs="SimSun"/>
          <w:sz w:val="30"/>
          <w:szCs w:val="30"/>
          <w:spacing w:val="-7"/>
        </w:rPr>
        <w:t>，而三家运营</w:t>
      </w:r>
      <w:r>
        <w:rPr>
          <w:rFonts w:ascii="SimSun" w:hAnsi="SimSun" w:eastAsia="SimSun" w:cs="SimSun"/>
          <w:sz w:val="30"/>
          <w:szCs w:val="30"/>
          <w:spacing w:val="-5"/>
        </w:rPr>
        <w:t>商在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50%</w:t>
      </w:r>
      <w:r>
        <w:rPr>
          <w:rFonts w:ascii="SimSun" w:hAnsi="SimSun" w:eastAsia="SimSun" w:cs="SimSun"/>
          <w:sz w:val="30"/>
          <w:szCs w:val="30"/>
          <w:spacing w:val="-5"/>
        </w:rPr>
        <w:t>上下。广东、江苏、浙江、北京等产数大省成为六大厂</w:t>
      </w:r>
      <w:r>
        <w:rPr>
          <w:rFonts w:ascii="SimSun" w:hAnsi="SimSun" w:eastAsia="SimSun" w:cs="SimSun"/>
          <w:sz w:val="30"/>
          <w:szCs w:val="30"/>
          <w:spacing w:val="-4"/>
        </w:rPr>
        <w:t>家争夺之地。华为和腾讯在广东的影响力不容小觑。阿里在浙江</w:t>
      </w:r>
      <w:r>
        <w:rPr>
          <w:rFonts w:ascii="SimSun" w:hAnsi="SimSun" w:eastAsia="SimSun" w:cs="SimSun"/>
          <w:sz w:val="30"/>
          <w:szCs w:val="30"/>
          <w:spacing w:val="-2"/>
        </w:rPr>
        <w:t>根基深厚。中国移动抢占广东、浙江、江苏三个信息化大省。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1209"/>
        <w:spacing w:before="97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2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六大云厂商项目金额的省份分布对比表</w:t>
      </w:r>
    </w:p>
    <w:p>
      <w:pPr>
        <w:spacing w:line="20" w:lineRule="exact"/>
        <w:rPr/>
      </w:pPr>
      <w:r/>
    </w:p>
    <w:tbl>
      <w:tblPr>
        <w:tblStyle w:val="TableNormal"/>
        <w:tblW w:w="8253" w:type="dxa"/>
        <w:tblInd w:w="3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43"/>
        <w:gridCol w:w="683"/>
        <w:gridCol w:w="682"/>
        <w:gridCol w:w="682"/>
        <w:gridCol w:w="682"/>
        <w:gridCol w:w="682"/>
        <w:gridCol w:w="683"/>
        <w:gridCol w:w="682"/>
        <w:gridCol w:w="682"/>
        <w:gridCol w:w="682"/>
        <w:gridCol w:w="682"/>
        <w:gridCol w:w="688"/>
      </w:tblGrid>
      <w:tr>
        <w:trPr>
          <w:trHeight w:val="252" w:hRule="atLeast"/>
        </w:trPr>
        <w:tc>
          <w:tcPr>
            <w:tcW w:w="1426" w:type="dxa"/>
            <w:vAlign w:val="top"/>
            <w:gridSpan w:val="2"/>
          </w:tcPr>
          <w:p>
            <w:pPr>
              <w:pStyle w:val="TableText"/>
              <w:ind w:left="341"/>
              <w:spacing w:before="2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中国电信</w:t>
            </w:r>
          </w:p>
        </w:tc>
        <w:tc>
          <w:tcPr>
            <w:tcW w:w="1364" w:type="dxa"/>
            <w:vAlign w:val="top"/>
            <w:gridSpan w:val="2"/>
          </w:tcPr>
          <w:p>
            <w:pPr>
              <w:pStyle w:val="TableText"/>
              <w:ind w:left="304"/>
              <w:spacing w:before="2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中国移动</w:t>
            </w:r>
          </w:p>
        </w:tc>
        <w:tc>
          <w:tcPr>
            <w:tcW w:w="1364" w:type="dxa"/>
            <w:vAlign w:val="top"/>
            <w:gridSpan w:val="2"/>
          </w:tcPr>
          <w:p>
            <w:pPr>
              <w:pStyle w:val="TableText"/>
              <w:ind w:left="306"/>
              <w:spacing w:before="2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中国联通</w:t>
            </w:r>
          </w:p>
        </w:tc>
        <w:tc>
          <w:tcPr>
            <w:tcW w:w="1365" w:type="dxa"/>
            <w:vAlign w:val="top"/>
            <w:gridSpan w:val="2"/>
          </w:tcPr>
          <w:p>
            <w:pPr>
              <w:pStyle w:val="TableText"/>
              <w:ind w:left="494"/>
              <w:spacing w:before="2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华为</w:t>
            </w:r>
          </w:p>
        </w:tc>
        <w:tc>
          <w:tcPr>
            <w:tcW w:w="1364" w:type="dxa"/>
            <w:vAlign w:val="top"/>
            <w:gridSpan w:val="2"/>
          </w:tcPr>
          <w:p>
            <w:pPr>
              <w:pStyle w:val="TableText"/>
              <w:ind w:left="489"/>
              <w:spacing w:before="2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腾讯</w:t>
            </w:r>
          </w:p>
        </w:tc>
        <w:tc>
          <w:tcPr>
            <w:tcW w:w="1370" w:type="dxa"/>
            <w:vAlign w:val="top"/>
            <w:gridSpan w:val="2"/>
          </w:tcPr>
          <w:p>
            <w:pPr>
              <w:pStyle w:val="TableText"/>
              <w:ind w:left="503"/>
              <w:spacing w:before="2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阿里</w:t>
            </w:r>
          </w:p>
        </w:tc>
      </w:tr>
      <w:tr>
        <w:trPr>
          <w:trHeight w:val="247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82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安徽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78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11.89%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38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浙江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80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15.59%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59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山东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78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26.62%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3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广东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76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33.45%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7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海南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75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41.89%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6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浙江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83"/>
              <w:spacing w:before="3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26.08%</w:t>
            </w:r>
          </w:p>
        </w:tc>
      </w:tr>
      <w:tr>
        <w:trPr>
          <w:trHeight w:val="247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77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广东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78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11.50%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39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广东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80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13.97%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1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广东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82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12.22%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1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北京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76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31.77%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5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广东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81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21.07%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9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海南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83"/>
              <w:spacing w:before="36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20.47%</w:t>
            </w:r>
          </w:p>
        </w:tc>
      </w:tr>
      <w:tr>
        <w:trPr>
          <w:trHeight w:val="246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75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江苏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78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10.93%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37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江苏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80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11.98%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39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北京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2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7.10%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4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河北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83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12.33%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2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北京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86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11.17%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64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四川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88"/>
              <w:spacing w:before="36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17.34%</w:t>
            </w:r>
          </w:p>
        </w:tc>
      </w:tr>
      <w:tr>
        <w:trPr>
          <w:trHeight w:val="247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79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甘肃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19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6.60%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56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四川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4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4.87%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3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辽宁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3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6.00%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5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湖南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7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4.59%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8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重庆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6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5.83%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5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北京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88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16.05%</w:t>
            </w:r>
          </w:p>
        </w:tc>
      </w:tr>
      <w:tr>
        <w:trPr>
          <w:trHeight w:val="247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75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江西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19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6.06%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37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江西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4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4.83%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2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河北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3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5.28%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5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湖北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7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4.38%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4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福建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9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4.43%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8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河北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29"/>
              <w:spacing w:before="38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6.30%</w:t>
            </w:r>
          </w:p>
        </w:tc>
      </w:tr>
      <w:tr>
        <w:trPr>
          <w:trHeight w:val="247" w:hRule="atLeast"/>
        </w:trPr>
        <w:tc>
          <w:tcPr>
            <w:shd w:val="clear" w:fill="F8CBAD"/>
            <w:tcW w:w="743" w:type="dxa"/>
            <w:vAlign w:val="top"/>
          </w:tcPr>
          <w:p>
            <w:pPr>
              <w:pStyle w:val="TableText"/>
              <w:ind w:right="3"/>
              <w:spacing w:before="39" w:line="175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前5合计</w:t>
            </w:r>
          </w:p>
        </w:tc>
        <w:tc>
          <w:tcPr>
            <w:shd w:val="clear" w:fill="F8CBAD"/>
            <w:tcW w:w="683" w:type="dxa"/>
            <w:vAlign w:val="top"/>
          </w:tcPr>
          <w:p>
            <w:pPr>
              <w:pStyle w:val="TableText"/>
              <w:ind w:left="90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46.98%</w:t>
            </w:r>
          </w:p>
        </w:tc>
        <w:tc>
          <w:tcPr>
            <w:shd w:val="clear" w:fill="F8CBAD"/>
            <w:tcW w:w="682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8CBAD"/>
            <w:tcW w:w="682" w:type="dxa"/>
            <w:vAlign w:val="top"/>
          </w:tcPr>
          <w:p>
            <w:pPr>
              <w:pStyle w:val="TableText"/>
              <w:ind w:left="98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51.23%</w:t>
            </w:r>
          </w:p>
        </w:tc>
        <w:tc>
          <w:tcPr>
            <w:shd w:val="clear" w:fill="F8CBAD"/>
            <w:tcW w:w="682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8CBAD"/>
            <w:tcW w:w="682" w:type="dxa"/>
            <w:vAlign w:val="top"/>
          </w:tcPr>
          <w:p>
            <w:pPr>
              <w:pStyle w:val="TableText"/>
              <w:ind w:left="101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57.23%</w:t>
            </w:r>
          </w:p>
        </w:tc>
        <w:tc>
          <w:tcPr>
            <w:shd w:val="clear" w:fill="F8CBAD"/>
            <w:tcW w:w="683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8CBAD"/>
            <w:tcW w:w="682" w:type="dxa"/>
            <w:vAlign w:val="top"/>
          </w:tcPr>
          <w:p>
            <w:pPr>
              <w:pStyle w:val="TableText"/>
              <w:ind w:left="100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86.52%</w:t>
            </w:r>
          </w:p>
        </w:tc>
        <w:tc>
          <w:tcPr>
            <w:shd w:val="clear" w:fill="F8CBAD"/>
            <w:tcW w:w="682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8CBAD"/>
            <w:tcW w:w="682" w:type="dxa"/>
            <w:vAlign w:val="top"/>
          </w:tcPr>
          <w:p>
            <w:pPr>
              <w:pStyle w:val="TableText"/>
              <w:ind w:left="103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84.40%</w:t>
            </w:r>
          </w:p>
        </w:tc>
        <w:tc>
          <w:tcPr>
            <w:shd w:val="clear" w:fill="F8CBAD"/>
            <w:tcW w:w="682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8CBAD"/>
            <w:tcW w:w="688" w:type="dxa"/>
            <w:vAlign w:val="top"/>
          </w:tcPr>
          <w:p>
            <w:pPr>
              <w:pStyle w:val="TableText"/>
              <w:ind w:left="105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86.24%</w:t>
            </w:r>
          </w:p>
        </w:tc>
      </w:tr>
      <w:tr>
        <w:trPr>
          <w:trHeight w:val="247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79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湖北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19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6.01%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57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山东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4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4.71%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7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吉林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0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3.49%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3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福建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1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3.94%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9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上海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9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4.07%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52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上海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26"/>
              <w:spacing w:before="39" w:line="17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3.05%</w:t>
            </w:r>
          </w:p>
        </w:tc>
      </w:tr>
      <w:tr>
        <w:trPr>
          <w:trHeight w:val="246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93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四川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19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6.00%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0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辽宁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4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4.64%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3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海南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0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3.36%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2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江苏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1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3.19%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50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安徽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3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3.95%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52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安徽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28"/>
              <w:spacing w:before="40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2.53%</w:t>
            </w:r>
          </w:p>
        </w:tc>
      </w:tr>
      <w:tr>
        <w:trPr>
          <w:trHeight w:val="247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80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重庆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19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5.82%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0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河北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4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4.17%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59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内蒙古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0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3.08%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8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安徽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2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0.95%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3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江苏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6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2.00%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50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重庆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33"/>
              <w:spacing w:before="41" w:line="17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1.57%</w:t>
            </w:r>
          </w:p>
        </w:tc>
      </w:tr>
      <w:tr>
        <w:trPr>
          <w:trHeight w:val="247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81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上海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16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3.95%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1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湖北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8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3.54%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39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江苏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0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3.08%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61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山东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2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0.80%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61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四川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30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1.70%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7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贵州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33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1.12%</w:t>
            </w:r>
          </w:p>
        </w:tc>
      </w:tr>
      <w:tr>
        <w:trPr>
          <w:trHeight w:val="247" w:hRule="atLeast"/>
        </w:trPr>
        <w:tc>
          <w:tcPr>
            <w:tcW w:w="743" w:type="dxa"/>
            <w:vAlign w:val="top"/>
          </w:tcPr>
          <w:p>
            <w:pPr>
              <w:pStyle w:val="TableText"/>
              <w:ind w:left="177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河北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16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3.87%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4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安徽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18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3.38%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42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河南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2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2.69%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144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河南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22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0.74%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63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山东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30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1.21%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50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西藏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33"/>
              <w:spacing w:before="42" w:line="1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1.08%</w:t>
            </w:r>
          </w:p>
        </w:tc>
      </w:tr>
      <w:tr>
        <w:trPr>
          <w:trHeight w:val="252" w:hRule="atLeast"/>
        </w:trPr>
        <w:tc>
          <w:tcPr>
            <w:shd w:val="clear" w:fill="F8CBAD"/>
            <w:tcW w:w="743" w:type="dxa"/>
            <w:vAlign w:val="top"/>
            <w:tcBorders>
              <w:left w:val="nil"/>
            </w:tcBorders>
          </w:tcPr>
          <w:p>
            <w:pPr>
              <w:pStyle w:val="TableText"/>
              <w:spacing w:before="43" w:line="1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7"/>
              </w:rPr>
              <w:t>前10</w:t>
            </w:r>
            <w:r>
              <w:rPr>
                <w:sz w:val="20"/>
                <w:szCs w:val="20"/>
                <w:spacing w:val="-16"/>
              </w:rPr>
              <w:t>合</w:t>
            </w:r>
            <w:r>
              <w:rPr>
                <w:sz w:val="20"/>
                <w:szCs w:val="20"/>
                <w:spacing w:val="-8"/>
              </w:rPr>
              <w:t>计</w:t>
            </w:r>
          </w:p>
        </w:tc>
        <w:tc>
          <w:tcPr>
            <w:shd w:val="clear" w:fill="F8CBAD"/>
            <w:tcW w:w="683" w:type="dxa"/>
            <w:vAlign w:val="top"/>
          </w:tcPr>
          <w:p>
            <w:pPr>
              <w:pStyle w:val="TableText"/>
              <w:ind w:left="74"/>
              <w:spacing w:before="43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72.63%</w:t>
            </w:r>
          </w:p>
        </w:tc>
        <w:tc>
          <w:tcPr>
            <w:shd w:val="clear" w:fill="F8CBAD"/>
            <w:tcW w:w="6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CBAD"/>
            <w:tcW w:w="682" w:type="dxa"/>
            <w:vAlign w:val="top"/>
          </w:tcPr>
          <w:p>
            <w:pPr>
              <w:pStyle w:val="TableText"/>
              <w:ind w:left="75"/>
              <w:spacing w:before="43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71.68%</w:t>
            </w:r>
          </w:p>
        </w:tc>
        <w:tc>
          <w:tcPr>
            <w:shd w:val="clear" w:fill="F8CBAD"/>
            <w:tcW w:w="6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CBAD"/>
            <w:tcW w:w="682" w:type="dxa"/>
            <w:vAlign w:val="top"/>
          </w:tcPr>
          <w:p>
            <w:pPr>
              <w:pStyle w:val="TableText"/>
              <w:ind w:left="77"/>
              <w:spacing w:before="43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72.93%</w:t>
            </w:r>
          </w:p>
        </w:tc>
        <w:tc>
          <w:tcPr>
            <w:shd w:val="clear" w:fill="F8CBAD"/>
            <w:tcW w:w="6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CBAD"/>
            <w:tcW w:w="682" w:type="dxa"/>
            <w:vAlign w:val="top"/>
          </w:tcPr>
          <w:p>
            <w:pPr>
              <w:pStyle w:val="TableText"/>
              <w:ind w:left="78"/>
              <w:spacing w:before="43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96.12%</w:t>
            </w:r>
          </w:p>
        </w:tc>
        <w:tc>
          <w:tcPr>
            <w:shd w:val="clear" w:fill="F8CBAD"/>
            <w:tcW w:w="6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CBAD"/>
            <w:tcW w:w="682" w:type="dxa"/>
            <w:vAlign w:val="top"/>
          </w:tcPr>
          <w:p>
            <w:pPr>
              <w:pStyle w:val="TableText"/>
              <w:ind w:left="81"/>
              <w:spacing w:before="43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97.33%</w:t>
            </w:r>
          </w:p>
        </w:tc>
        <w:tc>
          <w:tcPr>
            <w:shd w:val="clear" w:fill="F8CBAD"/>
            <w:tcW w:w="6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CBAD"/>
            <w:tcW w:w="688" w:type="dxa"/>
            <w:vAlign w:val="top"/>
          </w:tcPr>
          <w:p>
            <w:pPr>
              <w:pStyle w:val="TableText"/>
              <w:ind w:left="83"/>
              <w:spacing w:before="43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95.59%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543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624"/>
        <w:spacing w:before="97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．从项目价值看，运营商虚胖，云巨头务实</w:t>
      </w:r>
    </w:p>
    <w:p>
      <w:pPr>
        <w:ind w:left="634"/>
        <w:spacing w:before="324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</w:t>
      </w:r>
      <w:r>
        <w:rPr>
          <w:rFonts w:ascii="SimSun" w:hAnsi="SimSun" w:eastAsia="SimSun" w:cs="SimSun"/>
          <w:sz w:val="30"/>
          <w:szCs w:val="30"/>
          <w:spacing w:val="-2"/>
        </w:rPr>
        <w:t>）运营商偏低端，云巨头抢高端</w:t>
      </w:r>
    </w:p>
    <w:p>
      <w:pPr>
        <w:ind w:left="26" w:firstLine="601"/>
        <w:spacing w:before="319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其中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1~2</w:t>
      </w:r>
      <w:r>
        <w:rPr>
          <w:rFonts w:ascii="Times New Roman" w:hAnsi="Times New Roman" w:eastAsia="Times New Roman" w:cs="Times New Roman"/>
          <w:sz w:val="30"/>
          <w:szCs w:val="30"/>
          <w:spacing w:val="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千万元项目金额占比均超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6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成</w:t>
      </w:r>
      <w:r>
        <w:rPr>
          <w:rFonts w:ascii="SimSun" w:hAnsi="SimSun" w:eastAsia="SimSun" w:cs="SimSun"/>
          <w:sz w:val="30"/>
          <w:szCs w:val="30"/>
          <w:spacing w:val="-4"/>
        </w:rPr>
        <w:t>，亿元以上项目寥</w:t>
      </w:r>
      <w:r>
        <w:rPr>
          <w:rFonts w:ascii="SimSun" w:hAnsi="SimSun" w:eastAsia="SimSun" w:cs="SimSun"/>
          <w:sz w:val="30"/>
          <w:szCs w:val="30"/>
          <w:spacing w:val="-9"/>
        </w:rPr>
        <w:t>寥。华为项目价值最高，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亿元以上项目占比高达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29.79%</w:t>
      </w:r>
      <w:r>
        <w:rPr>
          <w:rFonts w:ascii="SimSun" w:hAnsi="SimSun" w:eastAsia="SimSun" w:cs="SimSun"/>
          <w:sz w:val="30"/>
          <w:szCs w:val="30"/>
          <w:spacing w:val="-10"/>
        </w:rPr>
        <w:t>，傲视群</w:t>
      </w:r>
      <w:r>
        <w:rPr>
          <w:rFonts w:ascii="SimSun" w:hAnsi="SimSun" w:eastAsia="SimSun" w:cs="SimSun"/>
          <w:sz w:val="30"/>
          <w:szCs w:val="30"/>
          <w:spacing w:val="-9"/>
        </w:rPr>
        <w:t>雄。阿里和腾讯明显优于运营商，亿元以上项目占比分别为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13.64%</w:t>
      </w:r>
      <w:r>
        <w:rPr>
          <w:rFonts w:ascii="SimSun" w:hAnsi="SimSun" w:eastAsia="SimSun" w:cs="SimSun"/>
          <w:sz w:val="30"/>
          <w:szCs w:val="30"/>
          <w:spacing w:val="-4"/>
        </w:rPr>
        <w:t>和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8.57%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</w:p>
    <w:p>
      <w:pPr>
        <w:ind w:left="758"/>
        <w:spacing w:before="256" w:line="209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3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六大云商不同金额层次的项目数量分布对比表</w:t>
      </w:r>
    </w:p>
    <w:tbl>
      <w:tblPr>
        <w:tblStyle w:val="TableNormal"/>
        <w:tblW w:w="8454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51"/>
        <w:gridCol w:w="1116"/>
        <w:gridCol w:w="1116"/>
        <w:gridCol w:w="1118"/>
        <w:gridCol w:w="1115"/>
        <w:gridCol w:w="1118"/>
        <w:gridCol w:w="1120"/>
      </w:tblGrid>
      <w:tr>
        <w:trPr>
          <w:trHeight w:val="402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340"/>
              <w:spacing w:before="108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项目金额分布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218"/>
              <w:spacing w:before="108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中国移动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218"/>
              <w:spacing w:before="108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中国电信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218"/>
              <w:spacing w:before="108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中国联通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384"/>
              <w:spacing w:before="108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华为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79"/>
              <w:spacing w:before="108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腾讯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91"/>
              <w:spacing w:before="108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阿里</w:t>
            </w:r>
          </w:p>
        </w:tc>
      </w:tr>
      <w:tr>
        <w:trPr>
          <w:trHeight w:val="338" w:hRule="atLeast"/>
        </w:trPr>
        <w:tc>
          <w:tcPr>
            <w:shd w:val="clear" w:fill="F8CBAD"/>
            <w:tcW w:w="1751" w:type="dxa"/>
            <w:vAlign w:val="top"/>
          </w:tcPr>
          <w:p>
            <w:pPr>
              <w:pStyle w:val="TableText"/>
              <w:ind w:left="543"/>
              <w:spacing w:before="76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1-2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千万</w:t>
            </w:r>
          </w:p>
        </w:tc>
        <w:tc>
          <w:tcPr>
            <w:shd w:val="clear" w:fill="F8CBAD"/>
            <w:tcW w:w="1116" w:type="dxa"/>
            <w:vAlign w:val="top"/>
          </w:tcPr>
          <w:p>
            <w:pPr>
              <w:pStyle w:val="TableText"/>
              <w:ind w:left="309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55.85%</w:t>
            </w:r>
          </w:p>
        </w:tc>
        <w:tc>
          <w:tcPr>
            <w:shd w:val="clear" w:fill="F8CBAD"/>
            <w:tcW w:w="1116" w:type="dxa"/>
            <w:vAlign w:val="top"/>
          </w:tcPr>
          <w:p>
            <w:pPr>
              <w:pStyle w:val="TableText"/>
              <w:ind w:left="309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58.36%</w:t>
            </w:r>
          </w:p>
        </w:tc>
        <w:tc>
          <w:tcPr>
            <w:shd w:val="clear" w:fill="F8CBAD"/>
            <w:tcW w:w="1118" w:type="dxa"/>
            <w:vAlign w:val="top"/>
          </w:tcPr>
          <w:p>
            <w:pPr>
              <w:pStyle w:val="TableText"/>
              <w:ind w:left="309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55.61%</w:t>
            </w:r>
          </w:p>
        </w:tc>
        <w:tc>
          <w:tcPr>
            <w:shd w:val="clear" w:fill="F8CBAD"/>
            <w:tcW w:w="1115" w:type="dxa"/>
            <w:vAlign w:val="top"/>
          </w:tcPr>
          <w:p>
            <w:pPr>
              <w:pStyle w:val="TableText"/>
              <w:ind w:left="309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27.66%</w:t>
            </w:r>
          </w:p>
        </w:tc>
        <w:tc>
          <w:tcPr>
            <w:shd w:val="clear" w:fill="F8CBAD"/>
            <w:tcW w:w="1118" w:type="dxa"/>
            <w:vAlign w:val="top"/>
          </w:tcPr>
          <w:p>
            <w:pPr>
              <w:pStyle w:val="TableText"/>
              <w:ind w:left="304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40.00%</w:t>
            </w:r>
          </w:p>
        </w:tc>
        <w:tc>
          <w:tcPr>
            <w:shd w:val="clear" w:fill="F8CBAD"/>
            <w:tcW w:w="1120" w:type="dxa"/>
            <w:vAlign w:val="top"/>
          </w:tcPr>
          <w:p>
            <w:pPr>
              <w:pStyle w:val="TableText"/>
              <w:ind w:left="305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47.73%</w:t>
            </w:r>
          </w:p>
        </w:tc>
      </w:tr>
      <w:tr>
        <w:trPr>
          <w:trHeight w:val="340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539"/>
              <w:spacing w:before="76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2-3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千万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12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19.75%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12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16.09%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08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20.15%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313"/>
              <w:spacing w:before="75" w:line="25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12.77%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14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14.29%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11"/>
              <w:spacing w:before="75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22.73%</w:t>
            </w:r>
          </w:p>
        </w:tc>
      </w:tr>
      <w:tr>
        <w:trPr>
          <w:trHeight w:val="340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537"/>
              <w:spacing w:before="76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3-4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千万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12"/>
              <w:spacing w:before="76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10.72%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12"/>
              <w:spacing w:before="76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11.04%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5"/>
              <w:spacing w:before="76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8.93%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313"/>
              <w:spacing w:before="76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10.64%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14"/>
              <w:spacing w:before="76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17.14%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53"/>
              <w:spacing w:before="76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4.55%</w:t>
            </w:r>
          </w:p>
        </w:tc>
      </w:tr>
      <w:tr>
        <w:trPr>
          <w:trHeight w:val="340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534"/>
              <w:spacing w:before="77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4-5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千万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0"/>
              <w:spacing w:before="77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4.94%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0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4.42%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7"/>
              <w:spacing w:before="77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5.36%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356"/>
              <w:spacing w:before="77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8.51%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8"/>
              <w:spacing w:before="77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2.86%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53"/>
              <w:spacing w:before="77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4.55%</w:t>
            </w:r>
          </w:p>
        </w:tc>
      </w:tr>
      <w:tr>
        <w:trPr>
          <w:trHeight w:val="338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540"/>
              <w:spacing w:before="78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5-6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千万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6"/>
              <w:spacing w:before="77" w:line="25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2.12%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6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2.05%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4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3.32%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357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2.13%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8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5.71%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59"/>
              <w:spacing w:before="77" w:line="25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2.27%</w:t>
            </w:r>
          </w:p>
        </w:tc>
      </w:tr>
      <w:tr>
        <w:trPr>
          <w:trHeight w:val="340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540"/>
              <w:spacing w:before="78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6-7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千万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60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2"/>
              </w:rPr>
              <w:t>1.55%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6"/>
              <w:spacing w:before="77" w:line="25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2.21%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5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0.77%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357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2.13%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7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8.57%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58"/>
              <w:spacing w:before="77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0.00%</w:t>
            </w:r>
          </w:p>
        </w:tc>
      </w:tr>
      <w:tr>
        <w:trPr>
          <w:trHeight w:val="340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539"/>
              <w:spacing w:before="78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7-8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千万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5"/>
              <w:spacing w:before="78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0.85%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5"/>
              <w:spacing w:before="78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0.79%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60"/>
              <w:spacing w:before="78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2"/>
              </w:rPr>
              <w:t>1.53%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357"/>
              <w:spacing w:before="78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2.13%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7"/>
              <w:spacing w:before="78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0.00%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53"/>
              <w:spacing w:before="78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4.55%</w:t>
            </w:r>
          </w:p>
        </w:tc>
      </w:tr>
      <w:tr>
        <w:trPr>
          <w:trHeight w:val="341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539"/>
              <w:spacing w:before="79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8-9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千万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5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0.71%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5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0.63%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5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0.77%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351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4.26%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8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2.86%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58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0.00%</w:t>
            </w:r>
          </w:p>
        </w:tc>
      </w:tr>
      <w:tr>
        <w:trPr>
          <w:trHeight w:val="338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426"/>
              <w:spacing w:before="79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9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千万-1 亿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5"/>
              <w:spacing w:before="79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0.00%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355"/>
              <w:spacing w:before="79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0.47%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5"/>
              <w:spacing w:before="79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0.77%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356"/>
              <w:spacing w:before="79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0.00%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57"/>
              <w:spacing w:before="79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0.00%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58"/>
              <w:spacing w:before="79" w:line="24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0.00%</w:t>
            </w:r>
          </w:p>
        </w:tc>
      </w:tr>
      <w:tr>
        <w:trPr>
          <w:trHeight w:val="340" w:hRule="atLeast"/>
        </w:trPr>
        <w:tc>
          <w:tcPr>
            <w:shd w:val="clear" w:fill="F8CBAD"/>
            <w:tcW w:w="1751" w:type="dxa"/>
            <w:vAlign w:val="top"/>
          </w:tcPr>
          <w:p>
            <w:pPr>
              <w:pStyle w:val="TableText"/>
              <w:ind w:left="546"/>
              <w:spacing w:before="79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 亿以上</w:t>
            </w:r>
          </w:p>
        </w:tc>
        <w:tc>
          <w:tcPr>
            <w:shd w:val="clear" w:fill="F8CBAD"/>
            <w:tcW w:w="1116" w:type="dxa"/>
            <w:vAlign w:val="top"/>
          </w:tcPr>
          <w:p>
            <w:pPr>
              <w:pStyle w:val="TableText"/>
              <w:ind w:left="354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3.53%</w:t>
            </w:r>
          </w:p>
        </w:tc>
        <w:tc>
          <w:tcPr>
            <w:shd w:val="clear" w:fill="F8CBAD"/>
            <w:tcW w:w="1116" w:type="dxa"/>
            <w:vAlign w:val="top"/>
          </w:tcPr>
          <w:p>
            <w:pPr>
              <w:pStyle w:val="TableText"/>
              <w:ind w:left="354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3.94%</w:t>
            </w:r>
          </w:p>
        </w:tc>
        <w:tc>
          <w:tcPr>
            <w:shd w:val="clear" w:fill="F8CBAD"/>
            <w:tcW w:w="1118" w:type="dxa"/>
            <w:vAlign w:val="top"/>
          </w:tcPr>
          <w:p>
            <w:pPr>
              <w:pStyle w:val="TableText"/>
              <w:ind w:left="356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2.81%</w:t>
            </w:r>
          </w:p>
        </w:tc>
        <w:tc>
          <w:tcPr>
            <w:shd w:val="clear" w:fill="F8CBAD"/>
            <w:tcW w:w="1115" w:type="dxa"/>
            <w:vAlign w:val="top"/>
          </w:tcPr>
          <w:p>
            <w:pPr>
              <w:pStyle w:val="TableText"/>
              <w:ind w:left="309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29.79%</w:t>
            </w:r>
          </w:p>
        </w:tc>
        <w:tc>
          <w:tcPr>
            <w:shd w:val="clear" w:fill="F8CBAD"/>
            <w:tcW w:w="1118" w:type="dxa"/>
            <w:vAlign w:val="top"/>
          </w:tcPr>
          <w:p>
            <w:pPr>
              <w:pStyle w:val="TableText"/>
              <w:ind w:left="357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8.57%</w:t>
            </w:r>
          </w:p>
        </w:tc>
        <w:tc>
          <w:tcPr>
            <w:shd w:val="clear" w:fill="F8CBAD"/>
            <w:tcW w:w="1120" w:type="dxa"/>
            <w:vAlign w:val="top"/>
          </w:tcPr>
          <w:p>
            <w:pPr>
              <w:pStyle w:val="TableText"/>
              <w:ind w:left="315"/>
              <w:spacing w:before="79" w:line="24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2"/>
              </w:rPr>
              <w:t>13.64%</w:t>
            </w:r>
          </w:p>
        </w:tc>
      </w:tr>
      <w:tr>
        <w:trPr>
          <w:trHeight w:val="321" w:hRule="atLeast"/>
        </w:trPr>
        <w:tc>
          <w:tcPr>
            <w:tcW w:w="1751" w:type="dxa"/>
            <w:vAlign w:val="top"/>
          </w:tcPr>
          <w:p>
            <w:pPr>
              <w:pStyle w:val="TableText"/>
              <w:ind w:left="699"/>
              <w:spacing w:before="67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合计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264"/>
              <w:spacing w:before="68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100.00%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264"/>
              <w:spacing w:before="68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100.00%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264"/>
              <w:spacing w:before="68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100.00%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265"/>
              <w:spacing w:before="68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100.00%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266"/>
              <w:spacing w:before="68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100.00%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267"/>
              <w:spacing w:before="68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100.00%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ind w:left="634"/>
        <w:spacing w:before="9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</w:t>
      </w:r>
      <w:r>
        <w:rPr>
          <w:rFonts w:ascii="SimSun" w:hAnsi="SimSun" w:eastAsia="SimSun" w:cs="SimSun"/>
          <w:sz w:val="30"/>
          <w:szCs w:val="30"/>
          <w:spacing w:val="-3"/>
        </w:rPr>
        <w:t>）运营商虚胖，云巨头务实</w:t>
      </w:r>
    </w:p>
    <w:p>
      <w:pPr>
        <w:ind w:left="27" w:right="251" w:firstLine="603"/>
        <w:spacing w:before="32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不论是项目数量还是收入占比，三家运营商均位列前三，领</w:t>
      </w:r>
      <w:r>
        <w:rPr>
          <w:rFonts w:ascii="SimSun" w:hAnsi="SimSun" w:eastAsia="SimSun" w:cs="SimSun"/>
          <w:sz w:val="30"/>
          <w:szCs w:val="30"/>
          <w:spacing w:val="-9"/>
        </w:rPr>
        <w:t>先于华为（第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4</w:t>
      </w:r>
      <w:r>
        <w:rPr>
          <w:rFonts w:ascii="SimSun" w:hAnsi="SimSun" w:eastAsia="SimSun" w:cs="SimSun"/>
          <w:sz w:val="30"/>
          <w:szCs w:val="30"/>
          <w:spacing w:val="-9"/>
        </w:rPr>
        <w:t>）、阿里（第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13</w:t>
      </w:r>
      <w:r>
        <w:rPr>
          <w:rFonts w:ascii="SimSun" w:hAnsi="SimSun" w:eastAsia="SimSun" w:cs="SimSun"/>
          <w:sz w:val="30"/>
          <w:szCs w:val="30"/>
          <w:spacing w:val="-9"/>
        </w:rPr>
        <w:t>）和腾讯（第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18</w:t>
      </w:r>
      <w:r>
        <w:rPr>
          <w:rFonts w:ascii="SimSun" w:hAnsi="SimSun" w:eastAsia="SimSun" w:cs="SimSun"/>
          <w:sz w:val="30"/>
          <w:szCs w:val="30"/>
          <w:spacing w:val="-77"/>
          <w:w w:val="97"/>
        </w:rPr>
        <w:t>），</w:t>
      </w:r>
      <w:r>
        <w:rPr>
          <w:rFonts w:ascii="SimSun" w:hAnsi="SimSun" w:eastAsia="SimSun" w:cs="SimSun"/>
          <w:sz w:val="30"/>
          <w:szCs w:val="30"/>
          <w:spacing w:val="-9"/>
        </w:rPr>
        <w:t>但</w:t>
      </w:r>
      <w:r>
        <w:rPr>
          <w:rFonts w:ascii="SimSun" w:hAnsi="SimSun" w:eastAsia="SimSun" w:cs="SimSun"/>
          <w:sz w:val="30"/>
          <w:szCs w:val="30"/>
          <w:spacing w:val="-10"/>
        </w:rPr>
        <w:t>由于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2020</w:t>
      </w:r>
      <w:r>
        <w:rPr>
          <w:rFonts w:ascii="SimSun" w:hAnsi="SimSun" w:eastAsia="SimSun" w:cs="SimSun"/>
          <w:sz w:val="30"/>
          <w:szCs w:val="30"/>
          <w:spacing w:val="-4"/>
        </w:rPr>
        <w:t>年国家出台了一系列数据安全和合规性政策要求，外加云巨头考</w:t>
      </w:r>
      <w:r>
        <w:rPr>
          <w:rFonts w:ascii="SimSun" w:hAnsi="SimSun" w:eastAsia="SimSun" w:cs="SimSun"/>
          <w:sz w:val="30"/>
          <w:szCs w:val="30"/>
          <w:spacing w:val="-5"/>
        </w:rPr>
        <w:t>核从收入转向利润，主动选择战略收缩和“</w:t>
      </w:r>
      <w:r>
        <w:rPr>
          <w:rFonts w:ascii="SimSun" w:hAnsi="SimSun" w:eastAsia="SimSun" w:cs="SimSun"/>
          <w:sz w:val="30"/>
          <w:szCs w:val="30"/>
          <w:spacing w:val="-6"/>
        </w:rPr>
        <w:t>被集成</w:t>
      </w:r>
      <w:r>
        <w:rPr>
          <w:rFonts w:ascii="SimSun" w:hAnsi="SimSun" w:eastAsia="SimSun" w:cs="SimSun"/>
          <w:sz w:val="30"/>
          <w:szCs w:val="30"/>
          <w:spacing w:val="-10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”，因此运营</w:t>
      </w:r>
      <w:r>
        <w:rPr>
          <w:rFonts w:ascii="SimSun" w:hAnsi="SimSun" w:eastAsia="SimSun" w:cs="SimSun"/>
          <w:sz w:val="30"/>
          <w:szCs w:val="30"/>
          <w:spacing w:val="-4"/>
        </w:rPr>
        <w:t>商更多充当了总包角色，相当一部分项目收入甚至是高利润的部</w:t>
      </w:r>
      <w:r>
        <w:rPr>
          <w:rFonts w:ascii="SimSun" w:hAnsi="SimSun" w:eastAsia="SimSun" w:cs="SimSun"/>
          <w:sz w:val="30"/>
          <w:szCs w:val="30"/>
          <w:spacing w:val="-3"/>
        </w:rPr>
        <w:t>分外包给了包括华为、阿里和腾讯在内的第三方。</w:t>
      </w:r>
    </w:p>
    <w:p>
      <w:pPr>
        <w:ind w:left="621"/>
        <w:spacing w:before="27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．阿里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/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腾讯深耕政务，华为转攻互联网，运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营商广泛布局</w:t>
      </w:r>
    </w:p>
    <w:p>
      <w:pPr>
        <w:ind w:left="28" w:right="250" w:firstLine="590"/>
        <w:spacing w:before="319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DICT</w:t>
      </w:r>
      <w:r>
        <w:rPr>
          <w:rFonts w:ascii="Times New Roman" w:hAnsi="Times New Roman" w:eastAsia="Times New Roman" w:cs="Times New Roman"/>
          <w:sz w:val="30"/>
          <w:szCs w:val="30"/>
          <w:spacing w:val="6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项目进入了以政府为主导的阶段，政务、政法公安、</w:t>
      </w:r>
      <w:r>
        <w:rPr>
          <w:rFonts w:ascii="SimSun" w:hAnsi="SimSun" w:eastAsia="SimSun" w:cs="SimSun"/>
          <w:sz w:val="30"/>
          <w:szCs w:val="30"/>
          <w:spacing w:val="-2"/>
        </w:rPr>
        <w:t>卫健、住建成为千万元以上级别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DICT </w:t>
      </w:r>
      <w:r>
        <w:rPr>
          <w:rFonts w:ascii="SimSun" w:hAnsi="SimSun" w:eastAsia="SimSun" w:cs="SimSun"/>
          <w:sz w:val="30"/>
          <w:szCs w:val="30"/>
          <w:spacing w:val="-2"/>
        </w:rPr>
        <w:t>项目的的主战场。六大厂</w:t>
      </w:r>
      <w:r>
        <w:rPr>
          <w:rFonts w:ascii="SimSun" w:hAnsi="SimSun" w:eastAsia="SimSun" w:cs="SimSun"/>
          <w:sz w:val="30"/>
          <w:szCs w:val="30"/>
          <w:spacing w:val="-4"/>
        </w:rPr>
        <w:t>家在政务行业上的争夺异常激烈，电信、移动、阿里、腾讯的收</w:t>
      </w:r>
    </w:p>
    <w:p>
      <w:pPr>
        <w:spacing w:line="261" w:lineRule="auto"/>
        <w:sectPr>
          <w:pgSz w:w="11907" w:h="16839"/>
          <w:pgMar w:top="400" w:right="154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6" w:hanging="1"/>
        <w:spacing w:before="98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入占比中，政务项目均排名第一。在行业的集中度上， 云巨头比</w:t>
      </w:r>
      <w:r>
        <w:rPr>
          <w:rFonts w:ascii="SimSun" w:hAnsi="SimSun" w:eastAsia="SimSun" w:cs="SimSun"/>
          <w:sz w:val="30"/>
          <w:szCs w:val="30"/>
          <w:spacing w:val="-4"/>
        </w:rPr>
        <w:t>运营商高很多，阿里、腾讯仅政务项目收入就占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6 </w:t>
      </w:r>
      <w:r>
        <w:rPr>
          <w:rFonts w:ascii="SimSun" w:hAnsi="SimSun" w:eastAsia="SimSun" w:cs="SimSun"/>
          <w:sz w:val="30"/>
          <w:szCs w:val="30"/>
          <w:spacing w:val="-4"/>
        </w:rPr>
        <w:t>成以上</w:t>
      </w:r>
      <w:r>
        <w:rPr>
          <w:rFonts w:ascii="SimSun" w:hAnsi="SimSun" w:eastAsia="SimSun" w:cs="SimSun"/>
          <w:sz w:val="30"/>
          <w:szCs w:val="30"/>
          <w:spacing w:val="-5"/>
        </w:rPr>
        <w:t>，华为</w:t>
      </w:r>
      <w:r>
        <w:rPr>
          <w:rFonts w:ascii="SimSun" w:hAnsi="SimSun" w:eastAsia="SimSun" w:cs="SimSun"/>
          <w:sz w:val="30"/>
          <w:szCs w:val="30"/>
          <w:spacing w:val="-3"/>
        </w:rPr>
        <w:t>互联网行业收入占比也接近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成，与运营商广撒网相比</w:t>
      </w:r>
      <w:r>
        <w:rPr>
          <w:rFonts w:ascii="SimSun" w:hAnsi="SimSun" w:eastAsia="SimSun" w:cs="SimSun"/>
          <w:sz w:val="30"/>
          <w:szCs w:val="30"/>
          <w:spacing w:val="-4"/>
        </w:rPr>
        <w:t>，华为、</w:t>
      </w:r>
      <w:r>
        <w:rPr>
          <w:rFonts w:ascii="SimSun" w:hAnsi="SimSun" w:eastAsia="SimSun" w:cs="SimSun"/>
          <w:sz w:val="30"/>
          <w:szCs w:val="30"/>
          <w:spacing w:val="-3"/>
        </w:rPr>
        <w:t>阿里、腾讯更注重在一两个行业里深耕。</w:t>
      </w:r>
    </w:p>
    <w:p>
      <w:pPr>
        <w:ind w:left="1358"/>
        <w:spacing w:before="277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4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六大云商项目金额的行业分布对比表</w:t>
      </w:r>
    </w:p>
    <w:p>
      <w:pPr>
        <w:spacing w:line="27" w:lineRule="exact"/>
        <w:rPr/>
      </w:pPr>
      <w:r/>
    </w:p>
    <w:tbl>
      <w:tblPr>
        <w:tblStyle w:val="TableNormal"/>
        <w:tblW w:w="8301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96"/>
        <w:gridCol w:w="554"/>
        <w:gridCol w:w="792"/>
        <w:gridCol w:w="653"/>
        <w:gridCol w:w="791"/>
        <w:gridCol w:w="574"/>
        <w:gridCol w:w="792"/>
        <w:gridCol w:w="623"/>
        <w:gridCol w:w="792"/>
        <w:gridCol w:w="574"/>
        <w:gridCol w:w="791"/>
        <w:gridCol w:w="569"/>
      </w:tblGrid>
      <w:tr>
        <w:trPr>
          <w:trHeight w:val="227" w:hRule="atLeast"/>
        </w:trPr>
        <w:tc>
          <w:tcPr>
            <w:tcW w:w="1350" w:type="dxa"/>
            <w:vAlign w:val="top"/>
            <w:gridSpan w:val="2"/>
          </w:tcPr>
          <w:p>
            <w:pPr>
              <w:pStyle w:val="TableText"/>
              <w:ind w:left="346"/>
              <w:spacing w:before="28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中国电信</w:t>
            </w:r>
          </w:p>
        </w:tc>
        <w:tc>
          <w:tcPr>
            <w:tcW w:w="1445" w:type="dxa"/>
            <w:vAlign w:val="top"/>
            <w:gridSpan w:val="2"/>
          </w:tcPr>
          <w:p>
            <w:pPr>
              <w:pStyle w:val="TableText"/>
              <w:ind w:left="392"/>
              <w:spacing w:before="28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中国移动</w:t>
            </w:r>
          </w:p>
        </w:tc>
        <w:tc>
          <w:tcPr>
            <w:tcW w:w="1365" w:type="dxa"/>
            <w:vAlign w:val="top"/>
            <w:gridSpan w:val="2"/>
          </w:tcPr>
          <w:p>
            <w:pPr>
              <w:pStyle w:val="TableText"/>
              <w:ind w:left="353"/>
              <w:spacing w:before="28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中国联通</w:t>
            </w:r>
          </w:p>
        </w:tc>
        <w:tc>
          <w:tcPr>
            <w:tcW w:w="1415" w:type="dxa"/>
            <w:vAlign w:val="top"/>
            <w:gridSpan w:val="2"/>
          </w:tcPr>
          <w:p>
            <w:pPr>
              <w:pStyle w:val="TableText"/>
              <w:ind w:left="538"/>
              <w:spacing w:before="28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华为</w:t>
            </w:r>
          </w:p>
        </w:tc>
        <w:tc>
          <w:tcPr>
            <w:tcW w:w="1366" w:type="dxa"/>
            <w:vAlign w:val="top"/>
            <w:gridSpan w:val="2"/>
          </w:tcPr>
          <w:p>
            <w:pPr>
              <w:pStyle w:val="TableText"/>
              <w:ind w:left="513"/>
              <w:spacing w:before="28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腾讯</w:t>
            </w:r>
          </w:p>
        </w:tc>
        <w:tc>
          <w:tcPr>
            <w:tcW w:w="1360" w:type="dxa"/>
            <w:vAlign w:val="top"/>
            <w:gridSpan w:val="2"/>
          </w:tcPr>
          <w:p>
            <w:pPr>
              <w:pStyle w:val="TableText"/>
              <w:ind w:left="515"/>
              <w:spacing w:before="28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阿里</w:t>
            </w:r>
          </w:p>
        </w:tc>
      </w:tr>
      <w:tr>
        <w:trPr>
          <w:trHeight w:val="222" w:hRule="atLeast"/>
        </w:trPr>
        <w:tc>
          <w:tcPr>
            <w:shd w:val="clear" w:fill="D9E1F2"/>
            <w:tcW w:w="796" w:type="dxa"/>
            <w:vAlign w:val="top"/>
          </w:tcPr>
          <w:p>
            <w:pPr>
              <w:pStyle w:val="TableText"/>
              <w:ind w:left="42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政务</w:t>
            </w:r>
          </w:p>
        </w:tc>
        <w:tc>
          <w:tcPr>
            <w:shd w:val="clear" w:fill="D9E1F2"/>
            <w:tcW w:w="554" w:type="dxa"/>
            <w:vAlign w:val="top"/>
          </w:tcPr>
          <w:p>
            <w:pPr>
              <w:pStyle w:val="TableText"/>
              <w:ind w:left="37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32.03%</w:t>
            </w:r>
          </w:p>
        </w:tc>
        <w:tc>
          <w:tcPr>
            <w:shd w:val="clear" w:fill="D9E1F2"/>
            <w:tcW w:w="792" w:type="dxa"/>
            <w:vAlign w:val="top"/>
          </w:tcPr>
          <w:p>
            <w:pPr>
              <w:pStyle w:val="TableText"/>
              <w:ind w:left="39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政务</w:t>
            </w:r>
          </w:p>
        </w:tc>
        <w:tc>
          <w:tcPr>
            <w:shd w:val="clear" w:fill="D9E1F2"/>
            <w:tcW w:w="653" w:type="dxa"/>
            <w:vAlign w:val="top"/>
          </w:tcPr>
          <w:p>
            <w:pPr>
              <w:pStyle w:val="TableText"/>
              <w:ind w:left="137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30.91%</w:t>
            </w:r>
          </w:p>
        </w:tc>
        <w:tc>
          <w:tcPr>
            <w:shd w:val="clear" w:fill="D9E1F2"/>
            <w:tcW w:w="791" w:type="dxa"/>
            <w:vAlign w:val="top"/>
          </w:tcPr>
          <w:p>
            <w:pPr>
              <w:pStyle w:val="TableText"/>
              <w:ind w:left="40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卫健</w:t>
            </w:r>
          </w:p>
        </w:tc>
        <w:tc>
          <w:tcPr>
            <w:shd w:val="clear" w:fill="D9E1F2"/>
            <w:tcW w:w="574" w:type="dxa"/>
            <w:vAlign w:val="top"/>
          </w:tcPr>
          <w:p>
            <w:pPr>
              <w:pStyle w:val="TableText"/>
              <w:ind w:left="60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34.73%</w:t>
            </w:r>
          </w:p>
        </w:tc>
        <w:tc>
          <w:tcPr>
            <w:shd w:val="clear" w:fill="D9E1F2"/>
            <w:tcW w:w="792" w:type="dxa"/>
            <w:vAlign w:val="top"/>
          </w:tcPr>
          <w:p>
            <w:pPr>
              <w:pStyle w:val="TableText"/>
              <w:ind w:left="44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互联网</w:t>
            </w:r>
          </w:p>
        </w:tc>
        <w:tc>
          <w:tcPr>
            <w:shd w:val="clear" w:fill="D9E1F2"/>
            <w:tcW w:w="623" w:type="dxa"/>
            <w:vAlign w:val="top"/>
          </w:tcPr>
          <w:p>
            <w:pPr>
              <w:pStyle w:val="TableText"/>
              <w:ind w:left="106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48.03%</w:t>
            </w:r>
          </w:p>
        </w:tc>
        <w:tc>
          <w:tcPr>
            <w:shd w:val="clear" w:fill="D9E1F2"/>
            <w:tcW w:w="792" w:type="dxa"/>
            <w:vAlign w:val="top"/>
          </w:tcPr>
          <w:p>
            <w:pPr>
              <w:pStyle w:val="TableText"/>
              <w:ind w:left="41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政务</w:t>
            </w:r>
          </w:p>
        </w:tc>
        <w:tc>
          <w:tcPr>
            <w:shd w:val="clear" w:fill="D9E1F2"/>
            <w:tcW w:w="574" w:type="dxa"/>
            <w:vAlign w:val="top"/>
          </w:tcPr>
          <w:p>
            <w:pPr>
              <w:pStyle w:val="TableText"/>
              <w:ind w:left="63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62.30%</w:t>
            </w:r>
          </w:p>
        </w:tc>
        <w:tc>
          <w:tcPr>
            <w:shd w:val="clear" w:fill="D9E1F2"/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1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政务</w:t>
            </w:r>
          </w:p>
        </w:tc>
        <w:tc>
          <w:tcPr>
            <w:shd w:val="clear" w:fill="D9E1F2"/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52"/>
              <w:spacing w:before="34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62.68%</w:t>
            </w:r>
          </w:p>
        </w:tc>
      </w:tr>
      <w:tr>
        <w:trPr>
          <w:trHeight w:val="223" w:hRule="atLeast"/>
        </w:trPr>
        <w:tc>
          <w:tcPr>
            <w:shd w:val="clear" w:fill="D9E1F2"/>
            <w:tcW w:w="796" w:type="dxa"/>
            <w:vAlign w:val="top"/>
          </w:tcPr>
          <w:p>
            <w:pPr>
              <w:pStyle w:val="TableText"/>
              <w:ind w:left="39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住建</w:t>
            </w:r>
          </w:p>
        </w:tc>
        <w:tc>
          <w:tcPr>
            <w:shd w:val="clear" w:fill="D9E1F2"/>
            <w:tcW w:w="554" w:type="dxa"/>
            <w:vAlign w:val="top"/>
          </w:tcPr>
          <w:p>
            <w:pPr>
              <w:pStyle w:val="TableText"/>
              <w:ind w:left="40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20.07%</w:t>
            </w:r>
          </w:p>
        </w:tc>
        <w:tc>
          <w:tcPr>
            <w:shd w:val="clear" w:fill="D9E1F2"/>
            <w:tcW w:w="792" w:type="dxa"/>
            <w:vAlign w:val="top"/>
          </w:tcPr>
          <w:p>
            <w:pPr>
              <w:pStyle w:val="TableText"/>
              <w:ind w:left="39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政法公安</w:t>
            </w:r>
          </w:p>
        </w:tc>
        <w:tc>
          <w:tcPr>
            <w:shd w:val="clear" w:fill="D9E1F2"/>
            <w:tcW w:w="653" w:type="dxa"/>
            <w:vAlign w:val="top"/>
          </w:tcPr>
          <w:p>
            <w:pPr>
              <w:pStyle w:val="TableText"/>
              <w:ind w:left="143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14.88%</w:t>
            </w:r>
          </w:p>
        </w:tc>
        <w:tc>
          <w:tcPr>
            <w:shd w:val="clear" w:fill="D9E1F2"/>
            <w:tcW w:w="791" w:type="dxa"/>
            <w:vAlign w:val="top"/>
          </w:tcPr>
          <w:p>
            <w:pPr>
              <w:pStyle w:val="TableText"/>
              <w:ind w:left="39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政务</w:t>
            </w:r>
          </w:p>
        </w:tc>
        <w:tc>
          <w:tcPr>
            <w:shd w:val="clear" w:fill="D9E1F2"/>
            <w:tcW w:w="574" w:type="dxa"/>
            <w:vAlign w:val="top"/>
          </w:tcPr>
          <w:p>
            <w:pPr>
              <w:pStyle w:val="TableText"/>
              <w:ind w:left="62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28.76%</w:t>
            </w:r>
          </w:p>
        </w:tc>
        <w:tc>
          <w:tcPr>
            <w:shd w:val="clear" w:fill="D9E1F2"/>
            <w:tcW w:w="792" w:type="dxa"/>
            <w:vAlign w:val="top"/>
          </w:tcPr>
          <w:p>
            <w:pPr>
              <w:pStyle w:val="TableText"/>
              <w:ind w:left="40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政务</w:t>
            </w:r>
          </w:p>
        </w:tc>
        <w:tc>
          <w:tcPr>
            <w:shd w:val="clear" w:fill="D9E1F2"/>
            <w:tcW w:w="623" w:type="dxa"/>
            <w:vAlign w:val="top"/>
          </w:tcPr>
          <w:p>
            <w:pPr>
              <w:pStyle w:val="TableText"/>
              <w:ind w:left="109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35.87%</w:t>
            </w:r>
          </w:p>
        </w:tc>
        <w:tc>
          <w:tcPr>
            <w:shd w:val="clear" w:fill="D9E1F2"/>
            <w:tcW w:w="792" w:type="dxa"/>
            <w:vAlign w:val="top"/>
          </w:tcPr>
          <w:p>
            <w:pPr>
              <w:pStyle w:val="TableText"/>
              <w:ind w:left="40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教育</w:t>
            </w:r>
          </w:p>
        </w:tc>
        <w:tc>
          <w:tcPr>
            <w:shd w:val="clear" w:fill="D9E1F2"/>
            <w:tcW w:w="574" w:type="dxa"/>
            <w:vAlign w:val="top"/>
          </w:tcPr>
          <w:p>
            <w:pPr>
              <w:pStyle w:val="TableText"/>
              <w:ind w:left="67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12.39%</w:t>
            </w:r>
          </w:p>
        </w:tc>
        <w:tc>
          <w:tcPr>
            <w:shd w:val="clear" w:fill="D9E1F2"/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5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互联网</w:t>
            </w:r>
          </w:p>
        </w:tc>
        <w:tc>
          <w:tcPr>
            <w:shd w:val="clear" w:fill="D9E1F2"/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56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13.60%</w:t>
            </w:r>
          </w:p>
        </w:tc>
      </w:tr>
      <w:tr>
        <w:trPr>
          <w:trHeight w:val="222" w:hRule="atLeast"/>
        </w:trPr>
        <w:tc>
          <w:tcPr>
            <w:shd w:val="clear" w:fill="D9E1F2"/>
            <w:tcW w:w="796" w:type="dxa"/>
            <w:vAlign w:val="top"/>
          </w:tcPr>
          <w:p>
            <w:pPr>
              <w:pStyle w:val="TableText"/>
              <w:ind w:left="42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政法公安</w:t>
            </w:r>
          </w:p>
        </w:tc>
        <w:tc>
          <w:tcPr>
            <w:shd w:val="clear" w:fill="D9E1F2"/>
            <w:tcW w:w="554" w:type="dxa"/>
            <w:vAlign w:val="top"/>
          </w:tcPr>
          <w:p>
            <w:pPr>
              <w:pStyle w:val="TableText"/>
              <w:ind w:left="44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13.86%</w:t>
            </w:r>
          </w:p>
        </w:tc>
        <w:tc>
          <w:tcPr>
            <w:shd w:val="clear" w:fill="D9E1F2"/>
            <w:tcW w:w="792" w:type="dxa"/>
            <w:vAlign w:val="top"/>
          </w:tcPr>
          <w:p>
            <w:pPr>
              <w:pStyle w:val="TableText"/>
              <w:ind w:left="40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卫健</w:t>
            </w:r>
          </w:p>
        </w:tc>
        <w:tc>
          <w:tcPr>
            <w:shd w:val="clear" w:fill="D9E1F2"/>
            <w:tcW w:w="653" w:type="dxa"/>
            <w:vAlign w:val="top"/>
          </w:tcPr>
          <w:p>
            <w:pPr>
              <w:pStyle w:val="TableText"/>
              <w:ind w:left="143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13.99%</w:t>
            </w:r>
          </w:p>
        </w:tc>
        <w:tc>
          <w:tcPr>
            <w:shd w:val="clear" w:fill="D9E1F2"/>
            <w:tcW w:w="791" w:type="dxa"/>
            <w:vAlign w:val="top"/>
          </w:tcPr>
          <w:p>
            <w:pPr>
              <w:pStyle w:val="TableText"/>
              <w:ind w:left="39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政法公安</w:t>
            </w:r>
          </w:p>
        </w:tc>
        <w:tc>
          <w:tcPr>
            <w:shd w:val="clear" w:fill="D9E1F2"/>
            <w:tcW w:w="574" w:type="dxa"/>
            <w:vAlign w:val="top"/>
          </w:tcPr>
          <w:p>
            <w:pPr>
              <w:pStyle w:val="TableText"/>
              <w:ind w:left="66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12.47%</w:t>
            </w:r>
          </w:p>
        </w:tc>
        <w:tc>
          <w:tcPr>
            <w:shd w:val="clear" w:fill="D9E1F2"/>
            <w:tcW w:w="792" w:type="dxa"/>
            <w:vAlign w:val="top"/>
          </w:tcPr>
          <w:p>
            <w:pPr>
              <w:pStyle w:val="TableText"/>
              <w:ind w:left="37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住建</w:t>
            </w:r>
          </w:p>
        </w:tc>
        <w:tc>
          <w:tcPr>
            <w:shd w:val="clear" w:fill="D9E1F2"/>
            <w:tcW w:w="623" w:type="dxa"/>
            <w:vAlign w:val="top"/>
          </w:tcPr>
          <w:p>
            <w:pPr>
              <w:pStyle w:val="TableText"/>
              <w:ind w:left="201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6.97%</w:t>
            </w:r>
          </w:p>
        </w:tc>
        <w:tc>
          <w:tcPr>
            <w:shd w:val="clear" w:fill="D9E1F2"/>
            <w:tcW w:w="792" w:type="dxa"/>
            <w:vAlign w:val="top"/>
          </w:tcPr>
          <w:p>
            <w:pPr>
              <w:pStyle w:val="TableText"/>
              <w:ind w:left="38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住建</w:t>
            </w:r>
          </w:p>
        </w:tc>
        <w:tc>
          <w:tcPr>
            <w:shd w:val="clear" w:fill="D9E1F2"/>
            <w:tcW w:w="574" w:type="dxa"/>
            <w:vAlign w:val="top"/>
          </w:tcPr>
          <w:p>
            <w:pPr>
              <w:pStyle w:val="TableText"/>
              <w:ind w:left="151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9.96%</w:t>
            </w:r>
          </w:p>
        </w:tc>
        <w:tc>
          <w:tcPr>
            <w:shd w:val="clear" w:fill="D9E1F2"/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3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交通物流</w:t>
            </w:r>
          </w:p>
        </w:tc>
        <w:tc>
          <w:tcPr>
            <w:shd w:val="clear" w:fill="D9E1F2"/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40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8.95%</w:t>
            </w:r>
          </w:p>
        </w:tc>
      </w:tr>
      <w:tr>
        <w:trPr>
          <w:trHeight w:val="223" w:hRule="atLeast"/>
        </w:trPr>
        <w:tc>
          <w:tcPr>
            <w:shd w:val="clear" w:fill="F8CBAD"/>
            <w:tcW w:w="796" w:type="dxa"/>
            <w:vAlign w:val="top"/>
          </w:tcPr>
          <w:p>
            <w:pPr>
              <w:pStyle w:val="TableText"/>
              <w:ind w:left="45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前3合计</w:t>
            </w:r>
          </w:p>
        </w:tc>
        <w:tc>
          <w:tcPr>
            <w:shd w:val="clear" w:fill="F8CBAD"/>
            <w:tcW w:w="554" w:type="dxa"/>
            <w:vAlign w:val="top"/>
          </w:tcPr>
          <w:p>
            <w:pPr>
              <w:pStyle w:val="TableText"/>
              <w:ind w:left="40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65.96%</w:t>
            </w:r>
          </w:p>
        </w:tc>
        <w:tc>
          <w:tcPr>
            <w:shd w:val="clear" w:fill="F8CBAD"/>
            <w:tcW w:w="792" w:type="dxa"/>
            <w:vAlign w:val="top"/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8CBAD"/>
            <w:tcW w:w="653" w:type="dxa"/>
            <w:vAlign w:val="top"/>
          </w:tcPr>
          <w:p>
            <w:pPr>
              <w:pStyle w:val="TableText"/>
              <w:ind w:left="140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59.78%</w:t>
            </w:r>
          </w:p>
        </w:tc>
        <w:tc>
          <w:tcPr>
            <w:shd w:val="clear" w:fill="F8CBAD"/>
            <w:tcW w:w="791" w:type="dxa"/>
            <w:vAlign w:val="top"/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8CBAD"/>
            <w:tcW w:w="574" w:type="dxa"/>
            <w:vAlign w:val="top"/>
          </w:tcPr>
          <w:p>
            <w:pPr>
              <w:pStyle w:val="TableText"/>
              <w:ind w:left="61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75.96%</w:t>
            </w:r>
          </w:p>
        </w:tc>
        <w:tc>
          <w:tcPr>
            <w:shd w:val="clear" w:fill="F8CBAD"/>
            <w:tcW w:w="792" w:type="dxa"/>
            <w:vAlign w:val="top"/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8CBAD"/>
            <w:tcW w:w="623" w:type="dxa"/>
            <w:vAlign w:val="top"/>
          </w:tcPr>
          <w:p>
            <w:pPr>
              <w:pStyle w:val="TableText"/>
              <w:ind w:left="111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90.87%</w:t>
            </w:r>
          </w:p>
        </w:tc>
        <w:tc>
          <w:tcPr>
            <w:shd w:val="clear" w:fill="F8CBAD"/>
            <w:tcW w:w="792" w:type="dxa"/>
            <w:vAlign w:val="top"/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8CBAD"/>
            <w:tcW w:w="574" w:type="dxa"/>
            <w:vAlign w:val="top"/>
          </w:tcPr>
          <w:p>
            <w:pPr>
              <w:pStyle w:val="TableText"/>
              <w:ind w:left="62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84.64%</w:t>
            </w:r>
          </w:p>
        </w:tc>
        <w:tc>
          <w:tcPr>
            <w:shd w:val="clear" w:fill="F8CBAD"/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shd w:val="clear" w:fill="F8CBAD"/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51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85.23%</w:t>
            </w:r>
          </w:p>
        </w:tc>
      </w:tr>
      <w:tr>
        <w:trPr>
          <w:trHeight w:val="222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4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卫健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28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9.30%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住建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143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10.53%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6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住建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1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6.48%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5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工业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198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3.78%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2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卫健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1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8.01%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3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卫健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41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6.02%</w:t>
            </w:r>
          </w:p>
        </w:tc>
      </w:tr>
      <w:tr>
        <w:trPr>
          <w:trHeight w:val="223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4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交通物流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30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6.88%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1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交通物流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28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9.23%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41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交通物流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1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5.86%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5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商业客户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04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1.53%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1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政法公安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2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2.00%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6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工业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41"/>
              <w:spacing w:before="35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2.37%</w:t>
            </w:r>
          </w:p>
        </w:tc>
      </w:tr>
      <w:tr>
        <w:trPr>
          <w:trHeight w:val="222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1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教育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30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6.35%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8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教育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28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7.89%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8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教育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1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5.07%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4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文宣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04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1.30%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3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其他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6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1.40%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3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其他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45"/>
              <w:spacing w:before="3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1.40%</w:t>
            </w:r>
          </w:p>
        </w:tc>
      </w:tr>
      <w:tr>
        <w:trPr>
          <w:trHeight w:val="223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39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应急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23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4.39%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2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互联网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26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3.11%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5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应急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5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1.72%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8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金融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04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1.26%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5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互联网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6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1.21%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8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应急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45"/>
              <w:spacing w:before="36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1.12%</w:t>
            </w:r>
          </w:p>
        </w:tc>
      </w:tr>
      <w:tr>
        <w:trPr>
          <w:trHeight w:val="222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4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其他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33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1.73%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1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其他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29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2.50%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41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其他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5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1.23%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2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其他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199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0.66%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9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农业农村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6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1.03%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5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文宣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45"/>
              <w:spacing w:before="36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1.00%</w:t>
            </w:r>
          </w:p>
        </w:tc>
      </w:tr>
      <w:tr>
        <w:trPr>
          <w:trHeight w:val="222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6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互联网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33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1.63%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4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工业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29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2.22%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43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互联网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5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1.08%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2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交通物流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199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0.43%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9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金融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0.91%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1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政法公安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39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0.92%</w:t>
            </w:r>
          </w:p>
        </w:tc>
      </w:tr>
      <w:tr>
        <w:trPr>
          <w:trHeight w:val="222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6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文宣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33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1.18%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5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应急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32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1.32%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44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工业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0.94%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0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政法公安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199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0.17%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6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工业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0.79%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8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住建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39"/>
              <w:spacing w:before="37" w:line="18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0.80%</w:t>
            </w:r>
          </w:p>
        </w:tc>
      </w:tr>
      <w:tr>
        <w:trPr>
          <w:trHeight w:val="222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7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工业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28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0.90%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4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商业客户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32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1.28%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7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农业农村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0.78%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2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卫健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199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6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商业客户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9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金融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39"/>
              <w:spacing w:before="38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0.72%</w:t>
            </w:r>
          </w:p>
        </w:tc>
      </w:tr>
      <w:tr>
        <w:trPr>
          <w:trHeight w:val="222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7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商业客户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28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0.69%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2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文宣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32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1.16%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43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文宣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0.50%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9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教育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199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5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文宣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6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商业客户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39"/>
              <w:spacing w:before="39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0.44%</w:t>
            </w:r>
          </w:p>
        </w:tc>
      </w:tr>
      <w:tr>
        <w:trPr>
          <w:trHeight w:val="223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0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农业农村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28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0.62%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7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农业农村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27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0.70%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44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商业客户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0.30%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7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应急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199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43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交通物流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0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教育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39"/>
              <w:spacing w:before="40" w:line="18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</w:tr>
      <w:tr>
        <w:trPr>
          <w:trHeight w:val="227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40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金融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128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0.37%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7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金融</w:t>
            </w:r>
          </w:p>
        </w:tc>
        <w:tc>
          <w:tcPr>
            <w:tcW w:w="653" w:type="dxa"/>
            <w:vAlign w:val="top"/>
          </w:tcPr>
          <w:p>
            <w:pPr>
              <w:pStyle w:val="TableText"/>
              <w:ind w:left="227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0.29%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37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金融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9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农业农村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199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7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应急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50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  <w:tc>
          <w:tcPr>
            <w:tcW w:w="791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0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农业农村</w:t>
            </w:r>
          </w:p>
        </w:tc>
        <w:tc>
          <w:tcPr>
            <w:tcW w:w="569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39"/>
              <w:spacing w:before="39" w:line="18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0.00%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ind w:left="624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．运营商内部，中国移动已具有明显领先优势</w:t>
      </w:r>
    </w:p>
    <w:p>
      <w:pPr>
        <w:ind w:left="27" w:right="23" w:firstLine="597"/>
        <w:spacing w:before="322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①市场优势：移动拿下</w:t>
      </w:r>
      <w:r>
        <w:rPr>
          <w:rFonts w:ascii="SimSun" w:hAnsi="SimSun" w:eastAsia="SimSun" w:cs="SimSun"/>
          <w:sz w:val="30"/>
          <w:szCs w:val="3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709</w:t>
      </w:r>
      <w:r>
        <w:rPr>
          <w:rFonts w:ascii="Times New Roman" w:hAnsi="Times New Roman" w:eastAsia="Times New Roman" w:cs="Times New Roman"/>
          <w:sz w:val="30"/>
          <w:szCs w:val="3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个千万元以上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DICT</w:t>
      </w:r>
      <w:r>
        <w:rPr>
          <w:rFonts w:ascii="Times New Roman" w:hAnsi="Times New Roman" w:eastAsia="Times New Roman" w:cs="Times New Roman"/>
          <w:sz w:val="30"/>
          <w:szCs w:val="3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项目大单，</w:t>
      </w:r>
      <w:r>
        <w:rPr>
          <w:rFonts w:ascii="SimSun" w:hAnsi="SimSun" w:eastAsia="SimSun" w:cs="SimSun"/>
          <w:sz w:val="30"/>
          <w:szCs w:val="30"/>
          <w:spacing w:val="-3"/>
        </w:rPr>
        <w:t>电信为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634 </w:t>
      </w:r>
      <w:r>
        <w:rPr>
          <w:rFonts w:ascii="SimSun" w:hAnsi="SimSun" w:eastAsia="SimSun" w:cs="SimSun"/>
          <w:sz w:val="30"/>
          <w:szCs w:val="30"/>
          <w:spacing w:val="-3"/>
        </w:rPr>
        <w:t>个；金额方面，移动拿下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243.75 </w:t>
      </w:r>
      <w:r>
        <w:rPr>
          <w:rFonts w:ascii="SimSun" w:hAnsi="SimSun" w:eastAsia="SimSun" w:cs="SimSun"/>
          <w:sz w:val="30"/>
          <w:szCs w:val="30"/>
          <w:spacing w:val="-3"/>
        </w:rPr>
        <w:t>亿</w:t>
      </w:r>
      <w:r>
        <w:rPr>
          <w:rFonts w:ascii="SimSun" w:hAnsi="SimSun" w:eastAsia="SimSun" w:cs="SimSun"/>
          <w:sz w:val="30"/>
          <w:szCs w:val="30"/>
          <w:spacing w:val="-4"/>
        </w:rPr>
        <w:t>元，电信为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200.41</w:t>
      </w:r>
      <w:r>
        <w:rPr>
          <w:rFonts w:ascii="SimSun" w:hAnsi="SimSun" w:eastAsia="SimSun" w:cs="SimSun"/>
          <w:sz w:val="30"/>
          <w:szCs w:val="30"/>
          <w:spacing w:val="-13"/>
        </w:rPr>
        <w:t>亿元。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7" w:right="105" w:firstLine="596"/>
        <w:spacing w:before="99" w:line="24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②区位优势：移动主攻浙江（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33.2 </w:t>
      </w:r>
      <w:r>
        <w:rPr>
          <w:rFonts w:ascii="SimSun" w:hAnsi="SimSun" w:eastAsia="SimSun" w:cs="SimSun"/>
          <w:sz w:val="30"/>
          <w:szCs w:val="30"/>
          <w:spacing w:val="-12"/>
        </w:rPr>
        <w:t>亿）、广东（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29.7 </w:t>
      </w:r>
      <w:r>
        <w:rPr>
          <w:rFonts w:ascii="SimSun" w:hAnsi="SimSun" w:eastAsia="SimSun" w:cs="SimSun"/>
          <w:sz w:val="30"/>
          <w:szCs w:val="30"/>
          <w:spacing w:val="-13"/>
        </w:rPr>
        <w:t>亿）、江</w:t>
      </w:r>
      <w:r>
        <w:rPr>
          <w:rFonts w:ascii="SimSun" w:hAnsi="SimSun" w:eastAsia="SimSun" w:cs="SimSun"/>
          <w:sz w:val="30"/>
          <w:szCs w:val="30"/>
          <w:spacing w:val="-14"/>
        </w:rPr>
        <w:t>苏（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25.5 </w:t>
      </w:r>
      <w:r>
        <w:rPr>
          <w:rFonts w:ascii="SimSun" w:hAnsi="SimSun" w:eastAsia="SimSun" w:cs="SimSun"/>
          <w:sz w:val="30"/>
          <w:szCs w:val="30"/>
          <w:spacing w:val="-14"/>
        </w:rPr>
        <w:t>亿）三大经济和数字化发达省份，电信虽然在广东（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23.04</w:t>
      </w:r>
      <w:r>
        <w:rPr>
          <w:rFonts w:ascii="SimSun" w:hAnsi="SimSun" w:eastAsia="SimSun" w:cs="SimSun"/>
          <w:sz w:val="30"/>
          <w:szCs w:val="30"/>
          <w:spacing w:val="-4"/>
        </w:rPr>
        <w:t>亿）和江苏（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21.9 </w:t>
      </w:r>
      <w:r>
        <w:rPr>
          <w:rFonts w:ascii="SimSun" w:hAnsi="SimSun" w:eastAsia="SimSun" w:cs="SimSun"/>
          <w:sz w:val="30"/>
          <w:szCs w:val="30"/>
          <w:spacing w:val="-4"/>
        </w:rPr>
        <w:t>亿）也有不错表现，但跟移动仍有差距，在浙</w:t>
      </w:r>
      <w:r>
        <w:rPr>
          <w:rFonts w:ascii="SimSun" w:hAnsi="SimSun" w:eastAsia="SimSun" w:cs="SimSun"/>
          <w:sz w:val="30"/>
          <w:szCs w:val="30"/>
          <w:spacing w:val="-8"/>
        </w:rPr>
        <w:t>江差距更远。</w:t>
      </w:r>
    </w:p>
    <w:p>
      <w:pPr>
        <w:ind w:left="27" w:right="104" w:firstLine="596"/>
        <w:spacing w:before="338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③合作优势：大多数地方国资会选择中国移动作为其重要合</w:t>
      </w:r>
      <w:r>
        <w:rPr>
          <w:rFonts w:ascii="SimSun" w:hAnsi="SimSun" w:eastAsia="SimSun" w:cs="SimSun"/>
          <w:sz w:val="30"/>
          <w:szCs w:val="30"/>
          <w:spacing w:val="-3"/>
        </w:rPr>
        <w:t>作伙伴，中国电信和中国联通相对弱势。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34" w:right="106" w:firstLine="641"/>
        <w:spacing w:before="101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三、中国电信在千万元以上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DICT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项目市场上的应对策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略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．广泛合作，提升市场份额</w:t>
      </w:r>
    </w:p>
    <w:p>
      <w:pPr>
        <w:spacing w:line="233" w:lineRule="auto"/>
        <w:sectPr>
          <w:pgSz w:w="11907" w:h="16839"/>
          <w:pgMar w:top="400" w:right="169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634"/>
        <w:spacing w:before="97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</w:t>
      </w:r>
      <w:r>
        <w:rPr>
          <w:rFonts w:ascii="SimSun" w:hAnsi="SimSun" w:eastAsia="SimSun" w:cs="SimSun"/>
          <w:sz w:val="30"/>
          <w:szCs w:val="30"/>
          <w:spacing w:val="-2"/>
        </w:rPr>
        <w:t>）与央企和地方国资合作，提升市场份额</w:t>
      </w:r>
    </w:p>
    <w:p>
      <w:pPr>
        <w:ind w:left="26" w:right="255" w:firstLine="604"/>
        <w:spacing w:before="32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央企国企尤其是地方国资在千万元以上</w:t>
      </w:r>
      <w:r>
        <w:rPr>
          <w:rFonts w:ascii="Times New Roman" w:hAnsi="Times New Roman" w:eastAsia="Times New Roman" w:cs="Times New Roman"/>
          <w:sz w:val="30"/>
          <w:szCs w:val="30"/>
        </w:rPr>
        <w:t>DICT </w:t>
      </w:r>
      <w:r>
        <w:rPr>
          <w:rFonts w:ascii="SimSun" w:hAnsi="SimSun" w:eastAsia="SimSun" w:cs="SimSun"/>
          <w:sz w:val="30"/>
          <w:szCs w:val="30"/>
        </w:rPr>
        <w:t>项目市场上拥</w:t>
      </w:r>
      <w:r>
        <w:rPr>
          <w:rFonts w:ascii="SimSun" w:hAnsi="SimSun" w:eastAsia="SimSun" w:cs="SimSun"/>
          <w:sz w:val="30"/>
          <w:szCs w:val="30"/>
          <w:spacing w:val="-4"/>
        </w:rPr>
        <w:t>有独特的话语权，与它们以合资参股等形式进行合作，有利于分</w:t>
      </w:r>
      <w:r>
        <w:rPr>
          <w:rFonts w:ascii="SimSun" w:hAnsi="SimSun" w:eastAsia="SimSun" w:cs="SimSun"/>
          <w:sz w:val="30"/>
          <w:szCs w:val="30"/>
          <w:spacing w:val="-5"/>
        </w:rPr>
        <w:t>享政府主导的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DICT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大单。如今年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24  </w:t>
      </w:r>
      <w:r>
        <w:rPr>
          <w:rFonts w:ascii="SimSun" w:hAnsi="SimSun" w:eastAsia="SimSun" w:cs="SimSun"/>
          <w:sz w:val="30"/>
          <w:szCs w:val="30"/>
          <w:spacing w:val="-5"/>
        </w:rPr>
        <w:t>日中国国新、中国电</w:t>
      </w:r>
      <w:r>
        <w:rPr>
          <w:rFonts w:ascii="SimSun" w:hAnsi="SimSun" w:eastAsia="SimSun" w:cs="SimSun"/>
          <w:sz w:val="30"/>
          <w:szCs w:val="30"/>
          <w:spacing w:val="-4"/>
        </w:rPr>
        <w:t>科、中国诚通、中国电子四大央企入股天翼云就是很好的合作实</w:t>
      </w:r>
      <w:r>
        <w:rPr>
          <w:rFonts w:ascii="SimSun" w:hAnsi="SimSun" w:eastAsia="SimSun" w:cs="SimSun"/>
          <w:sz w:val="30"/>
          <w:szCs w:val="30"/>
          <w:spacing w:val="-14"/>
        </w:rPr>
        <w:t>践。</w:t>
      </w:r>
    </w:p>
    <w:p>
      <w:pPr>
        <w:ind w:left="634"/>
        <w:spacing w:before="272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）与讯飞、太极、寒武纪等科技明星合作，优势互补</w:t>
      </w:r>
    </w:p>
    <w:p>
      <w:pPr>
        <w:ind w:left="26" w:right="258" w:firstLine="603"/>
        <w:spacing w:before="31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讯飞、北斗、太极、寒武纪等科技明星， 它们拥有独特的技</w:t>
      </w:r>
      <w:r>
        <w:rPr>
          <w:rFonts w:ascii="SimSun" w:hAnsi="SimSun" w:eastAsia="SimSun" w:cs="SimSun"/>
          <w:sz w:val="30"/>
          <w:szCs w:val="30"/>
          <w:spacing w:val="-4"/>
        </w:rPr>
        <w:t>术优势，中国电信可以利用天翼云以及云网融合的影响力，与它</w:t>
      </w:r>
      <w:r>
        <w:rPr>
          <w:rFonts w:ascii="SimSun" w:hAnsi="SimSun" w:eastAsia="SimSun" w:cs="SimSun"/>
          <w:sz w:val="30"/>
          <w:szCs w:val="30"/>
          <w:spacing w:val="-3"/>
        </w:rPr>
        <w:t>们战略合作，形成产品和技术上的优势互补。</w:t>
      </w:r>
    </w:p>
    <w:p>
      <w:pPr>
        <w:ind w:left="634"/>
        <w:spacing w:before="270" w:line="2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</w:t>
      </w:r>
      <w:r>
        <w:rPr>
          <w:rFonts w:ascii="SimSun" w:hAnsi="SimSun" w:eastAsia="SimSun" w:cs="SimSun"/>
          <w:sz w:val="30"/>
          <w:szCs w:val="30"/>
          <w:spacing w:val="-2"/>
        </w:rPr>
        <w:t>）与华为、阿里、腾讯合作，竞合有度</w:t>
      </w:r>
    </w:p>
    <w:p>
      <w:pPr>
        <w:ind w:left="26" w:firstLine="616"/>
        <w:spacing w:before="32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随着阿里、华为、腾讯等巨头定位为被集成者，中国电信应</w:t>
      </w:r>
      <w:r>
        <w:rPr>
          <w:rFonts w:ascii="SimSun" w:hAnsi="SimSun" w:eastAsia="SimSun" w:cs="SimSun"/>
          <w:sz w:val="30"/>
          <w:szCs w:val="30"/>
          <w:spacing w:val="-4"/>
        </w:rPr>
        <w:t>借机做大做强总包商角色，提升统筹协调、方案设计、实施交付</w:t>
      </w:r>
      <w:r>
        <w:rPr>
          <w:rFonts w:ascii="SimSun" w:hAnsi="SimSun" w:eastAsia="SimSun" w:cs="SimSun"/>
          <w:sz w:val="30"/>
          <w:szCs w:val="30"/>
          <w:spacing w:val="-5"/>
        </w:rPr>
        <w:t>和售后运营能力，从而在大单的收益分配过程中获得更</w:t>
      </w:r>
      <w:r>
        <w:rPr>
          <w:rFonts w:ascii="SimSun" w:hAnsi="SimSun" w:eastAsia="SimSun" w:cs="SimSun"/>
          <w:sz w:val="30"/>
          <w:szCs w:val="30"/>
          <w:spacing w:val="-6"/>
        </w:rPr>
        <w:t>大话语权。</w:t>
      </w:r>
    </w:p>
    <w:p>
      <w:pPr>
        <w:ind w:left="624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．提升产品力和四融比，深耕重点行业和重点区域</w:t>
      </w:r>
    </w:p>
    <w:p>
      <w:pPr>
        <w:ind w:left="25" w:right="254" w:firstLine="598"/>
        <w:spacing w:before="321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进一步加强自主研发能力，力争在云、网、数、智、安、平</w:t>
      </w:r>
      <w:r>
        <w:rPr>
          <w:rFonts w:ascii="SimSun" w:hAnsi="SimSun" w:eastAsia="SimSun" w:cs="SimSun"/>
          <w:sz w:val="30"/>
          <w:szCs w:val="30"/>
          <w:spacing w:val="-2"/>
        </w:rPr>
        <w:t>台等领域不断取得创新性突破，持续提升中国电信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DICT </w:t>
      </w:r>
      <w:r>
        <w:rPr>
          <w:rFonts w:ascii="SimSun" w:hAnsi="SimSun" w:eastAsia="SimSun" w:cs="SimSun"/>
          <w:sz w:val="30"/>
          <w:szCs w:val="30"/>
          <w:spacing w:val="-2"/>
        </w:rPr>
        <w:t>产品竞</w:t>
      </w:r>
      <w:r>
        <w:rPr>
          <w:rFonts w:ascii="SimSun" w:hAnsi="SimSun" w:eastAsia="SimSun" w:cs="SimSun"/>
          <w:sz w:val="30"/>
          <w:szCs w:val="30"/>
          <w:spacing w:val="-4"/>
        </w:rPr>
        <w:t>争力，在项目中加大自研产品（天翼云、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</w:t>
      </w:r>
      <w:r>
        <w:rPr>
          <w:rFonts w:ascii="SimSun" w:hAnsi="SimSun" w:eastAsia="SimSun" w:cs="SimSun"/>
          <w:sz w:val="30"/>
          <w:szCs w:val="30"/>
          <w:spacing w:val="-4"/>
        </w:rPr>
        <w:t>、</w:t>
      </w:r>
      <w:r>
        <w:rPr>
          <w:rFonts w:ascii="SimSun" w:hAnsi="SimSun" w:eastAsia="SimSun" w:cs="SimSun"/>
          <w:sz w:val="30"/>
          <w:szCs w:val="30"/>
          <w:spacing w:val="-5"/>
        </w:rPr>
        <w:t>安全、平台等）的</w:t>
      </w:r>
      <w:r>
        <w:rPr>
          <w:rFonts w:ascii="SimSun" w:hAnsi="SimSun" w:eastAsia="SimSun" w:cs="SimSun"/>
          <w:sz w:val="30"/>
          <w:szCs w:val="30"/>
          <w:spacing w:val="-17"/>
        </w:rPr>
        <w:t>融合，深耕政务、卫健、住建、交通物流、政法公安等热门行业，</w:t>
      </w:r>
      <w:r>
        <w:rPr>
          <w:rFonts w:ascii="SimSun" w:hAnsi="SimSun" w:eastAsia="SimSun" w:cs="SimSun"/>
          <w:sz w:val="30"/>
          <w:szCs w:val="30"/>
          <w:spacing w:val="-13"/>
        </w:rPr>
        <w:t>储备教育、工业等行业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DICT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项目能力，对珠三角（广东）、长三</w:t>
      </w:r>
      <w:r>
        <w:rPr>
          <w:rFonts w:ascii="SimSun" w:hAnsi="SimSun" w:eastAsia="SimSun" w:cs="SimSun"/>
          <w:sz w:val="30"/>
          <w:szCs w:val="30"/>
          <w:spacing w:val="-3"/>
        </w:rPr>
        <w:t>角、京津冀等重点区域采取逢单必抢的进攻策略。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pgSz w:w="11907" w:h="16839"/>
          <w:pgMar w:top="400" w:right="1543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16" w:right="197" w:firstLine="615"/>
        <w:spacing w:before="9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肖胜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硕士，在市场、客户、政企运营与服务体</w:t>
      </w:r>
      <w:r>
        <w:rPr>
          <w:rFonts w:ascii="KaiTi" w:hAnsi="KaiTi" w:eastAsia="KaiTi" w:cs="KaiTi"/>
          <w:sz w:val="28"/>
          <w:szCs w:val="28"/>
          <w:spacing w:val="-3"/>
        </w:rPr>
        <w:t>系等研究领域</w:t>
      </w:r>
      <w:r>
        <w:rPr>
          <w:rFonts w:ascii="KaiTi" w:hAnsi="KaiTi" w:eastAsia="KaiTi" w:cs="KaiTi"/>
          <w:sz w:val="28"/>
          <w:szCs w:val="28"/>
        </w:rPr>
        <w:t>耕耘多年，近年专注于政企新主业和政企客户</w:t>
      </w:r>
      <w:r>
        <w:rPr>
          <w:rFonts w:ascii="KaiTi" w:hAnsi="KaiTi" w:eastAsia="KaiTi" w:cs="KaiTi"/>
          <w:sz w:val="28"/>
          <w:szCs w:val="28"/>
          <w:spacing w:val="-1"/>
        </w:rPr>
        <w:t>满意提升。</w:t>
      </w:r>
    </w:p>
    <w:p>
      <w:pPr>
        <w:ind w:left="12"/>
        <w:spacing w:before="2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【13316097121】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26" w:right="193" w:firstLine="563"/>
        <w:spacing w:before="91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郭丽芳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10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年通信行业客户与服务体系研究，近</w:t>
      </w:r>
      <w:r>
        <w:rPr>
          <w:rFonts w:ascii="KaiTi" w:hAnsi="KaiTi" w:eastAsia="KaiTi" w:cs="KaiTi"/>
          <w:sz w:val="28"/>
          <w:szCs w:val="28"/>
          <w:spacing w:val="-2"/>
        </w:rPr>
        <w:t>年专注于客户体验数字化、政企服务体系以及数字化转型研究。</w:t>
      </w:r>
    </w:p>
    <w:p>
      <w:pPr>
        <w:ind w:left="14" w:right="196" w:firstLine="579"/>
        <w:spacing w:before="276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刘斌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硕士，多年市场经营、大数据挖掘研究经验，近年专注</w:t>
      </w:r>
      <w:r>
        <w:rPr>
          <w:rFonts w:ascii="KaiTi" w:hAnsi="KaiTi" w:eastAsia="KaiTi" w:cs="KaiTi"/>
          <w:sz w:val="28"/>
          <w:szCs w:val="28"/>
          <w:spacing w:val="-2"/>
        </w:rPr>
        <w:t>服务数字化运营和企业数字化转型研究。</w:t>
      </w:r>
    </w:p>
    <w:p>
      <w:pPr>
        <w:ind w:left="590"/>
        <w:spacing w:before="278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郭朝峰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管理学硕士，市场、客服领域多年从业和</w:t>
      </w:r>
      <w:r>
        <w:rPr>
          <w:rFonts w:ascii="KaiTi" w:hAnsi="KaiTi" w:eastAsia="KaiTi" w:cs="KaiTi"/>
          <w:sz w:val="28"/>
          <w:szCs w:val="28"/>
          <w:spacing w:val="-3"/>
        </w:rPr>
        <w:t>研究经验，</w:t>
      </w:r>
    </w:p>
    <w:p>
      <w:pPr>
        <w:ind w:left="86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目前主要从事基础业务落地和数字化转型研究。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33" w:right="197" w:firstLine="550"/>
        <w:spacing w:before="9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徐静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高级工程师，先后从事网运、市场、客户服务、政企服</w:t>
      </w:r>
      <w:r>
        <w:rPr>
          <w:rFonts w:ascii="KaiTi" w:hAnsi="KaiTi" w:eastAsia="KaiTi" w:cs="KaiTi"/>
          <w:sz w:val="28"/>
          <w:szCs w:val="28"/>
          <w:spacing w:val="-1"/>
        </w:rPr>
        <w:t>务等，近年主要参与集团客服部相关项目与支撑工作。</w:t>
      </w:r>
    </w:p>
    <w:p>
      <w:pPr>
        <w:ind w:left="45" w:right="193" w:firstLine="536"/>
        <w:spacing w:before="28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孙丽娟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硕士，长期专注于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ICT</w:t>
      </w:r>
      <w:r>
        <w:rPr>
          <w:rFonts w:ascii="KaiTi" w:hAnsi="KaiTi" w:eastAsia="KaiTi" w:cs="KaiTi"/>
          <w:sz w:val="28"/>
          <w:szCs w:val="28"/>
          <w:spacing w:val="-5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新兴业务、</w:t>
      </w:r>
      <w:r>
        <w:rPr>
          <w:rFonts w:ascii="KaiTi" w:hAnsi="KaiTi" w:eastAsia="KaiTi" w:cs="KaiTi"/>
          <w:sz w:val="28"/>
          <w:szCs w:val="28"/>
          <w:spacing w:val="-4"/>
        </w:rPr>
        <w:t>产业数字化发展模</w:t>
      </w:r>
      <w:r>
        <w:rPr>
          <w:rFonts w:ascii="KaiTi" w:hAnsi="KaiTi" w:eastAsia="KaiTi" w:cs="KaiTi"/>
          <w:sz w:val="28"/>
          <w:szCs w:val="28"/>
          <w:spacing w:val="-5"/>
        </w:rPr>
        <w:t>式及竞争研究等相关工作。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DengXian" w:hAnsi="DengXian" w:eastAsia="DengXian" w:cs="DengXi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jpeg"/><Relationship Id="rId4" Type="http://schemas.openxmlformats.org/officeDocument/2006/relationships/image" Target="media/image2.png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image" Target="media/image31.jpe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header" Target="header2.xml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2023-04-06T11:29:39Z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2025-11-04T15:54:56</vt:filetime>
  </property>
</Properties>
</file>