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15"/>
        <w:spacing w:before="211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县域数据能力建设提速，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-103"/>
        </w:rPr>
        <w:t xml:space="preserve"> 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应加快抢占市场</w:t>
      </w:r>
    </w:p>
    <w:p>
      <w:pPr>
        <w:ind w:left="2555"/>
        <w:spacing w:before="332" w:line="211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3"/>
        </w:rPr>
        <w:t>文/</w:t>
      </w:r>
      <w:r>
        <w:rPr>
          <w:rFonts w:ascii="STKaiti" w:hAnsi="STKaiti" w:eastAsia="STKaiti" w:cs="STKaiti"/>
          <w:sz w:val="30"/>
          <w:szCs w:val="30"/>
          <w:spacing w:val="1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3"/>
        </w:rPr>
        <w:t>裴迎栋</w:t>
      </w:r>
      <w:r>
        <w:rPr>
          <w:rFonts w:ascii="STKaiti" w:hAnsi="STKaiti" w:eastAsia="STKaiti" w:cs="STKaiti"/>
          <w:sz w:val="30"/>
          <w:szCs w:val="30"/>
          <w:spacing w:val="1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3"/>
        </w:rPr>
        <w:t>李一明</w:t>
      </w:r>
      <w:r>
        <w:rPr>
          <w:rFonts w:ascii="STKaiti" w:hAnsi="STKaiti" w:eastAsia="STKaiti" w:cs="STKaiti"/>
          <w:sz w:val="30"/>
          <w:szCs w:val="30"/>
          <w:spacing w:val="25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3"/>
        </w:rPr>
        <w:t>田盼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33" w:right="16" w:firstLine="587"/>
        <w:spacing w:before="97" w:line="332" w:lineRule="auto"/>
        <w:jc w:val="both"/>
        <w:rPr/>
      </w:pPr>
      <w:r>
        <w:rPr>
          <w:rFonts w:ascii="Times New Roman" w:hAnsi="Times New Roman" w:eastAsia="Times New Roman" w:cs="Times New Roman"/>
          <w:spacing w:val="-10"/>
        </w:rPr>
        <w:t>2023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-10"/>
        </w:rPr>
        <w:t>年《数字中国建设整体布局规划》正式发布，</w:t>
      </w:r>
      <w:r>
        <w:rPr>
          <w:spacing w:val="-80"/>
        </w:rPr>
        <w:t xml:space="preserve"> </w:t>
      </w:r>
      <w:r>
        <w:rPr>
          <w:spacing w:val="-10"/>
        </w:rPr>
        <w:t>数据能力</w:t>
      </w:r>
      <w:r>
        <w:rPr>
          <w:spacing w:val="-4"/>
        </w:rPr>
        <w:t>已成为我国区域发展的底座和创新引擎。县域数据作为重要组成</w:t>
      </w:r>
      <w:r>
        <w:rPr>
          <w:spacing w:val="-4"/>
        </w:rPr>
        <w:t>部分，是一个“小而重”的快速发展市场，横向连接县</w:t>
      </w:r>
      <w:r>
        <w:rPr>
          <w:spacing w:val="-5"/>
        </w:rPr>
        <w:t>域城镇化</w:t>
      </w:r>
      <w:r>
        <w:rPr>
          <w:spacing w:val="-4"/>
        </w:rPr>
        <w:t>建设，纵向贯穿全国统一数据大市场，未来三年将进入</w:t>
      </w:r>
      <w:r>
        <w:rPr>
          <w:spacing w:val="-5"/>
        </w:rPr>
        <w:t>发展的黄</w:t>
      </w:r>
      <w:r>
        <w:rPr>
          <w:spacing w:val="-9"/>
        </w:rPr>
        <w:t>金期。今年上半年数据能力建设项目加速下沉，</w:t>
      </w:r>
      <w:r>
        <w:rPr>
          <w:spacing w:val="-14"/>
        </w:rPr>
        <w:t xml:space="preserve"> </w:t>
      </w:r>
      <w:r>
        <w:rPr>
          <w:spacing w:val="-9"/>
        </w:rPr>
        <w:t>东部省份先行发</w:t>
      </w:r>
      <w:r>
        <w:rPr>
          <w:spacing w:val="-5"/>
        </w:rPr>
        <w:t>展，预计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2025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-5"/>
        </w:rPr>
        <w:t>年项目规模超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400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5"/>
        </w:rPr>
        <w:t>亿，复合增速超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30%</w:t>
      </w:r>
      <w:r>
        <w:rPr>
          <w:spacing w:val="-5"/>
        </w:rPr>
        <w:t>，是全国</w:t>
      </w:r>
      <w:r>
        <w:rPr>
          <w:spacing w:val="-9"/>
        </w:rPr>
        <w:t>产数市场重要增长极。当前千万及以上大单是抢夺焦点</w:t>
      </w:r>
      <w:r>
        <w:rPr>
          <w:spacing w:val="-10"/>
        </w:rPr>
        <w:t>，</w:t>
      </w:r>
      <w:r>
        <w:rPr>
          <w:spacing w:val="-10"/>
        </w:rPr>
        <w:t xml:space="preserve"> </w:t>
      </w:r>
      <w:r>
        <w:rPr>
          <w:spacing w:val="-10"/>
        </w:rPr>
        <w:t>中国电</w:t>
      </w:r>
      <w:r>
        <w:rPr>
          <w:spacing w:val="-6"/>
        </w:rPr>
        <w:t>信上半年该领域收入同比下降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13%</w:t>
      </w:r>
      <w:r>
        <w:rPr>
          <w:spacing w:val="-6"/>
        </w:rPr>
        <w:t>，面临省市县协同不一、中西</w:t>
      </w:r>
      <w:r>
        <w:rPr>
          <w:spacing w:val="-1"/>
        </w:rPr>
        <w:t>部和北方下沉力度不够等问题，急需统筹规划、打破资源壁垒，</w:t>
      </w:r>
      <w:r>
        <w:rPr>
          <w:spacing w:val="-6"/>
        </w:rPr>
        <w:t>加快抢占市场份额。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ind w:left="675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一、县域数据能力建设情况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ind w:left="26" w:firstLine="601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县域数据</w:t>
      </w:r>
      <w:r>
        <w:rPr>
          <w:rFonts w:ascii="Times New Roman" w:hAnsi="Times New Roman" w:eastAsia="Times New Roman" w:cs="Times New Roman"/>
          <w:sz w:val="18"/>
          <w:szCs w:val="18"/>
          <w:spacing w:val="-7"/>
          <w:position w:val="10"/>
        </w:rPr>
        <w:t>1</w:t>
      </w:r>
      <w:r>
        <w:rPr>
          <w:rFonts w:ascii="SimSun" w:hAnsi="SimSun" w:eastAsia="SimSun" w:cs="SimSun"/>
          <w:sz w:val="30"/>
          <w:szCs w:val="30"/>
          <w:spacing w:val="-7"/>
        </w:rPr>
        <w:t>连接省市及乡村，对上提供决策支</w:t>
      </w:r>
      <w:r>
        <w:rPr>
          <w:rFonts w:ascii="SimSun" w:hAnsi="SimSun" w:eastAsia="SimSun" w:cs="SimSun"/>
          <w:sz w:val="30"/>
          <w:szCs w:val="30"/>
          <w:spacing w:val="-8"/>
        </w:rPr>
        <w:t>撑，对下实现具</w:t>
      </w:r>
      <w:r>
        <w:rPr>
          <w:rFonts w:ascii="SimSun" w:hAnsi="SimSun" w:eastAsia="SimSun" w:cs="SimSun"/>
          <w:sz w:val="30"/>
          <w:szCs w:val="30"/>
          <w:spacing w:val="-14"/>
        </w:rPr>
        <w:t>体事务执行，是重要的数据中转枢纽。打通“数据孤岛”，围绕县</w:t>
      </w:r>
      <w:r>
        <w:rPr>
          <w:rFonts w:ascii="SimSun" w:hAnsi="SimSun" w:eastAsia="SimSun" w:cs="SimSun"/>
          <w:sz w:val="30"/>
          <w:szCs w:val="30"/>
          <w:spacing w:val="-11"/>
        </w:rPr>
        <w:t>域数字化应用场景，通过云网基础设施，提供涵盖数据汇集整合、</w:t>
      </w:r>
      <w:r>
        <w:rPr>
          <w:rFonts w:ascii="SimSun" w:hAnsi="SimSun" w:eastAsia="SimSun" w:cs="SimSun"/>
          <w:sz w:val="30"/>
          <w:szCs w:val="30"/>
          <w:spacing w:val="-9"/>
        </w:rPr>
        <w:t>价值挖掘、安全高效的总集成服务体系， 已成为当前县域数据能</w:t>
      </w:r>
      <w:r>
        <w:rPr>
          <w:rFonts w:ascii="SimSun" w:hAnsi="SimSun" w:eastAsia="SimSun" w:cs="SimSun"/>
          <w:sz w:val="30"/>
          <w:szCs w:val="30"/>
          <w:spacing w:val="-6"/>
        </w:rPr>
        <w:t>力建设的首要工作。</w:t>
      </w:r>
    </w:p>
    <w:p>
      <w:pPr>
        <w:ind w:left="636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．全国数据能力建设加速向县域下沉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>
        <w:pict>
          <v:shape id="_x0000_s2" style="position:absolute;margin-left:0.72599pt;margin-top:10.703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38" w:right="262" w:hanging="16"/>
        <w:spacing w:before="72" w:line="243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2"/>
          <w:position w:val="10"/>
        </w:rPr>
        <w:t>1   </w:t>
      </w:r>
      <w:r>
        <w:rPr>
          <w:rFonts w:ascii="DengXian" w:hAnsi="DengXian" w:eastAsia="DengXian" w:cs="DengXian"/>
          <w:sz w:val="21"/>
          <w:szCs w:val="21"/>
          <w:spacing w:val="-2"/>
        </w:rPr>
        <w:t>本文引用《县域数字资源管理改革指南》标准中对县域的定义：</w:t>
      </w:r>
      <w:r>
        <w:rPr>
          <w:rFonts w:ascii="DengXian" w:hAnsi="DengXian" w:eastAsia="DengXian" w:cs="DengXian"/>
          <w:sz w:val="21"/>
          <w:szCs w:val="21"/>
          <w:spacing w:val="-14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以县（市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、</w:t>
      </w:r>
      <w:r>
        <w:rPr>
          <w:rFonts w:ascii="DengXian" w:hAnsi="DengXian" w:eastAsia="DengXian" w:cs="DengXian"/>
          <w:sz w:val="21"/>
          <w:szCs w:val="21"/>
          <w:spacing w:val="-35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区）级行政</w:t>
      </w:r>
      <w:r>
        <w:rPr>
          <w:rFonts w:ascii="DengXian" w:hAnsi="DengXian" w:eastAsia="DengXian" w:cs="DengXian"/>
          <w:sz w:val="21"/>
          <w:szCs w:val="21"/>
          <w:spacing w:val="-3"/>
        </w:rPr>
        <w:t>区划为地理空间</w:t>
      </w:r>
      <w:r>
        <w:rPr>
          <w:rFonts w:ascii="DengXian" w:hAnsi="DengXian" w:eastAsia="DengXian" w:cs="DengXian"/>
          <w:sz w:val="21"/>
          <w:szCs w:val="21"/>
          <w:spacing w:val="-15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，具有地域特色的功能完备区域</w:t>
      </w:r>
    </w:p>
    <w:p>
      <w:pPr>
        <w:spacing w:line="243" w:lineRule="auto"/>
        <w:sectPr>
          <w:pgSz w:w="11907" w:h="16839"/>
          <w:pgMar w:top="1431" w:right="1694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26" w:firstLine="602"/>
        <w:spacing w:before="98" w:line="330" w:lineRule="auto"/>
        <w:jc w:val="both"/>
        <w:rPr>
          <w:rFonts w:ascii="SimSun" w:hAnsi="SimSun" w:eastAsia="SimSun" w:cs="SimSun"/>
          <w:sz w:val="30"/>
          <w:szCs w:val="30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280826</wp:posOffset>
            </wp:positionH>
            <wp:positionV relativeFrom="paragraph">
              <wp:posOffset>1142361</wp:posOffset>
            </wp:positionV>
            <wp:extent cx="4729708" cy="265069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9708" cy="2650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0"/>
          <w:szCs w:val="30"/>
          <w:spacing w:val="-13"/>
        </w:rPr>
        <w:t>上半年县域数据能力建设项目</w:t>
      </w:r>
      <w:r>
        <w:rPr>
          <w:rFonts w:ascii="Times New Roman" w:hAnsi="Times New Roman" w:eastAsia="Times New Roman" w:cs="Times New Roman"/>
          <w:sz w:val="18"/>
          <w:szCs w:val="18"/>
          <w:spacing w:val="-13"/>
          <w:position w:val="10"/>
        </w:rPr>
        <w:t>2</w:t>
      </w:r>
      <w:r>
        <w:rPr>
          <w:rFonts w:ascii="SimSun" w:hAnsi="SimSun" w:eastAsia="SimSun" w:cs="SimSun"/>
          <w:sz w:val="30"/>
          <w:szCs w:val="30"/>
          <w:spacing w:val="-13"/>
        </w:rPr>
        <w:t>规模（下文简称“县域规</w:t>
      </w:r>
      <w:r>
        <w:rPr>
          <w:rFonts w:ascii="SimSun" w:hAnsi="SimSun" w:eastAsia="SimSun" w:cs="SimSun"/>
          <w:sz w:val="30"/>
          <w:szCs w:val="30"/>
          <w:spacing w:val="-14"/>
        </w:rPr>
        <w:t>模”）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96.1  </w:t>
      </w:r>
      <w:r>
        <w:rPr>
          <w:rFonts w:ascii="SimSun" w:hAnsi="SimSun" w:eastAsia="SimSun" w:cs="SimSun"/>
          <w:sz w:val="30"/>
          <w:szCs w:val="30"/>
        </w:rPr>
        <w:t>亿，同比增长 </w:t>
      </w:r>
      <w:r>
        <w:rPr>
          <w:rFonts w:ascii="Times New Roman" w:hAnsi="Times New Roman" w:eastAsia="Times New Roman" w:cs="Times New Roman"/>
          <w:sz w:val="30"/>
          <w:szCs w:val="30"/>
        </w:rPr>
        <w:t>34%</w:t>
      </w:r>
      <w:r>
        <w:rPr>
          <w:rFonts w:ascii="SimSun" w:hAnsi="SimSun" w:eastAsia="SimSun" w:cs="SimSun"/>
          <w:sz w:val="30"/>
          <w:szCs w:val="30"/>
        </w:rPr>
        <w:t>，增速领先省市发展，项目份额从去年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30.4%</w:t>
      </w:r>
      <w:r>
        <w:rPr>
          <w:rFonts w:ascii="SimSun" w:hAnsi="SimSun" w:eastAsia="SimSun" w:cs="SimSun"/>
          <w:sz w:val="30"/>
          <w:szCs w:val="30"/>
          <w:spacing w:val="-8"/>
        </w:rPr>
        <w:t>提升到今年的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34.2%</w:t>
      </w:r>
      <w:r>
        <w:rPr>
          <w:rFonts w:ascii="SimSun" w:hAnsi="SimSun" w:eastAsia="SimSun" w:cs="SimSun"/>
          <w:sz w:val="30"/>
          <w:szCs w:val="30"/>
          <w:spacing w:val="-8"/>
        </w:rPr>
        <w:t>，增加</w:t>
      </w:r>
      <w:r>
        <w:rPr>
          <w:rFonts w:ascii="SimSun" w:hAnsi="SimSun" w:eastAsia="SimSun" w:cs="SimSun"/>
          <w:sz w:val="30"/>
          <w:szCs w:val="3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4pp</w:t>
      </w:r>
      <w:r>
        <w:rPr>
          <w:rFonts w:ascii="SimSun" w:hAnsi="SimSun" w:eastAsia="SimSun" w:cs="SimSun"/>
          <w:sz w:val="30"/>
          <w:szCs w:val="30"/>
          <w:spacing w:val="-8"/>
        </w:rPr>
        <w:t>（图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1</w:t>
      </w:r>
      <w:r>
        <w:rPr>
          <w:rFonts w:ascii="SimSun" w:hAnsi="SimSun" w:eastAsia="SimSun" w:cs="SimSun"/>
          <w:sz w:val="30"/>
          <w:szCs w:val="30"/>
          <w:spacing w:val="-8"/>
        </w:rPr>
        <w:t>）。</w:t>
      </w:r>
    </w:p>
    <w:p>
      <w:pPr>
        <w:ind w:left="527"/>
        <w:spacing w:before="177" w:line="177" w:lineRule="exact"/>
        <w:rPr>
          <w:rFonts w:ascii="Calibri" w:hAnsi="Calibri" w:eastAsia="Calibri" w:cs="Calibri"/>
          <w:sz w:val="14"/>
          <w:szCs w:val="14"/>
        </w:rPr>
      </w:pPr>
      <w:r>
        <w:rPr>
          <w:rFonts w:ascii="Calibri" w:hAnsi="Calibri" w:eastAsia="Calibri" w:cs="Calibri"/>
          <w:sz w:val="14"/>
          <w:szCs w:val="14"/>
          <w:b/>
          <w:bCs/>
          <w:color w:val="595959"/>
          <w:position w:val="1"/>
        </w:rPr>
        <w:t>80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sz w:val="14"/>
          <w:szCs w:val="14"/>
          <w:b/>
          <w:bCs/>
          <w:color w:val="595959"/>
          <w:spacing w:val="-1"/>
          <w:position w:val="1"/>
        </w:rPr>
        <w:t xml:space="preserve"> 40%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528"/>
        <w:spacing w:before="42" w:line="178" w:lineRule="exact"/>
        <w:outlineLvl w:val="3"/>
        <w:rPr>
          <w:rFonts w:ascii="Calibri" w:hAnsi="Calibri" w:eastAsia="Calibri" w:cs="Calibri"/>
          <w:sz w:val="14"/>
          <w:szCs w:val="14"/>
        </w:rPr>
      </w:pPr>
      <w:r>
        <w:rPr>
          <w:rFonts w:ascii="Calibri" w:hAnsi="Calibri" w:eastAsia="Calibri" w:cs="Calibri"/>
          <w:sz w:val="14"/>
          <w:szCs w:val="14"/>
          <w:b/>
          <w:bCs/>
          <w:color w:val="595959"/>
          <w:position w:val="1"/>
        </w:rPr>
        <w:t>60                                                                                                                           </w:t>
      </w:r>
      <w:r>
        <w:rPr>
          <w:rFonts w:ascii="Calibri" w:hAnsi="Calibri" w:eastAsia="Calibri" w:cs="Calibri"/>
          <w:sz w:val="14"/>
          <w:szCs w:val="14"/>
          <w:b/>
          <w:bCs/>
          <w:color w:val="595959"/>
          <w:spacing w:val="-1"/>
          <w:position w:val="1"/>
        </w:rPr>
        <w:t xml:space="preserve">                                                                                                  30%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525"/>
        <w:spacing w:before="43" w:line="177" w:lineRule="exact"/>
        <w:outlineLvl w:val="3"/>
        <w:rPr>
          <w:rFonts w:ascii="Calibri" w:hAnsi="Calibri" w:eastAsia="Calibri" w:cs="Calibri"/>
          <w:sz w:val="14"/>
          <w:szCs w:val="14"/>
        </w:rPr>
      </w:pPr>
      <w:r>
        <w:rPr>
          <w:rFonts w:ascii="Calibri" w:hAnsi="Calibri" w:eastAsia="Calibri" w:cs="Calibri"/>
          <w:sz w:val="14"/>
          <w:szCs w:val="14"/>
          <w:b/>
          <w:bCs/>
          <w:color w:val="595959"/>
          <w:position w:val="1"/>
        </w:rPr>
        <w:t>40          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sz w:val="14"/>
          <w:szCs w:val="14"/>
          <w:b/>
          <w:bCs/>
          <w:color w:val="595959"/>
          <w:spacing w:val="-1"/>
          <w:position w:val="1"/>
        </w:rPr>
        <w:t xml:space="preserve">                               20%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528"/>
        <w:spacing w:before="42" w:line="178" w:lineRule="exact"/>
        <w:outlineLvl w:val="3"/>
        <w:rPr>
          <w:rFonts w:ascii="Calibri" w:hAnsi="Calibri" w:eastAsia="Calibri" w:cs="Calibri"/>
          <w:sz w:val="14"/>
          <w:szCs w:val="14"/>
        </w:rPr>
      </w:pPr>
      <w:r>
        <w:rPr>
          <w:rFonts w:ascii="Calibri" w:hAnsi="Calibri" w:eastAsia="Calibri" w:cs="Calibri"/>
          <w:sz w:val="14"/>
          <w:szCs w:val="14"/>
          <w:b/>
          <w:bCs/>
          <w:color w:val="595959"/>
          <w:spacing w:val="-3"/>
          <w:position w:val="1"/>
        </w:rPr>
        <w:t>20</w:t>
      </w:r>
      <w:r>
        <w:rPr>
          <w:rFonts w:ascii="Calibri" w:hAnsi="Calibri" w:eastAsia="Calibri" w:cs="Calibri"/>
          <w:sz w:val="14"/>
          <w:szCs w:val="14"/>
          <w:b/>
          <w:bCs/>
          <w:color w:val="595959"/>
          <w:position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sz w:val="14"/>
          <w:szCs w:val="14"/>
          <w:b/>
          <w:bCs/>
          <w:color w:val="595959"/>
          <w:spacing w:val="-3"/>
          <w:position w:val="1"/>
        </w:rPr>
        <w:t>10%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598"/>
        <w:spacing w:before="42" w:line="178" w:lineRule="exact"/>
        <w:rPr>
          <w:rFonts w:ascii="Calibri" w:hAnsi="Calibri" w:eastAsia="Calibri" w:cs="Calibri"/>
          <w:sz w:val="14"/>
          <w:szCs w:val="14"/>
        </w:rPr>
      </w:pPr>
      <w:r>
        <w:rPr>
          <w:rFonts w:ascii="Calibri" w:hAnsi="Calibri" w:eastAsia="Calibri" w:cs="Calibri"/>
          <w:sz w:val="14"/>
          <w:szCs w:val="14"/>
          <w:b/>
          <w:bCs/>
          <w:color w:val="595959"/>
          <w:position w:val="1"/>
        </w:rPr>
        <w:t>0                                                                                                                            </w:t>
      </w:r>
      <w:r>
        <w:rPr>
          <w:rFonts w:ascii="Calibri" w:hAnsi="Calibri" w:eastAsia="Calibri" w:cs="Calibri"/>
          <w:sz w:val="14"/>
          <w:szCs w:val="14"/>
          <w:b/>
          <w:bCs/>
          <w:color w:val="595959"/>
          <w:spacing w:val="-1"/>
          <w:position w:val="1"/>
        </w:rPr>
        <w:t xml:space="preserve">                                                                                                 0%</w:t>
      </w:r>
    </w:p>
    <w:p>
      <w:pPr>
        <w:ind w:left="1140"/>
        <w:spacing w:line="222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color w:val="595959"/>
          <w:spacing w:val="-1"/>
        </w:rPr>
        <w:t>第一季</w:t>
      </w:r>
      <w:r>
        <w:rPr>
          <w:rFonts w:ascii="SimSun" w:hAnsi="SimSun" w:eastAsia="SimSun" w:cs="SimSun"/>
          <w:sz w:val="14"/>
          <w:szCs w:val="14"/>
          <w:color w:val="595959"/>
          <w:spacing w:val="7"/>
        </w:rPr>
        <w:t xml:space="preserve">         </w:t>
      </w:r>
      <w:r>
        <w:rPr>
          <w:rFonts w:ascii="SimSun" w:hAnsi="SimSun" w:eastAsia="SimSun" w:cs="SimSun"/>
          <w:sz w:val="14"/>
          <w:szCs w:val="14"/>
          <w:b/>
          <w:bCs/>
          <w:color w:val="595959"/>
          <w:spacing w:val="-1"/>
        </w:rPr>
        <w:t>第二季</w:t>
      </w:r>
      <w:r>
        <w:rPr>
          <w:rFonts w:ascii="SimSun" w:hAnsi="SimSun" w:eastAsia="SimSun" w:cs="SimSun"/>
          <w:sz w:val="14"/>
          <w:szCs w:val="14"/>
          <w:color w:val="595959"/>
          <w:spacing w:val="5"/>
        </w:rPr>
        <w:t xml:space="preserve">         </w:t>
      </w:r>
      <w:r>
        <w:rPr>
          <w:rFonts w:ascii="SimSun" w:hAnsi="SimSun" w:eastAsia="SimSun" w:cs="SimSun"/>
          <w:sz w:val="14"/>
          <w:szCs w:val="14"/>
          <w:b/>
          <w:bCs/>
          <w:color w:val="595959"/>
          <w:spacing w:val="-1"/>
        </w:rPr>
        <w:t>第三季</w:t>
      </w:r>
      <w:r>
        <w:rPr>
          <w:rFonts w:ascii="SimSun" w:hAnsi="SimSun" w:eastAsia="SimSun" w:cs="SimSun"/>
          <w:sz w:val="14"/>
          <w:szCs w:val="14"/>
          <w:color w:val="595959"/>
          <w:spacing w:val="6"/>
        </w:rPr>
        <w:t xml:space="preserve">         </w:t>
      </w:r>
      <w:r>
        <w:rPr>
          <w:rFonts w:ascii="SimSun" w:hAnsi="SimSun" w:eastAsia="SimSun" w:cs="SimSun"/>
          <w:sz w:val="14"/>
          <w:szCs w:val="14"/>
          <w:b/>
          <w:bCs/>
          <w:color w:val="595959"/>
          <w:spacing w:val="-1"/>
        </w:rPr>
        <w:t>第四季</w:t>
      </w:r>
      <w:r>
        <w:rPr>
          <w:rFonts w:ascii="SimSun" w:hAnsi="SimSun" w:eastAsia="SimSun" w:cs="SimSun"/>
          <w:sz w:val="14"/>
          <w:szCs w:val="14"/>
          <w:color w:val="595959"/>
          <w:spacing w:val="6"/>
        </w:rPr>
        <w:t xml:space="preserve">         </w:t>
      </w:r>
      <w:r>
        <w:rPr>
          <w:rFonts w:ascii="SimSun" w:hAnsi="SimSun" w:eastAsia="SimSun" w:cs="SimSun"/>
          <w:sz w:val="14"/>
          <w:szCs w:val="14"/>
          <w:b/>
          <w:bCs/>
          <w:color w:val="595959"/>
          <w:spacing w:val="-1"/>
        </w:rPr>
        <w:t>第一季</w:t>
      </w:r>
      <w:r>
        <w:rPr>
          <w:rFonts w:ascii="SimSun" w:hAnsi="SimSun" w:eastAsia="SimSun" w:cs="SimSun"/>
          <w:sz w:val="14"/>
          <w:szCs w:val="14"/>
          <w:color w:val="595959"/>
          <w:spacing w:val="6"/>
        </w:rPr>
        <w:t xml:space="preserve">         </w:t>
      </w:r>
      <w:r>
        <w:rPr>
          <w:rFonts w:ascii="SimSun" w:hAnsi="SimSun" w:eastAsia="SimSun" w:cs="SimSun"/>
          <w:sz w:val="14"/>
          <w:szCs w:val="14"/>
          <w:b/>
          <w:bCs/>
          <w:color w:val="595959"/>
          <w:spacing w:val="-1"/>
        </w:rPr>
        <w:t>第二季</w:t>
      </w:r>
    </w:p>
    <w:p>
      <w:pPr>
        <w:ind w:left="2798"/>
        <w:spacing w:before="115" w:line="184" w:lineRule="exact"/>
        <w:rPr>
          <w:rFonts w:ascii="SimSun" w:hAnsi="SimSun" w:eastAsia="SimSun" w:cs="SimSun"/>
          <w:sz w:val="14"/>
          <w:szCs w:val="14"/>
        </w:rPr>
      </w:pPr>
      <w:r>
        <w:rPr>
          <w:rFonts w:ascii="Calibri" w:hAnsi="Calibri" w:eastAsia="Calibri" w:cs="Calibri"/>
          <w:sz w:val="14"/>
          <w:szCs w:val="14"/>
          <w:b/>
          <w:bCs/>
          <w:color w:val="595959"/>
        </w:rPr>
        <w:t>2022</w:t>
      </w:r>
      <w:r>
        <w:rPr>
          <w:rFonts w:ascii="SimSun" w:hAnsi="SimSun" w:eastAsia="SimSun" w:cs="SimSun"/>
          <w:sz w:val="14"/>
          <w:szCs w:val="14"/>
          <w:b/>
          <w:bCs/>
          <w:color w:val="595959"/>
        </w:rPr>
        <w:t>年</w:t>
      </w:r>
      <w:r>
        <w:rPr>
          <w:rFonts w:ascii="SimSun" w:hAnsi="SimSun" w:eastAsia="SimSun" w:cs="SimSun"/>
          <w:sz w:val="14"/>
          <w:szCs w:val="14"/>
          <w:color w:val="595959"/>
          <w:spacing w:val="1"/>
        </w:rPr>
        <w:t xml:space="preserve">                   </w:t>
      </w:r>
      <w:r>
        <w:rPr>
          <w:rFonts w:ascii="SimSun" w:hAnsi="SimSun" w:eastAsia="SimSun" w:cs="SimSun"/>
          <w:sz w:val="14"/>
          <w:szCs w:val="14"/>
          <w:color w:val="595959"/>
        </w:rPr>
        <w:t xml:space="preserve">                    </w:t>
      </w:r>
      <w:r>
        <w:rPr>
          <w:rFonts w:ascii="Calibri" w:hAnsi="Calibri" w:eastAsia="Calibri" w:cs="Calibri"/>
          <w:sz w:val="14"/>
          <w:szCs w:val="14"/>
          <w:b/>
          <w:bCs/>
          <w:color w:val="595959"/>
        </w:rPr>
        <w:t>2023</w:t>
      </w:r>
      <w:r>
        <w:rPr>
          <w:rFonts w:ascii="SimSun" w:hAnsi="SimSun" w:eastAsia="SimSun" w:cs="SimSun"/>
          <w:sz w:val="14"/>
          <w:szCs w:val="14"/>
          <w:b/>
          <w:bCs/>
          <w:color w:val="595959"/>
        </w:rPr>
        <w:t>上半年</w:t>
      </w:r>
    </w:p>
    <w:p>
      <w:pPr>
        <w:ind w:left="5288"/>
        <w:spacing w:before="1" w:line="229" w:lineRule="auto"/>
        <w:rPr>
          <w:rFonts w:ascii="Calibri" w:hAnsi="Calibri" w:eastAsia="Calibri" w:cs="Calibri"/>
          <w:sz w:val="14"/>
          <w:szCs w:val="14"/>
        </w:rPr>
      </w:pPr>
      <w:r>
        <w:rPr>
          <w:rFonts w:ascii="Calibri" w:hAnsi="Calibri" w:eastAsia="Calibri" w:cs="Calibri"/>
          <w:sz w:val="14"/>
          <w:szCs w:val="14"/>
          <w:b/>
          <w:bCs/>
          <w:color w:val="595959"/>
        </w:rPr>
        <w:t>(</w:t>
      </w:r>
      <w:r>
        <w:rPr>
          <w:rFonts w:ascii="SimSun" w:hAnsi="SimSun" w:eastAsia="SimSun" w:cs="SimSun"/>
          <w:sz w:val="14"/>
          <w:szCs w:val="14"/>
          <w:b/>
          <w:bCs/>
          <w:color w:val="595959"/>
        </w:rPr>
        <w:t>规模同比增长</w:t>
      </w:r>
      <w:r>
        <w:rPr>
          <w:rFonts w:ascii="Calibri" w:hAnsi="Calibri" w:eastAsia="Calibri" w:cs="Calibri"/>
          <w:sz w:val="14"/>
          <w:szCs w:val="14"/>
          <w:b/>
          <w:bCs/>
          <w:color w:val="595959"/>
        </w:rPr>
        <w:t>34.2%,</w:t>
      </w:r>
      <w:r>
        <w:rPr>
          <w:rFonts w:ascii="SimSun" w:hAnsi="SimSun" w:eastAsia="SimSun" w:cs="SimSun"/>
          <w:sz w:val="14"/>
          <w:szCs w:val="14"/>
          <w:b/>
          <w:bCs/>
          <w:color w:val="595959"/>
        </w:rPr>
        <w:t>份额提升</w:t>
      </w:r>
      <w:r>
        <w:rPr>
          <w:rFonts w:ascii="Calibri" w:hAnsi="Calibri" w:eastAsia="Calibri" w:cs="Calibri"/>
          <w:sz w:val="14"/>
          <w:szCs w:val="14"/>
          <w:b/>
          <w:bCs/>
          <w:color w:val="595959"/>
        </w:rPr>
        <w:t>4%)</w:t>
      </w:r>
    </w:p>
    <w:p>
      <w:pPr>
        <w:ind w:left="3019"/>
        <w:spacing w:before="100" w:line="229" w:lineRule="auto"/>
        <w:rPr>
          <w:rFonts w:ascii="Calibri" w:hAnsi="Calibri" w:eastAsia="Calibri" w:cs="Calibr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color w:val="595959"/>
          <w:spacing w:val="1"/>
        </w:rPr>
        <w:t>县域规模</w:t>
      </w:r>
      <w:r>
        <w:rPr>
          <w:rFonts w:ascii="Calibri" w:hAnsi="Calibri" w:eastAsia="Calibri" w:cs="Calibri"/>
          <w:sz w:val="14"/>
          <w:szCs w:val="14"/>
          <w:b/>
          <w:bCs/>
          <w:color w:val="595959"/>
          <w:spacing w:val="1"/>
        </w:rPr>
        <w:t>(</w:t>
      </w:r>
      <w:r>
        <w:rPr>
          <w:rFonts w:ascii="SimSun" w:hAnsi="SimSun" w:eastAsia="SimSun" w:cs="SimSun"/>
          <w:sz w:val="14"/>
          <w:szCs w:val="14"/>
          <w:b/>
          <w:bCs/>
          <w:color w:val="595959"/>
          <w:spacing w:val="1"/>
        </w:rPr>
        <w:t>亿元</w:t>
      </w:r>
      <w:r>
        <w:rPr>
          <w:rFonts w:ascii="Calibri" w:hAnsi="Calibri" w:eastAsia="Calibri" w:cs="Calibri"/>
          <w:sz w:val="14"/>
          <w:szCs w:val="14"/>
          <w:b/>
          <w:bCs/>
          <w:color w:val="595959"/>
          <w:spacing w:val="1"/>
        </w:rPr>
        <w:t>)              </w:t>
      </w:r>
      <w:r>
        <w:rPr>
          <w:rFonts w:ascii="SimSun" w:hAnsi="SimSun" w:eastAsia="SimSun" w:cs="SimSun"/>
          <w:sz w:val="14"/>
          <w:szCs w:val="14"/>
          <w:b/>
          <w:bCs/>
          <w:color w:val="595959"/>
          <w:spacing w:val="1"/>
        </w:rPr>
        <w:t>县域占全国份额</w:t>
      </w:r>
      <w:r>
        <w:rPr>
          <w:rFonts w:ascii="Calibri" w:hAnsi="Calibri" w:eastAsia="Calibri" w:cs="Calibri"/>
          <w:sz w:val="14"/>
          <w:szCs w:val="14"/>
          <w:b/>
          <w:bCs/>
          <w:color w:val="595959"/>
          <w:spacing w:val="1"/>
        </w:rPr>
        <w:t>(%)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left="532"/>
        <w:spacing w:before="98" w:line="231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</w:rPr>
        <w:t>图</w:t>
      </w:r>
      <w:r>
        <w:rPr>
          <w:rFonts w:ascii="KaiTi" w:hAnsi="KaiTi" w:eastAsia="KaiTi" w:cs="KaiTi"/>
          <w:sz w:val="30"/>
          <w:szCs w:val="30"/>
          <w:spacing w:val="-46"/>
        </w:rPr>
        <w:t xml:space="preserve"> </w:t>
      </w:r>
      <w:r>
        <w:rPr>
          <w:rFonts w:ascii="KaiTi" w:hAnsi="KaiTi" w:eastAsia="KaiTi" w:cs="KaiTi"/>
          <w:sz w:val="30"/>
          <w:szCs w:val="30"/>
        </w:rPr>
        <w:t>1</w:t>
      </w:r>
      <w:r>
        <w:rPr>
          <w:rFonts w:ascii="KaiTi" w:hAnsi="KaiTi" w:eastAsia="KaiTi" w:cs="KaiTi"/>
          <w:sz w:val="30"/>
          <w:szCs w:val="30"/>
        </w:rPr>
        <w:t xml:space="preserve">  </w:t>
      </w:r>
      <w:r>
        <w:rPr>
          <w:rFonts w:ascii="KaiTi" w:hAnsi="KaiTi" w:eastAsia="KaiTi" w:cs="KaiTi"/>
          <w:sz w:val="30"/>
          <w:szCs w:val="30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</w:rPr>
        <w:t>~</w:t>
      </w:r>
      <w:r>
        <w:rPr>
          <w:rFonts w:ascii="KaiTi" w:hAnsi="KaiTi" w:eastAsia="KaiTi" w:cs="KaiTi"/>
          <w:sz w:val="30"/>
          <w:szCs w:val="30"/>
        </w:rPr>
        <w:t>2023上半年县域数据能力建设项目规模</w:t>
      </w:r>
      <w:r>
        <w:rPr>
          <w:rFonts w:ascii="KaiTi" w:hAnsi="KaiTi" w:eastAsia="KaiTi" w:cs="KaiTi"/>
          <w:sz w:val="30"/>
          <w:szCs w:val="30"/>
          <w:spacing w:val="-1"/>
        </w:rPr>
        <w:t>状况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ind w:left="624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．东部省县域保持高投入高增长态势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25" w:right="134" w:firstLine="603"/>
        <w:spacing w:before="98" w:line="335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上半年东部五省县域投入规模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33.6 </w:t>
      </w:r>
      <w:r>
        <w:rPr>
          <w:rFonts w:ascii="SimSun" w:hAnsi="SimSun" w:eastAsia="SimSun" w:cs="SimSun"/>
          <w:sz w:val="30"/>
          <w:szCs w:val="30"/>
          <w:spacing w:val="-6"/>
        </w:rPr>
        <w:t>亿，同比增长</w:t>
      </w:r>
      <w:r>
        <w:rPr>
          <w:rFonts w:ascii="SimSun" w:hAnsi="SimSun" w:eastAsia="SimSun" w:cs="SimSun"/>
          <w:sz w:val="30"/>
          <w:szCs w:val="30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40.5%</w:t>
      </w:r>
      <w:r>
        <w:rPr>
          <w:rFonts w:ascii="SimSun" w:hAnsi="SimSun" w:eastAsia="SimSun" w:cs="SimSun"/>
          <w:sz w:val="30"/>
          <w:szCs w:val="30"/>
          <w:spacing w:val="-6"/>
        </w:rPr>
        <w:t>，增</w:t>
      </w:r>
      <w:r>
        <w:rPr>
          <w:rFonts w:ascii="SimSun" w:hAnsi="SimSun" w:eastAsia="SimSun" w:cs="SimSun"/>
          <w:sz w:val="30"/>
          <w:szCs w:val="30"/>
          <w:spacing w:val="-4"/>
        </w:rPr>
        <w:t>速领跑全国，各省投入规模与去年排名基本一致，是全国县域数</w:t>
      </w:r>
      <w:r>
        <w:rPr>
          <w:rFonts w:ascii="SimSun" w:hAnsi="SimSun" w:eastAsia="SimSun" w:cs="SimSun"/>
          <w:sz w:val="30"/>
          <w:szCs w:val="30"/>
          <w:spacing w:val="-4"/>
        </w:rPr>
        <w:t>据建设的先行区域。中西部湖南、陕西、云南、海南投入增幅明</w:t>
      </w:r>
      <w:r>
        <w:rPr>
          <w:rFonts w:ascii="SimSun" w:hAnsi="SimSun" w:eastAsia="SimSun" w:cs="SimSun"/>
          <w:sz w:val="30"/>
          <w:szCs w:val="30"/>
          <w:spacing w:val="-9"/>
        </w:rPr>
        <w:t>显，部分省份建设提速，北方的河南、黑龙江两省投入下降， 千</w:t>
      </w:r>
      <w:r>
        <w:rPr>
          <w:rFonts w:ascii="SimSun" w:hAnsi="SimSun" w:eastAsia="SimSun" w:cs="SimSun"/>
          <w:sz w:val="30"/>
          <w:szCs w:val="30"/>
          <w:spacing w:val="3"/>
        </w:rPr>
        <w:t>万大单减少 </w:t>
      </w:r>
      <w:r>
        <w:rPr>
          <w:rFonts w:ascii="Times New Roman" w:hAnsi="Times New Roman" w:eastAsia="Times New Roman" w:cs="Times New Roman"/>
          <w:sz w:val="30"/>
          <w:szCs w:val="30"/>
          <w:spacing w:val="3"/>
        </w:rPr>
        <w:t>60%</w:t>
      </w:r>
      <w:r>
        <w:rPr>
          <w:rFonts w:ascii="SimSun" w:hAnsi="SimSun" w:eastAsia="SimSun" w:cs="SimSun"/>
          <w:sz w:val="30"/>
          <w:szCs w:val="30"/>
          <w:spacing w:val="3"/>
        </w:rPr>
        <w:t>，下半年可重点关注当地数据管理局建设规划</w:t>
      </w:r>
      <w:r>
        <w:rPr>
          <w:rFonts w:ascii="SimSun" w:hAnsi="SimSun" w:eastAsia="SimSun" w:cs="SimSun"/>
          <w:sz w:val="30"/>
          <w:szCs w:val="30"/>
          <w:spacing w:val="-28"/>
        </w:rPr>
        <w:t>（图</w:t>
      </w:r>
      <w:r>
        <w:rPr>
          <w:rFonts w:ascii="SimSun" w:hAnsi="SimSun" w:eastAsia="SimSun" w:cs="SimSun"/>
          <w:sz w:val="30"/>
          <w:szCs w:val="30"/>
          <w:spacing w:val="-4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8"/>
        </w:rPr>
        <w:t>2</w:t>
      </w:r>
      <w:r>
        <w:rPr>
          <w:rFonts w:ascii="SimSun" w:hAnsi="SimSun" w:eastAsia="SimSun" w:cs="SimSun"/>
          <w:sz w:val="30"/>
          <w:szCs w:val="30"/>
          <w:spacing w:val="-28"/>
        </w:rPr>
        <w:t>）。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pict>
          <v:shape id="_x0000_s4" style="position:absolute;margin-left:0.72599pt;margin-top:9.93644pt;mso-position-vertical-relative:text;mso-position-horizontal-relative:text;width:144.05pt;height:0.5pt;z-index:251660288;" fillcolor="#000000" filled="true" stroked="false" coordsize="2881,10" coordorigin="0,0" path="m0,9l2880,9l2880,0l0,0l0,9xe"/>
        </w:pict>
      </w:r>
      <w:r/>
    </w:p>
    <w:p>
      <w:pPr>
        <w:ind w:left="18" w:right="289" w:firstLine="1"/>
        <w:spacing w:before="72" w:line="243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0"/>
        </w:rPr>
        <w:t>2   </w:t>
      </w:r>
      <w:r>
        <w:rPr>
          <w:rFonts w:ascii="DengXian" w:hAnsi="DengXian" w:eastAsia="DengXian" w:cs="DengXian"/>
          <w:sz w:val="21"/>
          <w:szCs w:val="21"/>
          <w:spacing w:val="-1"/>
        </w:rPr>
        <w:t>本文通过分析公开产数市场招投标项目数据，从项目采购方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、采购地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、采购名称等</w:t>
      </w:r>
      <w:r>
        <w:rPr>
          <w:rFonts w:ascii="DengXian" w:hAnsi="DengXian" w:eastAsia="DengXian" w:cs="DengXian"/>
          <w:sz w:val="21"/>
          <w:szCs w:val="21"/>
          <w:spacing w:val="-2"/>
        </w:rPr>
        <w:t>文本</w:t>
      </w:r>
      <w:r>
        <w:rPr>
          <w:rFonts w:ascii="DengXian" w:hAnsi="DengXian" w:eastAsia="DengXian" w:cs="DengXian"/>
          <w:sz w:val="21"/>
          <w:szCs w:val="21"/>
          <w:spacing w:val="-1"/>
        </w:rPr>
        <w:t>信息中抽取县域数据类项目信息  ，整理出 2022 年以来数据类中标项目集，详见</w:t>
      </w:r>
      <w:r>
        <w:rPr>
          <w:rFonts w:ascii="DengXian" w:hAnsi="DengXian" w:eastAsia="DengXian" w:cs="DengXian"/>
          <w:sz w:val="21"/>
          <w:szCs w:val="21"/>
          <w:spacing w:val="-2"/>
        </w:rPr>
        <w:t>附录 1。</w:t>
      </w:r>
    </w:p>
    <w:p>
      <w:pPr>
        <w:spacing w:line="243" w:lineRule="auto"/>
        <w:sectPr>
          <w:headerReference w:type="default" r:id="rId1"/>
          <w:pgSz w:w="11907" w:h="16839"/>
          <w:pgMar w:top="400" w:right="1667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>
        <w:pict>
          <v:shape id="_x0000_s6" style="position:absolute;margin-left:402.183pt;margin-top:15.0348pt;mso-position-vertical-relative:text;mso-position-horizontal-relative:text;width:10.95pt;height:110.0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/>
                    <w:spacing w:before="20" w:line="172" w:lineRule="exact"/>
                    <w:rPr>
                      <w:rFonts w:ascii="Calibri" w:hAnsi="Calibri" w:eastAsia="Calibri" w:cs="Calibri"/>
                      <w:sz w:val="13"/>
                      <w:szCs w:val="13"/>
                    </w:rPr>
                  </w:pPr>
                  <w:r>
                    <w:rPr>
                      <w:rFonts w:ascii="Calibri" w:hAnsi="Calibri" w:eastAsia="Calibri" w:cs="Calibri"/>
                      <w:sz w:val="13"/>
                      <w:szCs w:val="13"/>
                      <w:b/>
                      <w:bCs/>
                      <w:color w:val="595959"/>
                      <w:spacing w:val="1"/>
                      <w:position w:val="1"/>
                    </w:rPr>
                    <w:t>25</w:t>
                  </w:r>
                </w:p>
                <w:p>
                  <w:pPr>
                    <w:ind w:left="22"/>
                    <w:spacing w:before="76" w:line="172" w:lineRule="exact"/>
                    <w:rPr>
                      <w:rFonts w:ascii="Calibri" w:hAnsi="Calibri" w:eastAsia="Calibri" w:cs="Calibri"/>
                      <w:sz w:val="13"/>
                      <w:szCs w:val="13"/>
                    </w:rPr>
                  </w:pPr>
                  <w:r>
                    <w:rPr>
                      <w:rFonts w:ascii="Calibri" w:hAnsi="Calibri" w:eastAsia="Calibri" w:cs="Calibri"/>
                      <w:sz w:val="13"/>
                      <w:szCs w:val="13"/>
                      <w:b/>
                      <w:bCs/>
                      <w:color w:val="595959"/>
                      <w:spacing w:val="1"/>
                      <w:position w:val="1"/>
                    </w:rPr>
                    <w:t>20</w:t>
                  </w:r>
                </w:p>
                <w:p>
                  <w:pPr>
                    <w:ind w:left="26"/>
                    <w:spacing w:before="76" w:line="172" w:lineRule="exact"/>
                    <w:rPr>
                      <w:rFonts w:ascii="Calibri" w:hAnsi="Calibri" w:eastAsia="Calibri" w:cs="Calibri"/>
                      <w:sz w:val="13"/>
                      <w:szCs w:val="13"/>
                    </w:rPr>
                  </w:pPr>
                  <w:r>
                    <w:rPr>
                      <w:rFonts w:ascii="Calibri" w:hAnsi="Calibri" w:eastAsia="Calibri" w:cs="Calibri"/>
                      <w:sz w:val="13"/>
                      <w:szCs w:val="13"/>
                      <w:b/>
                      <w:bCs/>
                      <w:color w:val="595959"/>
                      <w:spacing w:val="-1"/>
                      <w:position w:val="1"/>
                    </w:rPr>
                    <w:t>15</w:t>
                  </w:r>
                </w:p>
                <w:p>
                  <w:pPr>
                    <w:ind w:left="26"/>
                    <w:spacing w:before="76" w:line="172" w:lineRule="exact"/>
                    <w:rPr>
                      <w:rFonts w:ascii="Calibri" w:hAnsi="Calibri" w:eastAsia="Calibri" w:cs="Calibri"/>
                      <w:sz w:val="13"/>
                      <w:szCs w:val="13"/>
                    </w:rPr>
                  </w:pPr>
                  <w:r>
                    <w:rPr>
                      <w:rFonts w:ascii="Calibri" w:hAnsi="Calibri" w:eastAsia="Calibri" w:cs="Calibri"/>
                      <w:sz w:val="13"/>
                      <w:szCs w:val="13"/>
                      <w:b/>
                      <w:bCs/>
                      <w:color w:val="595959"/>
                      <w:spacing w:val="-1"/>
                      <w:position w:val="1"/>
                    </w:rPr>
                    <w:t>10</w:t>
                  </w:r>
                </w:p>
                <w:p>
                  <w:pPr>
                    <w:ind w:left="22"/>
                    <w:spacing w:before="76" w:line="172" w:lineRule="exact"/>
                    <w:rPr>
                      <w:rFonts w:ascii="Calibri" w:hAnsi="Calibri" w:eastAsia="Calibri" w:cs="Calibri"/>
                      <w:sz w:val="13"/>
                      <w:szCs w:val="13"/>
                    </w:rPr>
                  </w:pPr>
                  <w:r>
                    <w:rPr>
                      <w:rFonts w:ascii="Calibri" w:hAnsi="Calibri" w:eastAsia="Calibri" w:cs="Calibri"/>
                      <w:sz w:val="13"/>
                      <w:szCs w:val="13"/>
                      <w:b/>
                      <w:bCs/>
                      <w:color w:val="595959"/>
                      <w:position w:val="1"/>
                    </w:rPr>
                    <w:t>5</w:t>
                  </w:r>
                </w:p>
                <w:p>
                  <w:pPr>
                    <w:ind w:left="20"/>
                    <w:spacing w:before="76" w:line="172" w:lineRule="exact"/>
                    <w:rPr>
                      <w:rFonts w:ascii="Calibri" w:hAnsi="Calibri" w:eastAsia="Calibri" w:cs="Calibri"/>
                      <w:sz w:val="13"/>
                      <w:szCs w:val="13"/>
                    </w:rPr>
                  </w:pPr>
                  <w:r>
                    <w:rPr>
                      <w:rFonts w:ascii="Calibri" w:hAnsi="Calibri" w:eastAsia="Calibri" w:cs="Calibri"/>
                      <w:sz w:val="13"/>
                      <w:szCs w:val="13"/>
                      <w:b/>
                      <w:bCs/>
                      <w:color w:val="595959"/>
                      <w:position w:val="1"/>
                    </w:rPr>
                    <w:t>0</w:t>
                  </w:r>
                </w:p>
                <w:p>
                  <w:pPr>
                    <w:ind w:left="20"/>
                    <w:spacing w:before="77" w:line="172" w:lineRule="exact"/>
                    <w:rPr>
                      <w:rFonts w:ascii="Calibri" w:hAnsi="Calibri" w:eastAsia="Calibri" w:cs="Calibri"/>
                      <w:sz w:val="13"/>
                      <w:szCs w:val="13"/>
                    </w:rPr>
                  </w:pPr>
                  <w:r>
                    <w:rPr>
                      <w:rFonts w:ascii="Calibri" w:hAnsi="Calibri" w:eastAsia="Calibri" w:cs="Calibri"/>
                      <w:sz w:val="13"/>
                      <w:szCs w:val="13"/>
                      <w:b/>
                      <w:bCs/>
                      <w:color w:val="595959"/>
                      <w:spacing w:val="1"/>
                      <w:position w:val="1"/>
                    </w:rPr>
                    <w:t>-5</w:t>
                  </w:r>
                </w:p>
                <w:p>
                  <w:pPr>
                    <w:ind w:left="20"/>
                    <w:spacing w:before="76" w:line="172" w:lineRule="exact"/>
                    <w:rPr>
                      <w:rFonts w:ascii="Calibri" w:hAnsi="Calibri" w:eastAsia="Calibri" w:cs="Calibri"/>
                      <w:sz w:val="13"/>
                      <w:szCs w:val="13"/>
                    </w:rPr>
                  </w:pPr>
                  <w:r>
                    <w:rPr>
                      <w:rFonts w:ascii="Calibri" w:hAnsi="Calibri" w:eastAsia="Calibri" w:cs="Calibri"/>
                      <w:sz w:val="13"/>
                      <w:szCs w:val="13"/>
                      <w:b/>
                      <w:bCs/>
                      <w:color w:val="595959"/>
                      <w:spacing w:val="2"/>
                      <w:position w:val="1"/>
                    </w:rPr>
                    <w:t>-10</w:t>
                  </w:r>
                </w:p>
                <w:p>
                  <w:pPr>
                    <w:ind w:left="20"/>
                    <w:spacing w:before="77" w:line="172" w:lineRule="exact"/>
                    <w:rPr>
                      <w:rFonts w:ascii="Calibri" w:hAnsi="Calibri" w:eastAsia="Calibri" w:cs="Calibri"/>
                      <w:sz w:val="13"/>
                      <w:szCs w:val="13"/>
                    </w:rPr>
                  </w:pPr>
                  <w:r>
                    <w:rPr>
                      <w:rFonts w:ascii="Calibri" w:hAnsi="Calibri" w:eastAsia="Calibri" w:cs="Calibri"/>
                      <w:sz w:val="13"/>
                      <w:szCs w:val="13"/>
                      <w:b/>
                      <w:bCs/>
                      <w:color w:val="595959"/>
                      <w:spacing w:val="2"/>
                      <w:position w:val="1"/>
                    </w:rPr>
                    <w:t>-15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9537</wp:posOffset>
            </wp:positionH>
            <wp:positionV relativeFrom="paragraph">
              <wp:posOffset>152206</wp:posOffset>
            </wp:positionV>
            <wp:extent cx="5273669" cy="2321504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669" cy="2321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9"/>
        <w:spacing w:before="39" w:line="173" w:lineRule="exact"/>
        <w:rPr>
          <w:rFonts w:ascii="Calibri" w:hAnsi="Calibri" w:eastAsia="Calibri" w:cs="Calibri"/>
          <w:sz w:val="13"/>
          <w:szCs w:val="13"/>
        </w:rPr>
      </w:pPr>
      <w:r>
        <w:rPr>
          <w:rFonts w:ascii="Calibri" w:hAnsi="Calibri" w:eastAsia="Calibri" w:cs="Calibri"/>
          <w:sz w:val="13"/>
          <w:szCs w:val="13"/>
          <w:b/>
          <w:bCs/>
          <w:color w:val="595959"/>
          <w:spacing w:val="2"/>
          <w:position w:val="1"/>
        </w:rPr>
        <w:t>20.00</w:t>
      </w:r>
    </w:p>
    <w:p>
      <w:pPr>
        <w:ind w:left="103"/>
        <w:spacing w:before="225" w:line="172" w:lineRule="exact"/>
        <w:rPr>
          <w:rFonts w:ascii="Calibri" w:hAnsi="Calibri" w:eastAsia="Calibri" w:cs="Calibri"/>
          <w:sz w:val="13"/>
          <w:szCs w:val="13"/>
        </w:rPr>
      </w:pPr>
      <w:r>
        <w:rPr>
          <w:rFonts w:ascii="Calibri" w:hAnsi="Calibri" w:eastAsia="Calibri" w:cs="Calibri"/>
          <w:sz w:val="13"/>
          <w:szCs w:val="13"/>
          <w:b/>
          <w:bCs/>
          <w:color w:val="595959"/>
          <w:spacing w:val="1"/>
          <w:position w:val="1"/>
        </w:rPr>
        <w:t>16.00</w:t>
      </w:r>
    </w:p>
    <w:p>
      <w:pPr>
        <w:ind w:left="103"/>
        <w:spacing w:before="225" w:line="172" w:lineRule="exact"/>
        <w:rPr>
          <w:rFonts w:ascii="Calibri" w:hAnsi="Calibri" w:eastAsia="Calibri" w:cs="Calibri"/>
          <w:sz w:val="13"/>
          <w:szCs w:val="13"/>
        </w:rPr>
      </w:pPr>
      <w:r>
        <w:rPr>
          <w:rFonts w:ascii="Calibri" w:hAnsi="Calibri" w:eastAsia="Calibri" w:cs="Calibri"/>
          <w:sz w:val="13"/>
          <w:szCs w:val="13"/>
          <w:b/>
          <w:bCs/>
          <w:color w:val="595959"/>
          <w:spacing w:val="1"/>
          <w:position w:val="1"/>
        </w:rPr>
        <w:t>12.00</w:t>
      </w:r>
    </w:p>
    <w:p>
      <w:pPr>
        <w:ind w:left="168"/>
        <w:spacing w:before="225" w:line="172" w:lineRule="exact"/>
        <w:rPr>
          <w:rFonts w:ascii="Calibri" w:hAnsi="Calibri" w:eastAsia="Calibri" w:cs="Calibri"/>
          <w:sz w:val="13"/>
          <w:szCs w:val="13"/>
        </w:rPr>
      </w:pPr>
      <w:r>
        <w:rPr>
          <w:rFonts w:ascii="Calibri" w:hAnsi="Calibri" w:eastAsia="Calibri" w:cs="Calibri"/>
          <w:sz w:val="13"/>
          <w:szCs w:val="13"/>
          <w:b/>
          <w:bCs/>
          <w:color w:val="595959"/>
          <w:spacing w:val="2"/>
          <w:position w:val="1"/>
        </w:rPr>
        <w:t>8.00</w:t>
      </w:r>
    </w:p>
    <w:p>
      <w:pPr>
        <w:ind w:left="166"/>
        <w:spacing w:before="226" w:line="171" w:lineRule="exact"/>
        <w:rPr>
          <w:rFonts w:ascii="Calibri" w:hAnsi="Calibri" w:eastAsia="Calibri" w:cs="Calibri"/>
          <w:sz w:val="13"/>
          <w:szCs w:val="13"/>
        </w:rPr>
      </w:pPr>
      <w:r>
        <w:rPr>
          <w:rFonts w:ascii="Calibri" w:hAnsi="Calibri" w:eastAsia="Calibri" w:cs="Calibri"/>
          <w:sz w:val="13"/>
          <w:szCs w:val="13"/>
          <w:b/>
          <w:bCs/>
          <w:color w:val="595959"/>
          <w:spacing w:val="2"/>
          <w:position w:val="1"/>
        </w:rPr>
        <w:t>4.00</w:t>
      </w:r>
    </w:p>
    <w:p>
      <w:pPr>
        <w:ind w:left="167"/>
        <w:spacing w:before="226" w:line="172" w:lineRule="exact"/>
        <w:rPr>
          <w:rFonts w:ascii="Calibri" w:hAnsi="Calibri" w:eastAsia="Calibri" w:cs="Calibri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2208577</wp:posOffset>
                </wp:positionH>
                <wp:positionV relativeFrom="paragraph">
                  <wp:posOffset>-1618578</wp:posOffset>
                </wp:positionV>
                <wp:extent cx="228600" cy="3938904"/>
                <wp:effectExtent l="0" t="0" r="0" b="0"/>
                <wp:wrapNone/>
                <wp:docPr id="6" name="TextBox 6"/>
                <wp:cNvGraphicFramePr/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16200000">
                          <a:off x="2208577" y="-1618578"/>
                          <a:ext cx="228600" cy="39389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222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2"/>
                              </w:rPr>
                              <w:t>广东</w:t>
                            </w:r>
                          </w:p>
                          <w:p>
                            <w:pPr>
                              <w:ind w:left="21"/>
                              <w:spacing w:before="45" w:line="222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3"/>
                              </w:rPr>
                              <w:t>江苏</w:t>
                            </w:r>
                          </w:p>
                          <w:p>
                            <w:pPr>
                              <w:ind w:left="21"/>
                              <w:spacing w:before="44" w:line="225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3"/>
                              </w:rPr>
                              <w:t>浙江</w:t>
                            </w:r>
                          </w:p>
                          <w:p>
                            <w:pPr>
                              <w:ind w:left="20"/>
                              <w:spacing w:before="42" w:line="223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2"/>
                              </w:rPr>
                              <w:t>福建</w:t>
                            </w:r>
                          </w:p>
                          <w:p>
                            <w:pPr>
                              <w:ind w:left="21"/>
                              <w:spacing w:before="44" w:line="223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3"/>
                              </w:rPr>
                              <w:t>上海</w:t>
                            </w:r>
                          </w:p>
                          <w:p>
                            <w:pPr>
                              <w:ind w:left="23"/>
                              <w:spacing w:before="45" w:line="222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3"/>
                              </w:rPr>
                              <w:t>安徽</w:t>
                            </w:r>
                          </w:p>
                          <w:p>
                            <w:pPr>
                              <w:ind w:left="20"/>
                              <w:spacing w:before="44" w:line="224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2"/>
                              </w:rPr>
                              <w:t>湖北</w:t>
                            </w:r>
                          </w:p>
                          <w:p>
                            <w:pPr>
                              <w:ind w:left="35"/>
                              <w:spacing w:before="43" w:line="222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6"/>
                              </w:rPr>
                              <w:t>四川</w:t>
                            </w:r>
                          </w:p>
                          <w:p>
                            <w:pPr>
                              <w:ind w:left="20"/>
                              <w:spacing w:before="46" w:line="224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2"/>
                              </w:rPr>
                              <w:t>湖南</w:t>
                            </w:r>
                          </w:p>
                          <w:p>
                            <w:pPr>
                              <w:ind w:left="32"/>
                              <w:spacing w:before="43" w:line="222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5"/>
                              </w:rPr>
                              <w:t>陕西</w:t>
                            </w:r>
                          </w:p>
                          <w:p>
                            <w:pPr>
                              <w:ind w:left="21"/>
                              <w:spacing w:before="45" w:line="225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3"/>
                              </w:rPr>
                              <w:t>江西</w:t>
                            </w:r>
                          </w:p>
                          <w:p>
                            <w:pPr>
                              <w:ind w:left="20"/>
                              <w:spacing w:before="43" w:line="223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2"/>
                              </w:rPr>
                              <w:t>广西</w:t>
                            </w:r>
                          </w:p>
                          <w:p>
                            <w:pPr>
                              <w:ind w:left="22"/>
                              <w:spacing w:before="44" w:line="221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3"/>
                              </w:rPr>
                              <w:t>贵州</w:t>
                            </w:r>
                          </w:p>
                          <w:p>
                            <w:pPr>
                              <w:ind w:left="25"/>
                              <w:spacing w:before="45" w:line="224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4"/>
                              </w:rPr>
                              <w:t>云南</w:t>
                            </w:r>
                          </w:p>
                          <w:p>
                            <w:pPr>
                              <w:ind w:left="21"/>
                              <w:spacing w:before="44" w:line="222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3"/>
                              </w:rPr>
                              <w:t>重庆</w:t>
                            </w:r>
                          </w:p>
                          <w:p>
                            <w:pPr>
                              <w:ind w:left="20"/>
                              <w:spacing w:before="45" w:line="221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2"/>
                              </w:rPr>
                              <w:t>甘肃</w:t>
                            </w:r>
                          </w:p>
                          <w:p>
                            <w:pPr>
                              <w:ind w:left="20"/>
                              <w:spacing w:before="46" w:line="223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2"/>
                              </w:rPr>
                              <w:t>海南</w:t>
                            </w:r>
                          </w:p>
                          <w:p>
                            <w:pPr>
                              <w:ind w:left="21"/>
                              <w:spacing w:before="45" w:line="222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3"/>
                              </w:rPr>
                              <w:t>新疆</w:t>
                            </w:r>
                          </w:p>
                          <w:p>
                            <w:pPr>
                              <w:ind w:left="20"/>
                              <w:spacing w:before="44" w:line="221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2"/>
                              </w:rPr>
                              <w:t>青海</w:t>
                            </w:r>
                          </w:p>
                          <w:p>
                            <w:pPr>
                              <w:ind w:left="24"/>
                              <w:spacing w:before="46" w:line="222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3"/>
                              </w:rPr>
                              <w:t>西藏</w:t>
                            </w:r>
                          </w:p>
                          <w:p>
                            <w:pPr>
                              <w:ind w:left="28"/>
                              <w:spacing w:before="45" w:line="223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5"/>
                              </w:rPr>
                              <w:t>宁夏</w:t>
                            </w:r>
                          </w:p>
                          <w:p>
                            <w:pPr>
                              <w:ind w:left="35"/>
                              <w:spacing w:before="44" w:line="222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6"/>
                              </w:rPr>
                              <w:t>山东</w:t>
                            </w:r>
                          </w:p>
                          <w:p>
                            <w:pPr>
                              <w:ind w:left="20"/>
                              <w:spacing w:before="45" w:line="224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2"/>
                              </w:rPr>
                              <w:t>河北</w:t>
                            </w:r>
                          </w:p>
                          <w:p>
                            <w:pPr>
                              <w:ind w:left="23"/>
                              <w:spacing w:before="43" w:line="222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3"/>
                              </w:rPr>
                              <w:t>北京</w:t>
                            </w:r>
                          </w:p>
                          <w:p>
                            <w:pPr>
                              <w:ind w:left="35"/>
                              <w:spacing w:before="45" w:line="226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6"/>
                              </w:rPr>
                              <w:t>山西</w:t>
                            </w:r>
                          </w:p>
                          <w:p>
                            <w:pPr>
                              <w:ind w:left="20"/>
                              <w:spacing w:before="74" w:line="224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2"/>
                              </w:rPr>
                              <w:t>河南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margin-left:173.904pt;margin-top:-127.447pt;mso-position-vertical-relative:text;mso-position-horizontal-relative:text;width:18pt;height:310.15pt;z-index:2516633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222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2"/>
                        </w:rPr>
                        <w:t>广东</w:t>
                      </w:r>
                    </w:p>
                    <w:p>
                      <w:pPr>
                        <w:ind w:left="21"/>
                        <w:spacing w:before="45" w:line="222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3"/>
                        </w:rPr>
                        <w:t>江苏</w:t>
                      </w:r>
                    </w:p>
                    <w:p>
                      <w:pPr>
                        <w:ind w:left="21"/>
                        <w:spacing w:before="44" w:line="225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3"/>
                        </w:rPr>
                        <w:t>浙江</w:t>
                      </w:r>
                    </w:p>
                    <w:p>
                      <w:pPr>
                        <w:ind w:left="20"/>
                        <w:spacing w:before="42" w:line="223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2"/>
                        </w:rPr>
                        <w:t>福建</w:t>
                      </w:r>
                    </w:p>
                    <w:p>
                      <w:pPr>
                        <w:ind w:left="21"/>
                        <w:spacing w:before="44" w:line="223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3"/>
                        </w:rPr>
                        <w:t>上海</w:t>
                      </w:r>
                    </w:p>
                    <w:p>
                      <w:pPr>
                        <w:ind w:left="23"/>
                        <w:spacing w:before="45" w:line="222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3"/>
                        </w:rPr>
                        <w:t>安徽</w:t>
                      </w:r>
                    </w:p>
                    <w:p>
                      <w:pPr>
                        <w:ind w:left="20"/>
                        <w:spacing w:before="44" w:line="224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2"/>
                        </w:rPr>
                        <w:t>湖北</w:t>
                      </w:r>
                    </w:p>
                    <w:p>
                      <w:pPr>
                        <w:ind w:left="35"/>
                        <w:spacing w:before="43" w:line="222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6"/>
                        </w:rPr>
                        <w:t>四川</w:t>
                      </w:r>
                    </w:p>
                    <w:p>
                      <w:pPr>
                        <w:ind w:left="20"/>
                        <w:spacing w:before="46" w:line="224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2"/>
                        </w:rPr>
                        <w:t>湖南</w:t>
                      </w:r>
                    </w:p>
                    <w:p>
                      <w:pPr>
                        <w:ind w:left="32"/>
                        <w:spacing w:before="43" w:line="222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5"/>
                        </w:rPr>
                        <w:t>陕西</w:t>
                      </w:r>
                    </w:p>
                    <w:p>
                      <w:pPr>
                        <w:ind w:left="21"/>
                        <w:spacing w:before="45" w:line="225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3"/>
                        </w:rPr>
                        <w:t>江西</w:t>
                      </w:r>
                    </w:p>
                    <w:p>
                      <w:pPr>
                        <w:ind w:left="20"/>
                        <w:spacing w:before="43" w:line="223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2"/>
                        </w:rPr>
                        <w:t>广西</w:t>
                      </w:r>
                    </w:p>
                    <w:p>
                      <w:pPr>
                        <w:ind w:left="22"/>
                        <w:spacing w:before="44" w:line="221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3"/>
                        </w:rPr>
                        <w:t>贵州</w:t>
                      </w:r>
                    </w:p>
                    <w:p>
                      <w:pPr>
                        <w:ind w:left="25"/>
                        <w:spacing w:before="45" w:line="224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4"/>
                        </w:rPr>
                        <w:t>云南</w:t>
                      </w:r>
                    </w:p>
                    <w:p>
                      <w:pPr>
                        <w:ind w:left="21"/>
                        <w:spacing w:before="44" w:line="222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3"/>
                        </w:rPr>
                        <w:t>重庆</w:t>
                      </w:r>
                    </w:p>
                    <w:p>
                      <w:pPr>
                        <w:ind w:left="20"/>
                        <w:spacing w:before="45" w:line="221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2"/>
                        </w:rPr>
                        <w:t>甘肃</w:t>
                      </w:r>
                    </w:p>
                    <w:p>
                      <w:pPr>
                        <w:ind w:left="20"/>
                        <w:spacing w:before="46" w:line="223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2"/>
                        </w:rPr>
                        <w:t>海南</w:t>
                      </w:r>
                    </w:p>
                    <w:p>
                      <w:pPr>
                        <w:ind w:left="21"/>
                        <w:spacing w:before="45" w:line="222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3"/>
                        </w:rPr>
                        <w:t>新疆</w:t>
                      </w:r>
                    </w:p>
                    <w:p>
                      <w:pPr>
                        <w:ind w:left="20"/>
                        <w:spacing w:before="44" w:line="221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2"/>
                        </w:rPr>
                        <w:t>青海</w:t>
                      </w:r>
                    </w:p>
                    <w:p>
                      <w:pPr>
                        <w:ind w:left="24"/>
                        <w:spacing w:before="46" w:line="222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3"/>
                        </w:rPr>
                        <w:t>西藏</w:t>
                      </w:r>
                    </w:p>
                    <w:p>
                      <w:pPr>
                        <w:ind w:left="28"/>
                        <w:spacing w:before="45" w:line="223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5"/>
                        </w:rPr>
                        <w:t>宁夏</w:t>
                      </w:r>
                    </w:p>
                    <w:p>
                      <w:pPr>
                        <w:ind w:left="35"/>
                        <w:spacing w:before="44" w:line="222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6"/>
                        </w:rPr>
                        <w:t>山东</w:t>
                      </w:r>
                    </w:p>
                    <w:p>
                      <w:pPr>
                        <w:ind w:left="20"/>
                        <w:spacing w:before="45" w:line="224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2"/>
                        </w:rPr>
                        <w:t>河北</w:t>
                      </w:r>
                    </w:p>
                    <w:p>
                      <w:pPr>
                        <w:ind w:left="23"/>
                        <w:spacing w:before="43" w:line="222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3"/>
                        </w:rPr>
                        <w:t>北京</w:t>
                      </w:r>
                    </w:p>
                    <w:p>
                      <w:pPr>
                        <w:ind w:left="35"/>
                        <w:spacing w:before="45" w:line="226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6"/>
                        </w:rPr>
                        <w:t>山西</w:t>
                      </w:r>
                    </w:p>
                    <w:p>
                      <w:pPr>
                        <w:ind w:left="20"/>
                        <w:spacing w:before="74" w:line="224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2"/>
                        </w:rPr>
                        <w:t>河南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4198672</wp:posOffset>
                </wp:positionH>
                <wp:positionV relativeFrom="paragraph">
                  <wp:posOffset>312443</wp:posOffset>
                </wp:positionV>
                <wp:extent cx="319404" cy="167004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16200000">
                          <a:off x="4198672" y="312443"/>
                          <a:ext cx="319404" cy="1670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9" w:line="222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6"/>
                              </w:rPr>
                              <w:t>内蒙古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330.604pt;margin-top:24.6019pt;mso-position-vertical-relative:text;mso-position-horizontal-relative:text;width:25.15pt;height:13.15pt;z-index:2516705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9" w:line="222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6"/>
                        </w:rPr>
                        <w:t>内蒙古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4546751</wp:posOffset>
                </wp:positionH>
                <wp:positionV relativeFrom="paragraph">
                  <wp:posOffset>115251</wp:posOffset>
                </wp:positionV>
                <wp:extent cx="226059" cy="468630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16200000">
                          <a:off x="4546751" y="115251"/>
                          <a:ext cx="226059" cy="4686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2"/>
                              <w:spacing w:before="19" w:line="222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4"/>
                              </w:rPr>
                              <w:t>吉林</w:t>
                            </w:r>
                          </w:p>
                          <w:p>
                            <w:pPr>
                              <w:ind w:left="20"/>
                              <w:spacing w:before="45" w:line="223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3"/>
                              </w:rPr>
                              <w:t>辽宁</w:t>
                            </w:r>
                          </w:p>
                          <w:p>
                            <w:pPr>
                              <w:ind w:left="20"/>
                              <w:spacing w:before="74" w:line="222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3"/>
                              </w:rPr>
                              <w:t>天津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358.012pt;margin-top:9.07495pt;mso-position-vertical-relative:text;mso-position-horizontal-relative:text;width:17.8pt;height:36.9pt;z-index:2516684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2"/>
                        <w:spacing w:before="19" w:line="222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4"/>
                        </w:rPr>
                        <w:t>吉林</w:t>
                      </w:r>
                    </w:p>
                    <w:p>
                      <w:pPr>
                        <w:ind w:left="20"/>
                        <w:spacing w:before="45" w:line="223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3"/>
                        </w:rPr>
                        <w:t>辽宁</w:t>
                      </w:r>
                    </w:p>
                    <w:p>
                      <w:pPr>
                        <w:ind w:left="20"/>
                        <w:spacing w:before="74" w:line="222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3"/>
                        </w:rPr>
                        <w:t>天津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4796908</wp:posOffset>
                </wp:positionH>
                <wp:positionV relativeFrom="paragraph">
                  <wp:posOffset>317273</wp:posOffset>
                </wp:positionV>
                <wp:extent cx="328929" cy="167004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16200000">
                          <a:off x="4796908" y="317273"/>
                          <a:ext cx="328929" cy="1670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9" w:line="222" w:lineRule="auto"/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6"/>
                                <w:szCs w:val="16"/>
                                <w:b/>
                                <w:bCs/>
                                <w:color w:val="595959"/>
                                <w:spacing w:val="-3"/>
                              </w:rPr>
                              <w:t>黑龙江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377.709pt;margin-top:24.9822pt;mso-position-vertical-relative:text;mso-position-horizontal-relative:text;width:25.9pt;height:13.15pt;z-index:2516695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9" w:line="222" w:lineRule="auto"/>
                        <w:rPr>
                          <w:rFonts w:ascii="SimSun" w:hAnsi="SimSun" w:eastAsia="SimSun" w:cs="SimSun"/>
                          <w:sz w:val="16"/>
                          <w:szCs w:val="16"/>
                        </w:rPr>
                      </w:pPr>
                      <w:r>
                        <w:rPr>
                          <w:rFonts w:ascii="SimSun" w:hAnsi="SimSun" w:eastAsia="SimSun" w:cs="SimSun"/>
                          <w:sz w:val="16"/>
                          <w:szCs w:val="16"/>
                          <w:b/>
                          <w:bCs/>
                          <w:color w:val="595959"/>
                          <w:spacing w:val="-3"/>
                        </w:rPr>
                        <w:t>黑龙江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eastAsia="Calibri" w:cs="Calibri"/>
          <w:sz w:val="13"/>
          <w:szCs w:val="13"/>
          <w:b/>
          <w:bCs/>
          <w:color w:val="595959"/>
          <w:spacing w:val="2"/>
          <w:position w:val="1"/>
        </w:rPr>
        <w:t>0.00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6064" w:right="911" w:firstLine="118"/>
        <w:spacing w:before="52" w:line="242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16" style="position:absolute;margin-left:28.6598pt;margin-top:1.62387pt;mso-position-vertical-relative:text;mso-position-horizontal-relative:text;width:59.55pt;height:22.4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31"/>
                    <w:spacing w:before="20" w:line="235" w:lineRule="auto"/>
                    <w:rPr>
                      <w:rFonts w:ascii="Calibri" w:hAnsi="Calibri" w:eastAsia="Calibri" w:cs="Calibri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b/>
                      <w:bCs/>
                      <w:color w:val="595959"/>
                      <w:spacing w:val="-1"/>
                    </w:rPr>
                    <w:t>东部县域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b/>
                      <w:bCs/>
                      <w:color w:val="595959"/>
                      <w:spacing w:val="-1"/>
                    </w:rPr>
                    <w:t>33.6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b/>
                      <w:bCs/>
                      <w:color w:val="595959"/>
                      <w:spacing w:val="-1"/>
                    </w:rPr>
                    <w:t>亿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b/>
                      <w:bCs/>
                      <w:color w:val="595959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b/>
                      <w:bCs/>
                      <w:color w:val="595959"/>
                    </w:rPr>
                    <w:t>同比增长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b/>
                      <w:bCs/>
                      <w:color w:val="595959"/>
                    </w:rPr>
                    <w:t>40.5%)</w:t>
                  </w:r>
                </w:p>
              </w:txbxContent>
            </v:textbox>
          </v:shape>
        </w:pict>
      </w:r>
      <w:r>
        <w:pict>
          <v:shape id="_x0000_s18" style="position:absolute;margin-left:147.882pt;margin-top:1.62387pt;mso-position-vertical-relative:text;mso-position-horizontal-relative:text;width:69.95pt;height:23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69"/>
                    <w:spacing w:before="20" w:line="242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b/>
                      <w:bCs/>
                      <w:color w:val="595959"/>
                      <w:spacing w:val="-2"/>
                    </w:rPr>
                    <w:t>中西部县域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b/>
                      <w:bCs/>
                      <w:color w:val="595959"/>
                      <w:spacing w:val="-2"/>
                    </w:rPr>
                    <w:t>42.4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b/>
                      <w:bCs/>
                      <w:color w:val="595959"/>
                      <w:spacing w:val="-2"/>
                    </w:rPr>
                    <w:t>亿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b/>
                      <w:bCs/>
                      <w:color w:val="595959"/>
                      <w:spacing w:val="-2"/>
                    </w:rPr>
                    <w:t>（同比增长</w:t>
                  </w:r>
                  <w:r>
                    <w:rPr>
                      <w:rFonts w:ascii="Calibri" w:hAnsi="Calibri" w:eastAsia="Calibri" w:cs="Calibri"/>
                      <w:sz w:val="16"/>
                      <w:szCs w:val="16"/>
                      <w:b/>
                      <w:bCs/>
                      <w:color w:val="595959"/>
                      <w:spacing w:val="-2"/>
                    </w:rPr>
                    <w:t>29.5%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b/>
                      <w:bCs/>
                      <w:color w:val="595959"/>
                      <w:spacing w:val="-2"/>
                    </w:rPr>
                    <w:t>）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b/>
          <w:bCs/>
          <w:color w:val="595959"/>
          <w:spacing w:val="-1"/>
        </w:rPr>
        <w:t>北方省县域</w:t>
      </w:r>
      <w:r>
        <w:rPr>
          <w:rFonts w:ascii="Calibri" w:hAnsi="Calibri" w:eastAsia="Calibri" w:cs="Calibri"/>
          <w:sz w:val="16"/>
          <w:szCs w:val="16"/>
          <w:b/>
          <w:bCs/>
          <w:color w:val="595959"/>
          <w:spacing w:val="-1"/>
        </w:rPr>
        <w:t>20</w:t>
      </w:r>
      <w:r>
        <w:rPr>
          <w:rFonts w:ascii="SimSun" w:hAnsi="SimSun" w:eastAsia="SimSun" w:cs="SimSun"/>
          <w:sz w:val="16"/>
          <w:szCs w:val="16"/>
          <w:b/>
          <w:bCs/>
          <w:color w:val="595959"/>
          <w:spacing w:val="-1"/>
        </w:rPr>
        <w:t>亿</w:t>
      </w:r>
      <w:r>
        <w:rPr>
          <w:rFonts w:ascii="SimSun" w:hAnsi="SimSun" w:eastAsia="SimSun" w:cs="SimSun"/>
          <w:sz w:val="16"/>
          <w:szCs w:val="16"/>
          <w:b/>
          <w:bCs/>
          <w:color w:val="595959"/>
          <w:spacing w:val="-2"/>
        </w:rPr>
        <w:t>（同比增长</w:t>
      </w:r>
      <w:r>
        <w:rPr>
          <w:rFonts w:ascii="Calibri" w:hAnsi="Calibri" w:eastAsia="Calibri" w:cs="Calibri"/>
          <w:sz w:val="16"/>
          <w:szCs w:val="16"/>
          <w:b/>
          <w:bCs/>
          <w:color w:val="595959"/>
          <w:spacing w:val="-2"/>
        </w:rPr>
        <w:t>33.7%</w:t>
      </w:r>
      <w:r>
        <w:rPr>
          <w:rFonts w:ascii="SimSun" w:hAnsi="SimSun" w:eastAsia="SimSun" w:cs="SimSun"/>
          <w:sz w:val="16"/>
          <w:szCs w:val="16"/>
          <w:b/>
          <w:bCs/>
          <w:color w:val="595959"/>
          <w:spacing w:val="-2"/>
        </w:rPr>
        <w:t>）</w:t>
      </w:r>
    </w:p>
    <w:p>
      <w:pPr>
        <w:ind w:left="2168"/>
        <w:spacing w:before="85" w:line="242" w:lineRule="auto"/>
        <w:rPr>
          <w:rFonts w:ascii="SimSun" w:hAnsi="SimSun" w:eastAsia="SimSun" w:cs="SimSun"/>
          <w:sz w:val="16"/>
          <w:szCs w:val="16"/>
        </w:rPr>
      </w:pPr>
      <w:r>
        <w:rPr>
          <w:rFonts w:ascii="Calibri" w:hAnsi="Calibri" w:eastAsia="Calibri" w:cs="Calibri"/>
          <w:sz w:val="16"/>
          <w:szCs w:val="16"/>
          <w:b/>
          <w:bCs/>
          <w:color w:val="595959"/>
        </w:rPr>
        <w:t>2023</w:t>
      </w:r>
      <w:r>
        <w:rPr>
          <w:rFonts w:ascii="SimSun" w:hAnsi="SimSun" w:eastAsia="SimSun" w:cs="SimSun"/>
          <w:sz w:val="16"/>
          <w:szCs w:val="16"/>
          <w:b/>
          <w:bCs/>
          <w:color w:val="595959"/>
        </w:rPr>
        <w:t>上半年县域规模</w:t>
      </w:r>
      <w:r>
        <w:rPr>
          <w:rFonts w:ascii="SimSun" w:hAnsi="SimSun" w:eastAsia="SimSun" w:cs="SimSun"/>
          <w:sz w:val="16"/>
          <w:szCs w:val="16"/>
          <w:color w:val="595959"/>
        </w:rPr>
        <w:t xml:space="preserve">       </w:t>
      </w:r>
      <w:r>
        <w:rPr>
          <w:rFonts w:ascii="Calibri" w:hAnsi="Calibri" w:eastAsia="Calibri" w:cs="Calibri"/>
          <w:sz w:val="16"/>
          <w:szCs w:val="16"/>
          <w:b/>
          <w:bCs/>
          <w:color w:val="595959"/>
        </w:rPr>
        <w:t>2023</w:t>
      </w:r>
      <w:r>
        <w:rPr>
          <w:rFonts w:ascii="SimSun" w:hAnsi="SimSun" w:eastAsia="SimSun" w:cs="SimSun"/>
          <w:sz w:val="16"/>
          <w:szCs w:val="16"/>
          <w:b/>
          <w:bCs/>
          <w:color w:val="595959"/>
        </w:rPr>
        <w:t>对比</w:t>
      </w:r>
      <w:r>
        <w:rPr>
          <w:rFonts w:ascii="Calibri" w:hAnsi="Calibri" w:eastAsia="Calibri" w:cs="Calibri"/>
          <w:sz w:val="16"/>
          <w:szCs w:val="16"/>
          <w:b/>
          <w:bCs/>
          <w:color w:val="595959"/>
        </w:rPr>
        <w:t>2022</w:t>
      </w:r>
      <w:r>
        <w:rPr>
          <w:rFonts w:ascii="SimSun" w:hAnsi="SimSun" w:eastAsia="SimSun" w:cs="SimSun"/>
          <w:sz w:val="16"/>
          <w:szCs w:val="16"/>
          <w:b/>
          <w:bCs/>
          <w:color w:val="595959"/>
        </w:rPr>
        <w:t>全国县域规模排名</w:t>
      </w:r>
    </w:p>
    <w:p>
      <w:pPr>
        <w:ind w:left="1401"/>
        <w:spacing w:before="301" w:line="220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2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各省县域数据能力建设项目规模状况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ind w:left="621"/>
        <w:spacing w:before="98" w:line="233" w:lineRule="auto"/>
        <w:outlineLvl w:val="2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．下半年项目规模超</w:t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150 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亿，复合增速超过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30%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25" w:right="12" w:firstLine="601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根据市场空间预测模型（附录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</w:t>
      </w:r>
      <w:r>
        <w:rPr>
          <w:rFonts w:ascii="SimSun" w:hAnsi="SimSun" w:eastAsia="SimSun" w:cs="SimSun"/>
          <w:sz w:val="30"/>
          <w:szCs w:val="30"/>
          <w:spacing w:val="-73"/>
        </w:rPr>
        <w:t>），</w:t>
      </w:r>
      <w:r>
        <w:rPr>
          <w:rFonts w:ascii="SimSun" w:hAnsi="SimSun" w:eastAsia="SimSun" w:cs="SimSun"/>
          <w:sz w:val="30"/>
          <w:szCs w:val="30"/>
          <w:spacing w:val="-3"/>
        </w:rPr>
        <w:t>预计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2023</w:t>
      </w:r>
      <w:r>
        <w:rPr>
          <w:rFonts w:ascii="Times New Roman" w:hAnsi="Times New Roman" w:eastAsia="Times New Roman" w:cs="Times New Roman"/>
          <w:sz w:val="30"/>
          <w:szCs w:val="30"/>
          <w:spacing w:val="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下</w:t>
      </w:r>
      <w:r>
        <w:rPr>
          <w:rFonts w:ascii="SimSun" w:hAnsi="SimSun" w:eastAsia="SimSun" w:cs="SimSun"/>
          <w:sz w:val="30"/>
          <w:szCs w:val="30"/>
          <w:spacing w:val="-4"/>
        </w:rPr>
        <w:t>半年县域数</w:t>
      </w:r>
      <w:r>
        <w:rPr>
          <w:rFonts w:ascii="SimSun" w:hAnsi="SimSun" w:eastAsia="SimSun" w:cs="SimSun"/>
          <w:sz w:val="30"/>
          <w:szCs w:val="30"/>
          <w:spacing w:val="-3"/>
        </w:rPr>
        <w:t>据能力建设规模超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150</w:t>
      </w:r>
      <w:r>
        <w:rPr>
          <w:rFonts w:ascii="Times New Roman" w:hAnsi="Times New Roman" w:eastAsia="Times New Roman" w:cs="Times New Roman"/>
          <w:sz w:val="30"/>
          <w:szCs w:val="3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亿，至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2025</w:t>
      </w:r>
      <w:r>
        <w:rPr>
          <w:rFonts w:ascii="Times New Roman" w:hAnsi="Times New Roman" w:eastAsia="Times New Roman" w:cs="Times New Roman"/>
          <w:sz w:val="30"/>
          <w:szCs w:val="30"/>
          <w:spacing w:val="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年超过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400</w:t>
      </w:r>
      <w:r>
        <w:rPr>
          <w:rFonts w:ascii="Times New Roman" w:hAnsi="Times New Roman" w:eastAsia="Times New Roman" w:cs="Times New Roman"/>
          <w:sz w:val="30"/>
          <w:szCs w:val="30"/>
          <w:spacing w:val="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亿，</w:t>
      </w:r>
      <w:r>
        <w:rPr>
          <w:rFonts w:ascii="SimSun" w:hAnsi="SimSun" w:eastAsia="SimSun" w:cs="SimSun"/>
          <w:sz w:val="30"/>
          <w:szCs w:val="30"/>
          <w:spacing w:val="-4"/>
        </w:rPr>
        <w:t>占全国份额</w:t>
      </w:r>
      <w:r>
        <w:rPr>
          <w:rFonts w:ascii="SimSun" w:hAnsi="SimSun" w:eastAsia="SimSun" w:cs="SimSun"/>
          <w:sz w:val="30"/>
          <w:szCs w:val="30"/>
          <w:spacing w:val="-23"/>
        </w:rPr>
        <w:t>超四成，复合增速超过</w:t>
      </w:r>
      <w:r>
        <w:rPr>
          <w:rFonts w:ascii="SimSun" w:hAnsi="SimSun" w:eastAsia="SimSun" w:cs="SimSun"/>
          <w:sz w:val="30"/>
          <w:szCs w:val="30"/>
          <w:spacing w:val="-7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>30%</w:t>
      </w:r>
      <w:r>
        <w:rPr>
          <w:rFonts w:ascii="SimSun" w:hAnsi="SimSun" w:eastAsia="SimSun" w:cs="SimSun"/>
          <w:sz w:val="30"/>
          <w:szCs w:val="30"/>
          <w:spacing w:val="-23"/>
        </w:rPr>
        <w:t>，是全国产数市场重要增长极（图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>3</w:t>
      </w:r>
      <w:r>
        <w:rPr>
          <w:rFonts w:ascii="SimSun" w:hAnsi="SimSun" w:eastAsia="SimSun" w:cs="SimSun"/>
          <w:sz w:val="30"/>
          <w:szCs w:val="30"/>
          <w:spacing w:val="-23"/>
        </w:rPr>
        <w:t>）。</w:t>
      </w:r>
    </w:p>
    <w:p>
      <w:pPr>
        <w:ind w:left="200"/>
        <w:spacing w:before="215" w:line="229" w:lineRule="exact"/>
        <w:rPr>
          <w:rFonts w:ascii="Calibri" w:hAnsi="Calibri" w:eastAsia="Calibri" w:cs="Calibri"/>
          <w:sz w:val="18"/>
          <w:szCs w:val="18"/>
        </w:rPr>
      </w:pPr>
      <w:r>
        <w:pict>
          <v:shape id="_x0000_s20" style="position:absolute;margin-left:389.745pt;margin-top:9.73813pt;mso-position-vertical-relative:text;mso-position-horizontal-relative:text;width:17.75pt;height:166.4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"/>
                    <w:spacing w:before="20" w:line="228" w:lineRule="exact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595959"/>
                      <w:spacing w:val="-2"/>
                      <w:position w:val="1"/>
                    </w:rPr>
                    <w:t>50%</w:t>
                  </w:r>
                </w:p>
                <w:p>
                  <w:pPr>
                    <w:spacing w:line="32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/>
                    <w:spacing w:before="55" w:line="228" w:lineRule="exact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595959"/>
                      <w:position w:val="1"/>
                    </w:rPr>
                    <w:t>40%</w:t>
                  </w:r>
                </w:p>
                <w:p>
                  <w:pPr>
                    <w:spacing w:line="32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4"/>
                    <w:spacing w:before="55" w:line="228" w:lineRule="exact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595959"/>
                      <w:spacing w:val="-2"/>
                      <w:position w:val="1"/>
                    </w:rPr>
                    <w:t>30%</w:t>
                  </w:r>
                </w:p>
                <w:p>
                  <w:pPr>
                    <w:spacing w:line="32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4"/>
                    <w:spacing w:before="55" w:line="228" w:lineRule="exact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595959"/>
                      <w:spacing w:val="-2"/>
                      <w:position w:val="1"/>
                    </w:rPr>
                    <w:t>20%</w:t>
                  </w:r>
                </w:p>
                <w:p>
                  <w:pPr>
                    <w:spacing w:line="32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9"/>
                    <w:spacing w:before="55" w:line="228" w:lineRule="exact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595959"/>
                      <w:spacing w:val="-4"/>
                      <w:position w:val="1"/>
                    </w:rPr>
                    <w:t>10%</w:t>
                  </w:r>
                </w:p>
                <w:p>
                  <w:pPr>
                    <w:spacing w:line="32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"/>
                    <w:spacing w:before="56" w:line="228" w:lineRule="exact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595959"/>
                      <w:spacing w:val="-1"/>
                      <w:position w:val="1"/>
                    </w:rPr>
                    <w:t>0%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8"/>
          <w:szCs w:val="18"/>
          <w:b/>
          <w:bCs/>
          <w:color w:val="595959"/>
          <w:spacing w:val="-1"/>
          <w:position w:val="1"/>
        </w:rPr>
        <w:t>500.0</w:t>
      </w:r>
    </w:p>
    <w:p>
      <w:pPr>
        <w:ind w:left="6920"/>
        <w:spacing w:before="118" w:line="228" w:lineRule="exact"/>
        <w:rPr>
          <w:rFonts w:ascii="Calibri" w:hAnsi="Calibri" w:eastAsia="Calibri" w:cs="Calibri"/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55457</wp:posOffset>
            </wp:positionH>
            <wp:positionV relativeFrom="paragraph">
              <wp:posOffset>-213214</wp:posOffset>
            </wp:positionV>
            <wp:extent cx="5172815" cy="2601864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2815" cy="2601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8"/>
          <w:szCs w:val="18"/>
          <w:b/>
          <w:bCs/>
          <w:color w:val="404040"/>
          <w:position w:val="1"/>
        </w:rPr>
        <w:t>44%</w:t>
      </w:r>
    </w:p>
    <w:p>
      <w:pPr>
        <w:ind w:left="194"/>
        <w:spacing w:before="37" w:line="17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b/>
          <w:bCs/>
          <w:color w:val="595959"/>
        </w:rPr>
        <w:t>400.0</w:t>
      </w:r>
    </w:p>
    <w:p>
      <w:pPr>
        <w:ind w:left="5219"/>
        <w:spacing w:before="1" w:line="22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b/>
          <w:bCs/>
          <w:color w:val="404040"/>
          <w:spacing w:val="-1"/>
        </w:rPr>
        <w:t>38%</w:t>
      </w:r>
    </w:p>
    <w:p>
      <w:pPr>
        <w:ind w:left="3514"/>
        <w:spacing w:before="63" w:line="200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b/>
          <w:bCs/>
          <w:color w:val="404040"/>
          <w:spacing w:val="-1"/>
        </w:rPr>
        <w:t>33%</w:t>
      </w:r>
    </w:p>
    <w:p>
      <w:pPr>
        <w:ind w:left="199"/>
        <w:spacing w:before="6" w:line="229" w:lineRule="exact"/>
        <w:rPr>
          <w:rFonts w:ascii="Calibri" w:hAnsi="Calibri" w:eastAsia="Calibri" w:cs="Calibri"/>
          <w:sz w:val="18"/>
          <w:szCs w:val="18"/>
        </w:rPr>
      </w:pPr>
      <w:r>
        <w:pict>
          <v:shape id="_x0000_s22" style="position:absolute;margin-left:89.4781pt;margin-top:-1.29681pt;mso-position-vertical-relative:text;mso-position-horizontal-relative:text;width:17.6pt;height:13.4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8" w:lineRule="exact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404040"/>
                      <w:spacing w:val="-1"/>
                      <w:position w:val="1"/>
                    </w:rPr>
                    <w:t>30%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8"/>
          <w:szCs w:val="18"/>
          <w:b/>
          <w:bCs/>
          <w:color w:val="595959"/>
          <w:spacing w:val="-1"/>
          <w:position w:val="1"/>
        </w:rPr>
        <w:t>300.0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ind w:left="199"/>
        <w:spacing w:before="55" w:line="229" w:lineRule="exact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b/>
          <w:bCs/>
          <w:color w:val="595959"/>
          <w:spacing w:val="-1"/>
          <w:position w:val="1"/>
        </w:rPr>
        <w:t>200.0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ind w:left="204"/>
        <w:spacing w:before="55" w:line="229" w:lineRule="exact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b/>
          <w:bCs/>
          <w:color w:val="595959"/>
          <w:spacing w:val="-2"/>
          <w:position w:val="1"/>
        </w:rPr>
        <w:t>100.0</w:t>
      </w:r>
    </w:p>
    <w:p>
      <w:pPr>
        <w:ind w:left="1475"/>
        <w:spacing w:before="213" w:line="229" w:lineRule="exact"/>
        <w:rPr>
          <w:rFonts w:ascii="Calibri" w:hAnsi="Calibri" w:eastAsia="Calibri" w:cs="Calibri"/>
          <w:sz w:val="18"/>
          <w:szCs w:val="18"/>
        </w:rPr>
      </w:pPr>
      <w:r>
        <w:pict>
          <v:shape id="_x0000_s24" style="position:absolute;margin-left:18.1032pt;margin-top:18.1485pt;mso-position-vertical-relative:text;mso-position-horizontal-relative:text;width:13.45pt;height:13.4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8" w:lineRule="exact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595959"/>
                      <w:spacing w:val="-1"/>
                      <w:position w:val="1"/>
                    </w:rPr>
                    <w:t>0.0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8"/>
          <w:szCs w:val="18"/>
          <w:b/>
          <w:bCs/>
          <w:color w:val="404040"/>
          <w:spacing w:val="1"/>
          <w:position w:val="1"/>
        </w:rPr>
        <w:t>192.9                             </w:t>
      </w:r>
      <w:r>
        <w:rPr>
          <w:rFonts w:ascii="Calibri" w:hAnsi="Calibri" w:eastAsia="Calibri" w:cs="Calibri"/>
          <w:sz w:val="18"/>
          <w:szCs w:val="18"/>
          <w:b/>
          <w:bCs/>
          <w:color w:val="404040"/>
          <w:position w:val="1"/>
        </w:rPr>
        <w:t xml:space="preserve">  </w:t>
      </w:r>
      <w:r>
        <w:rPr>
          <w:rFonts w:ascii="Calibri" w:hAnsi="Calibri" w:eastAsia="Calibri" w:cs="Calibri"/>
          <w:sz w:val="18"/>
          <w:szCs w:val="18"/>
          <w:b/>
          <w:bCs/>
          <w:color w:val="404040"/>
          <w:spacing w:val="1"/>
          <w:position w:val="1"/>
        </w:rPr>
        <w:t>249.7                               328.0           </w:t>
      </w:r>
      <w:r>
        <w:rPr>
          <w:rFonts w:ascii="Calibri" w:hAnsi="Calibri" w:eastAsia="Calibri" w:cs="Calibri"/>
          <w:sz w:val="18"/>
          <w:szCs w:val="18"/>
          <w:b/>
          <w:bCs/>
          <w:color w:val="404040"/>
          <w:position w:val="1"/>
        </w:rPr>
        <w:t xml:space="preserve">                    436.5</w:t>
      </w:r>
    </w:p>
    <w:p>
      <w:pPr>
        <w:ind w:left="2684" w:right="1314" w:hanging="1188"/>
        <w:spacing w:before="178" w:line="299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b/>
          <w:bCs/>
          <w:color w:val="595959"/>
          <w:spacing w:val="-1"/>
        </w:rPr>
        <w:t>2022</w:t>
      </w:r>
      <w:r>
        <w:rPr>
          <w:rFonts w:ascii="Calibri" w:hAnsi="Calibri" w:eastAsia="Calibri" w:cs="Calibri"/>
          <w:sz w:val="18"/>
          <w:szCs w:val="18"/>
          <w:b/>
          <w:bCs/>
          <w:color w:val="595959"/>
          <w:spacing w:val="1"/>
        </w:rPr>
        <w:t xml:space="preserve">                               </w:t>
      </w:r>
      <w:r>
        <w:rPr>
          <w:rFonts w:ascii="Calibri" w:hAnsi="Calibri" w:eastAsia="Calibri" w:cs="Calibri"/>
          <w:sz w:val="18"/>
          <w:szCs w:val="18"/>
          <w:b/>
          <w:bCs/>
          <w:color w:val="595959"/>
          <w:spacing w:val="-1"/>
        </w:rPr>
        <w:t>2023E</w:t>
      </w:r>
      <w:r>
        <w:rPr>
          <w:rFonts w:ascii="Calibri" w:hAnsi="Calibri" w:eastAsia="Calibri" w:cs="Calibri"/>
          <w:sz w:val="18"/>
          <w:szCs w:val="18"/>
          <w:b/>
          <w:bCs/>
          <w:color w:val="595959"/>
          <w:spacing w:val="2"/>
        </w:rPr>
        <w:t xml:space="preserve">                    </w:t>
      </w:r>
      <w:r>
        <w:rPr>
          <w:rFonts w:ascii="Calibri" w:hAnsi="Calibri" w:eastAsia="Calibri" w:cs="Calibri"/>
          <w:sz w:val="18"/>
          <w:szCs w:val="18"/>
          <w:b/>
          <w:bCs/>
          <w:color w:val="595959"/>
          <w:spacing w:val="1"/>
        </w:rPr>
        <w:t xml:space="preserve">          </w:t>
      </w:r>
      <w:r>
        <w:rPr>
          <w:rFonts w:ascii="Calibri" w:hAnsi="Calibri" w:eastAsia="Calibri" w:cs="Calibri"/>
          <w:sz w:val="18"/>
          <w:szCs w:val="18"/>
          <w:b/>
          <w:bCs/>
          <w:color w:val="595959"/>
          <w:spacing w:val="-1"/>
        </w:rPr>
        <w:t>2024E</w:t>
      </w:r>
      <w:r>
        <w:rPr>
          <w:rFonts w:ascii="Calibri" w:hAnsi="Calibri" w:eastAsia="Calibri" w:cs="Calibri"/>
          <w:sz w:val="18"/>
          <w:szCs w:val="18"/>
          <w:b/>
          <w:bCs/>
          <w:color w:val="595959"/>
          <w:spacing w:val="1"/>
        </w:rPr>
        <w:t xml:space="preserve">                              </w:t>
      </w:r>
      <w:r>
        <w:rPr>
          <w:rFonts w:ascii="Calibri" w:hAnsi="Calibri" w:eastAsia="Calibri" w:cs="Calibri"/>
          <w:sz w:val="18"/>
          <w:szCs w:val="18"/>
          <w:b/>
          <w:bCs/>
          <w:color w:val="595959"/>
          <w:spacing w:val="-1"/>
        </w:rPr>
        <w:t>2025E</w:t>
      </w:r>
      <w:r>
        <w:rPr>
          <w:rFonts w:ascii="SimSun" w:hAnsi="SimSun" w:eastAsia="SimSun" w:cs="SimSun"/>
          <w:sz w:val="18"/>
          <w:szCs w:val="18"/>
          <w:b/>
          <w:bCs/>
          <w:color w:val="595959"/>
          <w:spacing w:val="2"/>
        </w:rPr>
        <w:t>县域规模</w:t>
      </w:r>
      <w:r>
        <w:rPr>
          <w:rFonts w:ascii="Calibri" w:hAnsi="Calibri" w:eastAsia="Calibri" w:cs="Calibri"/>
          <w:sz w:val="18"/>
          <w:szCs w:val="18"/>
          <w:b/>
          <w:bCs/>
          <w:color w:val="595959"/>
          <w:spacing w:val="2"/>
        </w:rPr>
        <w:t>(</w:t>
      </w:r>
      <w:r>
        <w:rPr>
          <w:rFonts w:ascii="SimSun" w:hAnsi="SimSun" w:eastAsia="SimSun" w:cs="SimSun"/>
          <w:sz w:val="18"/>
          <w:szCs w:val="18"/>
          <w:b/>
          <w:bCs/>
          <w:color w:val="595959"/>
          <w:spacing w:val="2"/>
        </w:rPr>
        <w:t>亿元</w:t>
      </w:r>
      <w:r>
        <w:rPr>
          <w:rFonts w:ascii="Calibri" w:hAnsi="Calibri" w:eastAsia="Calibri" w:cs="Calibri"/>
          <w:sz w:val="18"/>
          <w:szCs w:val="18"/>
          <w:b/>
          <w:bCs/>
          <w:color w:val="595959"/>
          <w:spacing w:val="2"/>
        </w:rPr>
        <w:t>)           </w:t>
      </w:r>
      <w:r>
        <w:rPr>
          <w:rFonts w:ascii="Calibri" w:hAnsi="Calibri" w:eastAsia="Calibri" w:cs="Calibri"/>
          <w:sz w:val="18"/>
          <w:szCs w:val="18"/>
          <w:b/>
          <w:bCs/>
          <w:color w:val="595959"/>
          <w:spacing w:val="1"/>
        </w:rPr>
        <w:t xml:space="preserve">   </w:t>
      </w:r>
      <w:r>
        <w:rPr>
          <w:rFonts w:ascii="SimSun" w:hAnsi="SimSun" w:eastAsia="SimSun" w:cs="SimSun"/>
          <w:sz w:val="18"/>
          <w:szCs w:val="18"/>
          <w:b/>
          <w:bCs/>
          <w:color w:val="595959"/>
          <w:spacing w:val="1"/>
        </w:rPr>
        <w:t>县域占全国份额</w:t>
      </w:r>
      <w:r>
        <w:rPr>
          <w:rFonts w:ascii="Calibri" w:hAnsi="Calibri" w:eastAsia="Calibri" w:cs="Calibri"/>
          <w:sz w:val="18"/>
          <w:szCs w:val="18"/>
          <w:b/>
          <w:bCs/>
          <w:color w:val="595959"/>
          <w:spacing w:val="1"/>
        </w:rPr>
        <w:t>(%)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1101"/>
        <w:spacing w:before="98" w:line="217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5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3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未来三年县域数据能力建设项目规模预测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二、县域数据能力建设项目竞争分析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636"/>
        <w:spacing w:before="99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．运营商份额挤压，亿元大单是抢夺的焦点</w:t>
      </w:r>
    </w:p>
    <w:p>
      <w:pPr>
        <w:spacing w:line="233" w:lineRule="auto"/>
        <w:sectPr>
          <w:headerReference w:type="default" r:id="rId3"/>
          <w:pgSz w:w="11907" w:h="16839"/>
          <w:pgMar w:top="400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ind w:left="20" w:firstLine="757"/>
        <w:spacing w:before="97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从</w:t>
      </w:r>
      <w:r>
        <w:rPr>
          <w:rFonts w:ascii="SimSun" w:hAnsi="SimSun" w:eastAsia="SimSun" w:cs="SimSun"/>
          <w:sz w:val="30"/>
          <w:szCs w:val="3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2022~2023</w:t>
      </w:r>
      <w:r>
        <w:rPr>
          <w:rFonts w:ascii="Times New Roman" w:hAnsi="Times New Roman" w:eastAsia="Times New Roman" w:cs="Times New Roman"/>
          <w:sz w:val="30"/>
          <w:szCs w:val="30"/>
          <w:spacing w:val="4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企业参与情况来看，省</w:t>
      </w:r>
      <w:r>
        <w:rPr>
          <w:rFonts w:ascii="SimSun" w:hAnsi="SimSun" w:eastAsia="SimSun" w:cs="SimSun"/>
          <w:sz w:val="30"/>
          <w:szCs w:val="30"/>
          <w:spacing w:val="-2"/>
        </w:rPr>
        <w:t>内外地方国企、中小</w:t>
      </w:r>
      <w:r>
        <w:rPr>
          <w:rFonts w:ascii="SimSun" w:hAnsi="SimSun" w:eastAsia="SimSun" w:cs="SimSun"/>
          <w:sz w:val="30"/>
          <w:szCs w:val="30"/>
          <w:spacing w:val="-1"/>
        </w:rPr>
        <w:t>型等区域性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10"/>
        </w:rPr>
        <w:t>3</w:t>
      </w:r>
      <w:r>
        <w:rPr>
          <w:rFonts w:ascii="SimSun" w:hAnsi="SimSun" w:eastAsia="SimSun" w:cs="SimSun"/>
          <w:sz w:val="30"/>
          <w:szCs w:val="30"/>
          <w:spacing w:val="-1"/>
        </w:rPr>
        <w:t>企业份额占六成，四大运营商、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BATH</w:t>
      </w:r>
      <w:r>
        <w:rPr>
          <w:rFonts w:ascii="Times New Roman" w:hAnsi="Times New Roman" w:eastAsia="Times New Roman" w:cs="Times New Roman"/>
          <w:sz w:val="30"/>
          <w:szCs w:val="30"/>
          <w:spacing w:val="7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等全国性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10"/>
        </w:rPr>
        <w:t>4</w:t>
      </w:r>
      <w:r>
        <w:rPr>
          <w:rFonts w:ascii="SimSun" w:hAnsi="SimSun" w:eastAsia="SimSun" w:cs="SimSun"/>
          <w:sz w:val="30"/>
          <w:szCs w:val="30"/>
          <w:spacing w:val="-2"/>
        </w:rPr>
        <w:t>产</w:t>
      </w:r>
      <w:r>
        <w:rPr>
          <w:rFonts w:ascii="SimSun" w:hAnsi="SimSun" w:eastAsia="SimSun" w:cs="SimSun"/>
          <w:sz w:val="30"/>
          <w:szCs w:val="30"/>
          <w:spacing w:val="-7"/>
        </w:rPr>
        <w:t>数重点企业份额接近四成（图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4</w:t>
      </w:r>
      <w:r>
        <w:rPr>
          <w:rFonts w:ascii="SimSun" w:hAnsi="SimSun" w:eastAsia="SimSun" w:cs="SimSun"/>
          <w:sz w:val="30"/>
          <w:szCs w:val="30"/>
          <w:spacing w:val="-7"/>
        </w:rPr>
        <w:t>）。其中运营商总体份额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25%</w:t>
      </w:r>
      <w:r>
        <w:rPr>
          <w:rFonts w:ascii="Times New Roman" w:hAnsi="Times New Roman" w:eastAsia="Times New Roman" w:cs="Times New Roman"/>
          <w:sz w:val="30"/>
          <w:szCs w:val="30"/>
          <w:spacing w:val="-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2023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上半年运营商份额同比下降</w:t>
      </w:r>
      <w:r>
        <w:rPr>
          <w:rFonts w:ascii="SimSun" w:hAnsi="SimSun" w:eastAsia="SimSun" w:cs="SimSun"/>
          <w:sz w:val="30"/>
          <w:szCs w:val="3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8%</w:t>
      </w:r>
      <w:r>
        <w:rPr>
          <w:rFonts w:ascii="SimSun" w:hAnsi="SimSun" w:eastAsia="SimSun" w:cs="SimSun"/>
          <w:sz w:val="30"/>
          <w:szCs w:val="30"/>
          <w:spacing w:val="-4"/>
        </w:rPr>
        <w:t>（图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</w:t>
      </w:r>
      <w:r>
        <w:rPr>
          <w:rFonts w:ascii="SimSun" w:hAnsi="SimSun" w:eastAsia="SimSun" w:cs="SimSun"/>
          <w:sz w:val="30"/>
          <w:szCs w:val="30"/>
          <w:spacing w:val="-76"/>
          <w:w w:val="96"/>
        </w:rPr>
        <w:t>），</w:t>
      </w:r>
      <w:r>
        <w:rPr>
          <w:rFonts w:ascii="SimSun" w:hAnsi="SimSun" w:eastAsia="SimSun" w:cs="SimSun"/>
          <w:sz w:val="30"/>
          <w:szCs w:val="30"/>
          <w:spacing w:val="-5"/>
        </w:rPr>
        <w:t>中电子、中电科、</w:t>
      </w:r>
      <w:r>
        <w:rPr>
          <w:rFonts w:ascii="SimSun" w:hAnsi="SimSun" w:eastAsia="SimSun" w:cs="SimSun"/>
          <w:sz w:val="30"/>
          <w:szCs w:val="30"/>
          <w:spacing w:val="-4"/>
        </w:rPr>
        <w:t>华为在大单项目上的发力，拿下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4 </w:t>
      </w:r>
      <w:r>
        <w:rPr>
          <w:rFonts w:ascii="SimSun" w:hAnsi="SimSun" w:eastAsia="SimSun" w:cs="SimSun"/>
          <w:sz w:val="30"/>
          <w:szCs w:val="30"/>
          <w:spacing w:val="-4"/>
        </w:rPr>
        <w:t>个亿元大单，内容涵盖农商银</w:t>
      </w:r>
      <w:r>
        <w:rPr>
          <w:rFonts w:ascii="SimSun" w:hAnsi="SimSun" w:eastAsia="SimSun" w:cs="SimSun"/>
          <w:sz w:val="30"/>
          <w:szCs w:val="30"/>
          <w:spacing w:val="-9"/>
        </w:rPr>
        <w:t>行数据中心、区县数字城市等， 运营商仅有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2 </w:t>
      </w:r>
      <w:r>
        <w:rPr>
          <w:rFonts w:ascii="SimSun" w:hAnsi="SimSun" w:eastAsia="SimSun" w:cs="SimSun"/>
          <w:sz w:val="30"/>
          <w:szCs w:val="30"/>
          <w:spacing w:val="-9"/>
        </w:rPr>
        <w:t>个（中移动联仁健</w:t>
      </w:r>
      <w:r>
        <w:rPr>
          <w:rFonts w:ascii="SimSun" w:hAnsi="SimSun" w:eastAsia="SimSun" w:cs="SimSun"/>
          <w:sz w:val="30"/>
          <w:szCs w:val="30"/>
          <w:spacing w:val="-8"/>
        </w:rPr>
        <w:t>康医疗大数据公司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1.09 </w:t>
      </w:r>
      <w:r>
        <w:rPr>
          <w:rFonts w:ascii="SimSun" w:hAnsi="SimSun" w:eastAsia="SimSun" w:cs="SimSun"/>
          <w:sz w:val="30"/>
          <w:szCs w:val="30"/>
          <w:spacing w:val="-8"/>
        </w:rPr>
        <w:t>亿、联通安徽省公司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1.06 </w:t>
      </w:r>
      <w:r>
        <w:rPr>
          <w:rFonts w:ascii="SimSun" w:hAnsi="SimSun" w:eastAsia="SimSun" w:cs="SimSun"/>
          <w:sz w:val="30"/>
          <w:szCs w:val="30"/>
          <w:spacing w:val="-9"/>
        </w:rPr>
        <w:t>亿）。</w:t>
      </w:r>
    </w:p>
    <w:p>
      <w:pPr>
        <w:spacing w:line="13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6677" w:type="dxa"/>
        <w:tblInd w:w="826" w:type="dxa"/>
        <w:tblLayout w:type="fixed"/>
        <w:tblBorders>
          <w:left w:val="single" w:color="D9D9D9" w:sz="2" w:space="0"/>
          <w:bottom w:val="single" w:color="D9D9D9" w:sz="2" w:space="0"/>
          <w:right w:val="single" w:color="D9D9D9" w:sz="2" w:space="0"/>
          <w:top w:val="single" w:color="D9D9D9" w:sz="2" w:space="0"/>
        </w:tblBorders>
      </w:tblPr>
      <w:tblGrid>
        <w:gridCol w:w="6677"/>
      </w:tblGrid>
      <w:tr>
        <w:trPr>
          <w:trHeight w:val="3643" w:hRule="atLeast"/>
        </w:trPr>
        <w:tc>
          <w:tcPr>
            <w:tcW w:w="6677" w:type="dxa"/>
            <w:vAlign w:val="top"/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ind w:left="301"/>
              <w:spacing w:before="52" w:line="201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pict>
                <v:group id="_x0000_s26" style="position:absolute;margin-left:93.9318pt;margin-top:1.30622pt;mso-position-vertical-relative:text;mso-position-horizontal-relative:text;width:147.7pt;height:145.85pt;z-index:-251642880;" filled="false" stroked="false" coordsize="2953,2917" coordorigin="0,0">
                  <v:shape id="_x0000_s28" style="position:absolute;left:10;top:10;width:1503;height:1448;" fillcolor="#4F81BD" filled="true" stroked="false" coordsize="1503,1448" coordorigin="0,0" path="m0,1447c0,648,647,0,1447,0c1465,0,1484,0,1503,1l1447,1447l0,1447xe"/>
                  <v:shape id="_x0000_s30" style="position:absolute;left:0;top:0;width:1523;height:1468;" filled="false" strokecolor="#FFFFFF" strokeweight="1.04pt" coordsize="1523,1468" coordorigin="0,0" path="m10,1458c10,658,658,10,1457,10c1476,10,1494,10,1513,11l1457,1458l10,1458xe">
                    <v:stroke miterlimit="10"/>
                  </v:shape>
                  <v:shape id="_x0000_s32" style="position:absolute;left:1457;top:11;width:1021;height:1446;" fillcolor="#C0504D" filled="true" stroked="false" coordsize="1021,1446" coordorigin="0,0" path="m55,0m55,0c418,13,763,164,1021,420l0,1446l55,0xe"/>
                  <v:shape id="_x0000_s34" style="position:absolute;left:1447;top:1;width:1041;height:1465;" filled="false" strokecolor="#FFFFFF" strokeweight="1.04pt" coordsize="1041,1465" coordorigin="0,0" path="m66,10c429,24,773,174,1031,431l10,1457l66,10xe">
                    <v:stroke miterlimit="10"/>
                  </v:shape>
                  <v:shape id="_x0000_s36" style="position:absolute;left:997;top:432;width:1918;height:2485;" fillcolor="#9BBB59" filled="true" stroked="false" coordsize="1918,2485" coordorigin="0,0" path="m1481,0c2047,564,2049,1481,1485,2047c1097,2437,521,2574,0,2398l460,1026l1481,0xe"/>
                  <v:shape id="_x0000_s38" style="position:absolute;left:986;top:421;width:1928;height:2495;" filled="false" strokecolor="#FFFFFF" strokeweight="1.04pt" coordsize="1928,2495" coordorigin="0,0" path="m1491,10c2058,574,2060,1491,1496,2058c1108,2448,532,2584,10,2409l470,1036l1491,10xe">
                    <v:stroke miterlimit="10"/>
                  </v:shape>
                  <v:shape id="_x0000_s40" style="position:absolute;left:10;top:1458;width:1448;height:1373;" fillcolor="#8064A2" filled="true" stroked="false" coordsize="1448,1373" coordorigin="0,0" path="m986,1372c397,1174,0,622,0,0l1447,0l986,1372xe"/>
                  <v:shape id="_x0000_s42" style="position:absolute;left:0;top:1447;width:1468;height:1393;" filled="false" strokecolor="#FFFFFF" strokeweight="1.04pt" coordsize="1468,1393" coordorigin="0,0" path="m997,1383c407,1185,10,632,10,10l1457,10l997,1383xe">
                    <v:stroke miterlimit="10"/>
                  </v:shape>
                  <v:shape id="_x0000_s44" style="position:absolute;left:191;top:126;width:2762;height:2562;" filled="false" strokecolor="#A6A6A6" strokeweight="0.48pt" coordsize="2762,2562" coordorigin="0,0" path="m261,287l59,167l0,167m1843,4l2359,43l2418,43m2496,2092l2701,2192l2762,2192m91,2176l91,2496l91,2557e">
                    <v:stroke miterlimit="10"/>
                  </v:shape>
                </v:group>
              </w:pict>
            </w:r>
            <w:r>
              <w:rPr>
                <w:rFonts w:ascii="SimSun" w:hAnsi="SimSun" w:eastAsia="SimSun" w:cs="SimSun"/>
                <w:sz w:val="15"/>
                <w:szCs w:val="15"/>
                <w:b/>
                <w:bCs/>
                <w:color w:val="404040"/>
                <w:spacing w:val="2"/>
                <w:position w:val="-3"/>
              </w:rPr>
              <w:t>全国性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404040"/>
                <w:spacing w:val="2"/>
                <w:position w:val="-3"/>
              </w:rPr>
              <w:t>_</w:t>
            </w:r>
            <w:r>
              <w:rPr>
                <w:rFonts w:ascii="SimSun" w:hAnsi="SimSun" w:eastAsia="SimSun" w:cs="SimSun"/>
                <w:sz w:val="15"/>
                <w:szCs w:val="15"/>
                <w:b/>
                <w:bCs/>
                <w:color w:val="404040"/>
                <w:spacing w:val="2"/>
                <w:position w:val="-3"/>
              </w:rPr>
              <w:t>运营商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404040"/>
                <w:spacing w:val="2"/>
                <w:position w:val="-3"/>
              </w:rPr>
              <w:t>, 74.03 ,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404040"/>
                <w:spacing w:val="10"/>
                <w:w w:val="102"/>
                <w:position w:val="-3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404040"/>
                <w:spacing w:val="2"/>
                <w:position w:val="-3"/>
              </w:rPr>
              <w:t>25%                                         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404040"/>
                <w:spacing w:val="1"/>
                <w:position w:val="-3"/>
              </w:rPr>
              <w:t xml:space="preserve">                           </w:t>
            </w:r>
            <w:r>
              <w:rPr>
                <w:rFonts w:ascii="SimSun" w:hAnsi="SimSun" w:eastAsia="SimSun" w:cs="SimSun"/>
                <w:sz w:val="16"/>
                <w:szCs w:val="16"/>
                <w:b/>
                <w:bCs/>
                <w:color w:val="404040"/>
                <w:spacing w:val="1"/>
                <w:position w:val="3"/>
              </w:rPr>
              <w:t>全国性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404040"/>
                <w:spacing w:val="1"/>
                <w:position w:val="3"/>
              </w:rPr>
              <w:t>_</w:t>
            </w:r>
            <w:r>
              <w:rPr>
                <w:rFonts w:ascii="SimSun" w:hAnsi="SimSun" w:eastAsia="SimSun" w:cs="SimSun"/>
                <w:sz w:val="16"/>
                <w:szCs w:val="16"/>
                <w:b/>
                <w:bCs/>
                <w:color w:val="404040"/>
                <w:spacing w:val="1"/>
                <w:position w:val="3"/>
              </w:rPr>
              <w:t>重点企业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404040"/>
                <w:spacing w:val="1"/>
                <w:position w:val="3"/>
              </w:rPr>
              <w:t>, 34.25 ,</w:t>
            </w:r>
          </w:p>
          <w:p>
            <w:pPr>
              <w:ind w:left="5329"/>
              <w:spacing w:line="238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404040"/>
                <w:spacing w:val="2"/>
              </w:rPr>
              <w:t>12%</w:t>
            </w:r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ind w:left="5206" w:right="432" w:hanging="197"/>
              <w:spacing w:before="49" w:line="265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b/>
                <w:bCs/>
                <w:color w:val="404040"/>
                <w:spacing w:val="6"/>
              </w:rPr>
              <w:t>区域性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404040"/>
                <w:spacing w:val="6"/>
              </w:rPr>
              <w:t>_</w:t>
            </w:r>
            <w:r>
              <w:rPr>
                <w:rFonts w:ascii="SimSun" w:hAnsi="SimSun" w:eastAsia="SimSun" w:cs="SimSun"/>
                <w:sz w:val="15"/>
                <w:szCs w:val="15"/>
                <w:b/>
                <w:bCs/>
                <w:color w:val="404040"/>
                <w:spacing w:val="6"/>
              </w:rPr>
              <w:t>省内企业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404040"/>
                <w:spacing w:val="6"/>
              </w:rPr>
              <w:t>,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404040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404040"/>
                <w:spacing w:val="3"/>
              </w:rPr>
              <w:t>123.38 , 43%</w:t>
            </w:r>
          </w:p>
          <w:p>
            <w:pPr>
              <w:ind w:left="248"/>
              <w:spacing w:before="8" w:line="226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b/>
                <w:bCs/>
                <w:color w:val="404040"/>
                <w:spacing w:val="-2"/>
              </w:rPr>
              <w:t>区域性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404040"/>
                <w:spacing w:val="-2"/>
              </w:rPr>
              <w:t>_</w:t>
            </w:r>
            <w:r>
              <w:rPr>
                <w:rFonts w:ascii="SimSun" w:hAnsi="SimSun" w:eastAsia="SimSun" w:cs="SimSun"/>
                <w:sz w:val="16"/>
                <w:szCs w:val="16"/>
                <w:b/>
                <w:bCs/>
                <w:color w:val="404040"/>
                <w:spacing w:val="-2"/>
              </w:rPr>
              <w:t>外省企业</w:t>
            </w:r>
            <w:r>
              <w:rPr>
                <w:rFonts w:ascii="Calibri" w:hAnsi="Calibri" w:eastAsia="Calibri" w:cs="Calibri"/>
                <w:sz w:val="16"/>
                <w:szCs w:val="16"/>
                <w:b/>
                <w:bCs/>
                <w:color w:val="404040"/>
                <w:spacing w:val="-2"/>
              </w:rPr>
              <w:t>, 57.37 , 20%</w:t>
            </w:r>
          </w:p>
        </w:tc>
      </w:tr>
    </w:tbl>
    <w:p>
      <w:pPr>
        <w:ind w:left="1192"/>
        <w:spacing w:before="219" w:line="219" w:lineRule="auto"/>
        <w:outlineLvl w:val="0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5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4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全国和区域性企业市场总规模</w:t>
      </w:r>
      <w:r>
        <w:rPr>
          <w:rFonts w:ascii="KaiTi" w:hAnsi="KaiTi" w:eastAsia="KaiTi" w:cs="KaiTi"/>
          <w:sz w:val="24"/>
          <w:szCs w:val="24"/>
          <w:spacing w:val="-3"/>
        </w:rPr>
        <w:t>（亿元、%）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25" w:right="24" w:firstLine="602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华为着力打造“一城一云”下沉到县域的解决方案</w:t>
      </w:r>
      <w:r>
        <w:rPr>
          <w:rFonts w:ascii="SimSun" w:hAnsi="SimSun" w:eastAsia="SimSun" w:cs="SimSun"/>
          <w:sz w:val="30"/>
          <w:szCs w:val="30"/>
          <w:spacing w:val="-5"/>
        </w:rPr>
        <w:t>，以华为</w:t>
      </w:r>
      <w:r>
        <w:rPr>
          <w:rFonts w:ascii="SimSun" w:hAnsi="SimSun" w:eastAsia="SimSun" w:cs="SimSun"/>
          <w:sz w:val="30"/>
          <w:szCs w:val="30"/>
          <w:spacing w:val="-1"/>
        </w:rPr>
        <w:t>云提供的云计算、云原生、人工智能和大数据技术能力为支撑，</w:t>
      </w:r>
      <w:r>
        <w:rPr>
          <w:rFonts w:ascii="SimSun" w:hAnsi="SimSun" w:eastAsia="SimSun" w:cs="SimSun"/>
          <w:sz w:val="30"/>
          <w:szCs w:val="30"/>
          <w:spacing w:val="-4"/>
        </w:rPr>
        <w:t>在县域数据中心、政务信息系统上推进“一朵云”云化部署，推</w:t>
      </w:r>
      <w:r>
        <w:rPr>
          <w:rFonts w:ascii="SimSun" w:hAnsi="SimSun" w:eastAsia="SimSun" w:cs="SimSun"/>
          <w:sz w:val="30"/>
          <w:szCs w:val="30"/>
          <w:spacing w:val="-4"/>
        </w:rPr>
        <w:t>动县域数据场景化应用和融合，已经在重庆云阳县、黑龙江哈尔</w:t>
      </w:r>
      <w:r>
        <w:rPr>
          <w:rFonts w:ascii="SimSun" w:hAnsi="SimSun" w:eastAsia="SimSun" w:cs="SimSun"/>
          <w:sz w:val="30"/>
          <w:szCs w:val="30"/>
          <w:spacing w:val="-4"/>
        </w:rPr>
        <w:t>滨平房区、四川达州大竹县、山东泰安肥城市、辽宁沈阳大东区</w:t>
      </w:r>
      <w:r>
        <w:rPr>
          <w:rFonts w:ascii="SimSun" w:hAnsi="SimSun" w:eastAsia="SimSun" w:cs="SimSun"/>
          <w:sz w:val="30"/>
          <w:szCs w:val="30"/>
          <w:spacing w:val="-6"/>
        </w:rPr>
        <w:t>等县域落地应用。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>
        <w:pict>
          <v:shape id="_x0000_s46" style="position:absolute;margin-left:0.72599pt;margin-top:11.0016pt;mso-position-vertical-relative:text;mso-position-horizontal-relative:text;width:144.05pt;height:0.5pt;z-index:251674624;" fillcolor="#000000" filled="true" stroked="false" coordsize="2881,10" coordorigin="0,0" path="m0,9l2880,9l2880,0l0,0l0,9xe"/>
        </w:pict>
      </w:r>
      <w:r/>
    </w:p>
    <w:p>
      <w:pPr>
        <w:ind w:left="21" w:right="117" w:hanging="2"/>
        <w:spacing w:before="71" w:line="239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2"/>
          <w:position w:val="10"/>
        </w:rPr>
        <w:t>3</w:t>
      </w:r>
      <w:r>
        <w:rPr>
          <w:rFonts w:ascii="DengXian" w:hAnsi="DengXian" w:eastAsia="DengXian" w:cs="DengXian"/>
          <w:sz w:val="11"/>
          <w:szCs w:val="11"/>
          <w:spacing w:val="14"/>
          <w:position w:val="10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2"/>
        </w:rPr>
        <w:t>包含各地方国企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、科技及中小型企业</w:t>
      </w:r>
      <w:r>
        <w:rPr>
          <w:rFonts w:ascii="DengXian" w:hAnsi="DengXian" w:eastAsia="DengXian" w:cs="DengXian"/>
          <w:sz w:val="21"/>
          <w:szCs w:val="21"/>
          <w:spacing w:val="-3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，其中“省内企业份额”指省内企业参与本省项目中标</w:t>
      </w:r>
      <w:r>
        <w:rPr>
          <w:rFonts w:ascii="DengXian" w:hAnsi="DengXian" w:eastAsia="DengXian" w:cs="DengXian"/>
          <w:sz w:val="21"/>
          <w:szCs w:val="21"/>
          <w:spacing w:val="-1"/>
        </w:rPr>
        <w:t>金额占比</w:t>
      </w:r>
      <w:r>
        <w:rPr>
          <w:rFonts w:ascii="DengXian" w:hAnsi="DengXian" w:eastAsia="DengXian" w:cs="DengXian"/>
          <w:sz w:val="21"/>
          <w:szCs w:val="21"/>
          <w:spacing w:val="-25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，“外省企业份额”指注册地是外省的企业参与本省项目中标金额占比</w:t>
      </w:r>
    </w:p>
    <w:p>
      <w:pPr>
        <w:ind w:left="26" w:right="424" w:hanging="10"/>
        <w:spacing w:line="243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6"/>
          <w:position w:val="10"/>
        </w:rPr>
        <w:t>4</w:t>
      </w:r>
      <w:r>
        <w:rPr>
          <w:rFonts w:ascii="DengXian" w:hAnsi="DengXian" w:eastAsia="DengXian" w:cs="DengXian"/>
          <w:sz w:val="11"/>
          <w:szCs w:val="11"/>
          <w:spacing w:val="10"/>
          <w:w w:val="102"/>
          <w:position w:val="10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6"/>
        </w:rPr>
        <w:t>包含四大运营商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6"/>
        </w:rPr>
        <w:t>、</w:t>
      </w:r>
      <w:r>
        <w:rPr>
          <w:rFonts w:ascii="DengXian" w:hAnsi="DengXian" w:eastAsia="DengXian" w:cs="DengXian"/>
          <w:sz w:val="21"/>
          <w:szCs w:val="21"/>
          <w:spacing w:val="-30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6"/>
        </w:rPr>
        <w:t>中电子</w:t>
      </w:r>
      <w:r>
        <w:rPr>
          <w:rFonts w:ascii="DengXian" w:hAnsi="DengXian" w:eastAsia="DengXian" w:cs="DengXian"/>
          <w:sz w:val="21"/>
          <w:szCs w:val="21"/>
          <w:spacing w:val="-3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6"/>
        </w:rPr>
        <w:t>、</w:t>
      </w:r>
      <w:r>
        <w:rPr>
          <w:rFonts w:ascii="DengXian" w:hAnsi="DengXian" w:eastAsia="DengXian" w:cs="DengXian"/>
          <w:sz w:val="21"/>
          <w:szCs w:val="21"/>
          <w:spacing w:val="-28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6"/>
        </w:rPr>
        <w:t>中电科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6"/>
        </w:rPr>
        <w:t>、浪潮</w:t>
      </w:r>
      <w:r>
        <w:rPr>
          <w:rFonts w:ascii="DengXian" w:hAnsi="DengXian" w:eastAsia="DengXian" w:cs="DengXian"/>
          <w:sz w:val="21"/>
          <w:szCs w:val="21"/>
          <w:spacing w:val="-3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6"/>
        </w:rPr>
        <w:t>、华为</w:t>
      </w:r>
      <w:r>
        <w:rPr>
          <w:rFonts w:ascii="DengXian" w:hAnsi="DengXian" w:eastAsia="DengXian" w:cs="DengXian"/>
          <w:sz w:val="21"/>
          <w:szCs w:val="21"/>
          <w:spacing w:val="-29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6"/>
        </w:rPr>
        <w:t>、BAT</w:t>
      </w:r>
      <w:r>
        <w:rPr>
          <w:rFonts w:ascii="DengXian" w:hAnsi="DengXian" w:eastAsia="DengXian" w:cs="DengXian"/>
          <w:sz w:val="21"/>
          <w:szCs w:val="21"/>
          <w:spacing w:val="-3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6"/>
        </w:rPr>
        <w:t>、科大讯飞等 50 家产数重点企</w:t>
      </w:r>
      <w:r>
        <w:rPr>
          <w:rFonts w:ascii="DengXian" w:hAnsi="DengXian" w:eastAsia="DengXian" w:cs="DengXian"/>
          <w:sz w:val="21"/>
          <w:szCs w:val="21"/>
          <w:spacing w:val="-3"/>
        </w:rPr>
        <w:t>业</w:t>
      </w:r>
      <w:r>
        <w:rPr>
          <w:rFonts w:ascii="DengXian" w:hAnsi="DengXian" w:eastAsia="DengXian" w:cs="DengXian"/>
          <w:sz w:val="21"/>
          <w:szCs w:val="21"/>
          <w:spacing w:val="-2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3"/>
        </w:rPr>
        <w:t>，分子公司和产品业务遍布全国</w:t>
      </w:r>
    </w:p>
    <w:p>
      <w:pPr>
        <w:spacing w:line="243" w:lineRule="auto"/>
        <w:sectPr>
          <w:pgSz w:w="11907" w:h="16839"/>
          <w:pgMar w:top="400" w:right="1690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firstLine="642"/>
        <w:spacing w:line="3398" w:lineRule="exact"/>
        <w:rPr/>
      </w:pPr>
      <w:r>
        <w:rPr>
          <w:position w:val="-67"/>
        </w:rPr>
        <w:drawing>
          <wp:inline distT="0" distB="0" distL="0" distR="0">
            <wp:extent cx="4474463" cy="2157983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4463" cy="215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53"/>
        <w:spacing w:before="187" w:line="217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5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上半年企业市场份额对比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624"/>
        <w:spacing w:before="97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．移动、电信竞争激烈，联通份额增长值得关注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ind w:left="25" w:right="296" w:firstLine="604"/>
        <w:spacing w:before="97" w:line="33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从四大运营商来看，移动总体略微领先电信，占运营商份额</w:t>
      </w:r>
      <w:r>
        <w:rPr>
          <w:rFonts w:ascii="SimSun" w:hAnsi="SimSun" w:eastAsia="SimSun" w:cs="SimSun"/>
          <w:sz w:val="30"/>
          <w:szCs w:val="30"/>
          <w:spacing w:val="-15"/>
        </w:rPr>
        <w:t>的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39%</w:t>
      </w:r>
      <w:r>
        <w:rPr>
          <w:rFonts w:ascii="SimSun" w:hAnsi="SimSun" w:eastAsia="SimSun" w:cs="SimSun"/>
          <w:sz w:val="30"/>
          <w:szCs w:val="30"/>
          <w:spacing w:val="-15"/>
        </w:rPr>
        <w:t>，在季度上，移动和电信交错领先对方，竞争激烈（图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6</w:t>
      </w:r>
      <w:r>
        <w:rPr>
          <w:rFonts w:ascii="Times New Roman" w:hAnsi="Times New Roman" w:eastAsia="Times New Roman" w:cs="Times New Roman"/>
          <w:sz w:val="30"/>
          <w:szCs w:val="30"/>
          <w:spacing w:val="-3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5"/>
        </w:rPr>
        <w:t>，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7</w:t>
      </w:r>
      <w:r>
        <w:rPr>
          <w:rFonts w:ascii="SimSun" w:hAnsi="SimSun" w:eastAsia="SimSun" w:cs="SimSun"/>
          <w:sz w:val="30"/>
          <w:szCs w:val="30"/>
          <w:spacing w:val="-11"/>
        </w:rPr>
        <w:t>）。今年上半年电信项目规模同比下降</w:t>
      </w:r>
      <w:r>
        <w:rPr>
          <w:rFonts w:ascii="SimSun" w:hAnsi="SimSun" w:eastAsia="SimSun" w:cs="SimSun"/>
          <w:sz w:val="30"/>
          <w:szCs w:val="3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13%</w:t>
      </w:r>
      <w:r>
        <w:rPr>
          <w:rFonts w:ascii="SimSun" w:hAnsi="SimSun" w:eastAsia="SimSun" w:cs="SimSun"/>
          <w:sz w:val="30"/>
          <w:szCs w:val="30"/>
          <w:spacing w:val="-11"/>
        </w:rPr>
        <w:t>，其中二季度份额同</w:t>
      </w:r>
      <w:r>
        <w:rPr>
          <w:rFonts w:ascii="SimSun" w:hAnsi="SimSun" w:eastAsia="SimSun" w:cs="SimSun"/>
          <w:sz w:val="30"/>
          <w:szCs w:val="30"/>
          <w:spacing w:val="-6"/>
        </w:rPr>
        <w:t>比下降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7%</w:t>
      </w:r>
      <w:r>
        <w:rPr>
          <w:rFonts w:ascii="SimSun" w:hAnsi="SimSun" w:eastAsia="SimSun" w:cs="SimSun"/>
          <w:sz w:val="30"/>
          <w:szCs w:val="30"/>
          <w:spacing w:val="-6"/>
        </w:rPr>
        <w:t>，联通份额同比上升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6%</w:t>
      </w:r>
      <w:r>
        <w:rPr>
          <w:rFonts w:ascii="SimSun" w:hAnsi="SimSun" w:eastAsia="SimSun" w:cs="SimSun"/>
          <w:sz w:val="30"/>
          <w:szCs w:val="30"/>
          <w:spacing w:val="-6"/>
        </w:rPr>
        <w:t>，联通安徽省公司拿下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 </w:t>
      </w:r>
      <w:r>
        <w:rPr>
          <w:rFonts w:ascii="SimSun" w:hAnsi="SimSun" w:eastAsia="SimSun" w:cs="SimSun"/>
          <w:sz w:val="30"/>
          <w:szCs w:val="30"/>
          <w:spacing w:val="-7"/>
        </w:rPr>
        <w:t>个千</w:t>
      </w:r>
      <w:r>
        <w:rPr>
          <w:rFonts w:ascii="SimSun" w:hAnsi="SimSun" w:eastAsia="SimSun" w:cs="SimSun"/>
          <w:sz w:val="30"/>
          <w:szCs w:val="30"/>
          <w:spacing w:val="-8"/>
        </w:rPr>
        <w:t>万大单项目（六安市裕安区智慧社区数据中枢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1.06 </w:t>
      </w:r>
      <w:r>
        <w:rPr>
          <w:rFonts w:ascii="SimSun" w:hAnsi="SimSun" w:eastAsia="SimSun" w:cs="SimSun"/>
          <w:sz w:val="30"/>
          <w:szCs w:val="30"/>
          <w:spacing w:val="-8"/>
        </w:rPr>
        <w:t>亿，裕安区数</w:t>
      </w:r>
      <w:r>
        <w:rPr>
          <w:rFonts w:ascii="SimSun" w:hAnsi="SimSun" w:eastAsia="SimSun" w:cs="SimSun"/>
          <w:sz w:val="30"/>
          <w:szCs w:val="30"/>
          <w:spacing w:val="-2"/>
        </w:rPr>
        <w:t>字乡村数据底座及数据资源整合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0.68 </w:t>
      </w:r>
      <w:r>
        <w:rPr>
          <w:rFonts w:ascii="SimSun" w:hAnsi="SimSun" w:eastAsia="SimSun" w:cs="SimSun"/>
          <w:sz w:val="30"/>
          <w:szCs w:val="30"/>
          <w:spacing w:val="-2"/>
        </w:rPr>
        <w:t>亿</w:t>
      </w:r>
      <w:r>
        <w:rPr>
          <w:rFonts w:ascii="SimSun" w:hAnsi="SimSun" w:eastAsia="SimSun" w:cs="SimSun"/>
          <w:sz w:val="30"/>
          <w:szCs w:val="30"/>
          <w:spacing w:val="-62"/>
        </w:rPr>
        <w:t>），</w:t>
      </w:r>
      <w:r>
        <w:rPr>
          <w:rFonts w:ascii="SimSun" w:hAnsi="SimSun" w:eastAsia="SimSun" w:cs="SimSun"/>
          <w:sz w:val="30"/>
          <w:szCs w:val="30"/>
          <w:spacing w:val="-3"/>
        </w:rPr>
        <w:t>电信优势省份受到挤</w:t>
      </w:r>
      <w:r>
        <w:rPr>
          <w:rFonts w:ascii="SimSun" w:hAnsi="SimSun" w:eastAsia="SimSun" w:cs="SimSun"/>
          <w:sz w:val="30"/>
          <w:szCs w:val="30"/>
          <w:spacing w:val="-14"/>
        </w:rPr>
        <w:t>压。</w:t>
      </w:r>
    </w:p>
    <w:p>
      <w:pPr>
        <w:ind w:left="36" w:right="297" w:firstLine="590"/>
        <w:spacing w:before="297" w:line="32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联通通过数据驱动数字化县域建设，打造“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  </w:t>
      </w:r>
      <w:r>
        <w:rPr>
          <w:rFonts w:ascii="SimSun" w:hAnsi="SimSun" w:eastAsia="SimSun" w:cs="SimSun"/>
          <w:sz w:val="30"/>
          <w:szCs w:val="30"/>
          <w:spacing w:val="-1"/>
        </w:rPr>
        <w:t>新型县域智</w:t>
      </w:r>
      <w:r>
        <w:rPr>
          <w:rFonts w:ascii="SimSun" w:hAnsi="SimSun" w:eastAsia="SimSun" w:cs="SimSun"/>
          <w:sz w:val="30"/>
          <w:szCs w:val="30"/>
          <w:spacing w:val="-19"/>
        </w:rPr>
        <w:t>慧城市”解决方案。在县域治理上，打造一网感知系统，</w:t>
      </w:r>
      <w:r>
        <w:rPr>
          <w:rFonts w:ascii="SimSun" w:hAnsi="SimSun" w:eastAsia="SimSun" w:cs="SimSun"/>
          <w:sz w:val="30"/>
          <w:szCs w:val="30"/>
          <w:spacing w:val="-20"/>
        </w:rPr>
        <w:t>通过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0"/>
        </w:rPr>
        <w:t>5G</w:t>
      </w:r>
      <w:r>
        <w:rPr>
          <w:rFonts w:ascii="SimSun" w:hAnsi="SimSun" w:eastAsia="SimSun" w:cs="SimSun"/>
          <w:sz w:val="30"/>
          <w:szCs w:val="30"/>
          <w:spacing w:val="-20"/>
        </w:rPr>
        <w:t>、</w:t>
      </w:r>
    </w:p>
    <w:p>
      <w:pPr>
        <w:ind w:left="26"/>
        <w:spacing w:before="22" w:line="33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物联网、人工智能、大数据等多种信息手段，实现人、地、物、</w:t>
      </w:r>
      <w:r>
        <w:rPr>
          <w:rFonts w:ascii="SimSun" w:hAnsi="SimSun" w:eastAsia="SimSun" w:cs="SimSun"/>
          <w:sz w:val="30"/>
          <w:szCs w:val="30"/>
          <w:spacing w:val="7"/>
        </w:rPr>
        <w:t>事、情、组织的全要素数据化，在黑龙江打造一套“</w:t>
      </w:r>
      <w:r>
        <w:rPr>
          <w:rFonts w:ascii="SimSun" w:hAnsi="SimSun" w:eastAsia="SimSun" w:cs="SimSun"/>
          <w:sz w:val="30"/>
          <w:szCs w:val="30"/>
          <w:spacing w:val="6"/>
        </w:rPr>
        <w:t>数字宁安”</w:t>
      </w:r>
      <w:r>
        <w:rPr>
          <w:rFonts w:ascii="SimSun" w:hAnsi="SimSun" w:eastAsia="SimSun" w:cs="SimSun"/>
          <w:sz w:val="30"/>
          <w:szCs w:val="30"/>
          <w:spacing w:val="-4"/>
        </w:rPr>
        <w:t>数据标准并复制推广，建立数据中心及数据运用平台，推动县域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数据一体化及县域间数据共享（图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8</w:t>
      </w:r>
      <w:r>
        <w:rPr>
          <w:rFonts w:ascii="SimSun" w:hAnsi="SimSun" w:eastAsia="SimSun" w:cs="SimSun"/>
          <w:sz w:val="30"/>
          <w:szCs w:val="30"/>
          <w:spacing w:val="-8"/>
        </w:rPr>
        <w:t>）。</w:t>
      </w:r>
    </w:p>
    <w:p>
      <w:pPr>
        <w:spacing w:line="338" w:lineRule="auto"/>
        <w:sectPr>
          <w:pgSz w:w="11907" w:h="16839"/>
          <w:pgMar w:top="400" w:right="1501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ind w:firstLine="1074"/>
        <w:spacing w:line="3862" w:lineRule="exact"/>
        <w:rPr/>
      </w:pPr>
      <w:r>
        <w:rPr>
          <w:position w:val="-77"/>
        </w:rPr>
        <w:drawing>
          <wp:inline distT="0" distB="0" distL="0" distR="0">
            <wp:extent cx="3927348" cy="245211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7348" cy="245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41"/>
        <w:spacing w:before="270" w:line="217" w:lineRule="auto"/>
        <w:outlineLvl w:val="0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6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四大运营商市场总规模</w:t>
      </w:r>
      <w:r>
        <w:rPr>
          <w:rFonts w:ascii="KaiTi" w:hAnsi="KaiTi" w:eastAsia="KaiTi" w:cs="KaiTi"/>
          <w:sz w:val="24"/>
          <w:szCs w:val="24"/>
          <w:spacing w:val="-3"/>
        </w:rPr>
        <w:t>（亿元、%）</w:t>
      </w:r>
    </w:p>
    <w:p>
      <w:pPr>
        <w:spacing w:line="426" w:lineRule="auto"/>
        <w:rPr>
          <w:rFonts w:ascii="Arial"/>
          <w:sz w:val="21"/>
        </w:rPr>
      </w:pPr>
      <w:r>
        <w:drawing>
          <wp:anchor distT="0" distB="0" distL="0" distR="0" simplePos="0" relativeHeight="251695104" behindDoc="1" locked="0" layoutInCell="1" allowOverlap="1">
            <wp:simplePos x="0" y="0"/>
            <wp:positionH relativeFrom="column">
              <wp:posOffset>282630</wp:posOffset>
            </wp:positionH>
            <wp:positionV relativeFrom="paragraph">
              <wp:posOffset>234552</wp:posOffset>
            </wp:positionV>
            <wp:extent cx="4726177" cy="2444711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6177" cy="2444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68"/>
        <w:spacing w:before="61" w:line="256" w:lineRule="exac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color w:val="595959"/>
          <w:position w:val="1"/>
        </w:rPr>
        <w:t>9.00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ind w:left="570"/>
        <w:spacing w:before="61" w:line="256" w:lineRule="exac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color w:val="595959"/>
          <w:spacing w:val="-1"/>
          <w:position w:val="1"/>
        </w:rPr>
        <w:t>6.00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ind w:left="570"/>
        <w:spacing w:before="61" w:line="256" w:lineRule="exac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color w:val="595959"/>
          <w:spacing w:val="-1"/>
          <w:position w:val="1"/>
        </w:rPr>
        <w:t>3.00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ind w:left="567"/>
        <w:spacing w:before="61" w:line="256" w:lineRule="exac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color w:val="595959"/>
          <w:position w:val="1"/>
        </w:rPr>
        <w:t>0.00</w:t>
      </w:r>
    </w:p>
    <w:p>
      <w:pPr>
        <w:ind w:left="3036" w:right="876" w:hanging="1631"/>
        <w:spacing w:before="1" w:line="37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color w:val="595959"/>
        </w:rPr>
        <w:t>第一季</w:t>
      </w:r>
      <w:r>
        <w:rPr>
          <w:rFonts w:ascii="SimSun" w:hAnsi="SimSun" w:eastAsia="SimSun" w:cs="SimSun"/>
          <w:sz w:val="20"/>
          <w:szCs w:val="20"/>
          <w:color w:val="595959"/>
          <w:spacing w:val="23"/>
        </w:rPr>
        <w:t xml:space="preserve">    </w:t>
      </w:r>
      <w:r>
        <w:rPr>
          <w:rFonts w:ascii="SimSun" w:hAnsi="SimSun" w:eastAsia="SimSun" w:cs="SimSun"/>
          <w:sz w:val="20"/>
          <w:szCs w:val="20"/>
          <w:b/>
          <w:bCs/>
          <w:color w:val="595959"/>
        </w:rPr>
        <w:t>第二季</w:t>
      </w:r>
      <w:r>
        <w:rPr>
          <w:rFonts w:ascii="SimSun" w:hAnsi="SimSun" w:eastAsia="SimSun" w:cs="SimSun"/>
          <w:sz w:val="20"/>
          <w:szCs w:val="20"/>
          <w:color w:val="595959"/>
          <w:spacing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b/>
          <w:bCs/>
          <w:color w:val="595959"/>
        </w:rPr>
        <w:t>第三季</w:t>
      </w:r>
      <w:r>
        <w:rPr>
          <w:rFonts w:ascii="SimSun" w:hAnsi="SimSun" w:eastAsia="SimSun" w:cs="SimSun"/>
          <w:sz w:val="20"/>
          <w:szCs w:val="20"/>
          <w:color w:val="595959"/>
          <w:spacing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b/>
          <w:bCs/>
          <w:color w:val="595959"/>
        </w:rPr>
        <w:t>第四季</w:t>
      </w:r>
      <w:r>
        <w:rPr>
          <w:rFonts w:ascii="SimSun" w:hAnsi="SimSun" w:eastAsia="SimSun" w:cs="SimSun"/>
          <w:sz w:val="20"/>
          <w:szCs w:val="20"/>
          <w:color w:val="595959"/>
          <w:spacing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b/>
          <w:bCs/>
          <w:color w:val="595959"/>
        </w:rPr>
        <w:t>第一季</w:t>
      </w:r>
      <w:r>
        <w:rPr>
          <w:rFonts w:ascii="SimSun" w:hAnsi="SimSun" w:eastAsia="SimSun" w:cs="SimSun"/>
          <w:sz w:val="20"/>
          <w:szCs w:val="20"/>
          <w:color w:val="595959"/>
          <w:spacing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b/>
          <w:bCs/>
          <w:color w:val="595959"/>
        </w:rPr>
        <w:t>第二季</w:t>
      </w:r>
      <w:r>
        <w:rPr>
          <w:rFonts w:ascii="Calibri" w:hAnsi="Calibri" w:eastAsia="Calibri" w:cs="Calibri"/>
          <w:sz w:val="20"/>
          <w:szCs w:val="20"/>
          <w:b/>
          <w:bCs/>
          <w:color w:val="595959"/>
          <w:spacing w:val="2"/>
        </w:rPr>
        <w:t>2022</w:t>
      </w:r>
      <w:r>
        <w:rPr>
          <w:rFonts w:ascii="SimSun" w:hAnsi="SimSun" w:eastAsia="SimSun" w:cs="SimSun"/>
          <w:sz w:val="20"/>
          <w:szCs w:val="20"/>
          <w:b/>
          <w:bCs/>
          <w:color w:val="595959"/>
          <w:spacing w:val="2"/>
        </w:rPr>
        <w:t>年</w:t>
      </w:r>
      <w:r>
        <w:rPr>
          <w:rFonts w:ascii="SimSun" w:hAnsi="SimSun" w:eastAsia="SimSun" w:cs="SimSun"/>
          <w:sz w:val="20"/>
          <w:szCs w:val="20"/>
          <w:color w:val="595959"/>
          <w:spacing w:val="2"/>
        </w:rPr>
        <w:t xml:space="preserve">                     </w:t>
      </w:r>
      <w:r>
        <w:rPr>
          <w:rFonts w:ascii="SimSun" w:hAnsi="SimSun" w:eastAsia="SimSun" w:cs="SimSun"/>
          <w:sz w:val="20"/>
          <w:szCs w:val="20"/>
          <w:color w:val="595959"/>
          <w:spacing w:val="1"/>
        </w:rPr>
        <w:t xml:space="preserve">     </w:t>
      </w:r>
      <w:r>
        <w:rPr>
          <w:rFonts w:ascii="Calibri" w:hAnsi="Calibri" w:eastAsia="Calibri" w:cs="Calibri"/>
          <w:sz w:val="20"/>
          <w:szCs w:val="20"/>
          <w:b/>
          <w:bCs/>
          <w:color w:val="595959"/>
          <w:spacing w:val="1"/>
        </w:rPr>
        <w:t>2023</w:t>
      </w:r>
      <w:r>
        <w:rPr>
          <w:rFonts w:ascii="SimSun" w:hAnsi="SimSun" w:eastAsia="SimSun" w:cs="SimSun"/>
          <w:sz w:val="20"/>
          <w:szCs w:val="20"/>
          <w:b/>
          <w:bCs/>
          <w:color w:val="595959"/>
          <w:spacing w:val="1"/>
        </w:rPr>
        <w:t>年</w:t>
      </w:r>
    </w:p>
    <w:p>
      <w:pPr>
        <w:ind w:left="3007"/>
        <w:spacing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color w:val="595959"/>
          <w:spacing w:val="-4"/>
        </w:rPr>
        <w:t>电信</w:t>
      </w:r>
      <w:r>
        <w:rPr>
          <w:rFonts w:ascii="SimSun" w:hAnsi="SimSun" w:eastAsia="SimSun" w:cs="SimSun"/>
          <w:sz w:val="20"/>
          <w:szCs w:val="20"/>
          <w:color w:val="595959"/>
          <w:spacing w:val="11"/>
        </w:rPr>
        <w:t xml:space="preserve">   </w:t>
      </w:r>
      <w:r>
        <w:rPr>
          <w:rFonts w:ascii="SimSun" w:hAnsi="SimSun" w:eastAsia="SimSun" w:cs="SimSun"/>
          <w:sz w:val="20"/>
          <w:szCs w:val="20"/>
          <w:b/>
          <w:bCs/>
          <w:color w:val="595959"/>
          <w:spacing w:val="-4"/>
        </w:rPr>
        <w:t>移动</w:t>
      </w:r>
      <w:r>
        <w:rPr>
          <w:rFonts w:ascii="SimSun" w:hAnsi="SimSun" w:eastAsia="SimSun" w:cs="SimSun"/>
          <w:sz w:val="20"/>
          <w:szCs w:val="20"/>
          <w:color w:val="595959"/>
          <w:spacing w:val="11"/>
        </w:rPr>
        <w:t xml:space="preserve">   </w:t>
      </w:r>
      <w:r>
        <w:rPr>
          <w:rFonts w:ascii="SimSun" w:hAnsi="SimSun" w:eastAsia="SimSun" w:cs="SimSun"/>
          <w:sz w:val="20"/>
          <w:szCs w:val="20"/>
          <w:b/>
          <w:bCs/>
          <w:color w:val="595959"/>
          <w:spacing w:val="-4"/>
        </w:rPr>
        <w:t>联通</w:t>
      </w:r>
      <w:r>
        <w:rPr>
          <w:rFonts w:ascii="SimSun" w:hAnsi="SimSun" w:eastAsia="SimSun" w:cs="SimSun"/>
          <w:sz w:val="20"/>
          <w:szCs w:val="20"/>
          <w:color w:val="595959"/>
          <w:spacing w:val="11"/>
        </w:rPr>
        <w:t xml:space="preserve">   </w:t>
      </w:r>
      <w:r>
        <w:rPr>
          <w:rFonts w:ascii="SimSun" w:hAnsi="SimSun" w:eastAsia="SimSun" w:cs="SimSun"/>
          <w:sz w:val="20"/>
          <w:szCs w:val="20"/>
          <w:b/>
          <w:bCs/>
          <w:color w:val="595959"/>
          <w:spacing w:val="-4"/>
        </w:rPr>
        <w:t>广电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ind w:left="1552"/>
        <w:spacing w:before="99" w:line="231" w:lineRule="auto"/>
        <w:outlineLvl w:val="0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7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~</w:t>
      </w:r>
      <w:r>
        <w:rPr>
          <w:rFonts w:ascii="KaiTi" w:hAnsi="KaiTi" w:eastAsia="KaiTi" w:cs="KaiTi"/>
          <w:sz w:val="30"/>
          <w:szCs w:val="30"/>
          <w:spacing w:val="-4"/>
        </w:rPr>
        <w:t>2023</w:t>
      </w:r>
      <w:r>
        <w:rPr>
          <w:rFonts w:ascii="KaiTi" w:hAnsi="KaiTi" w:eastAsia="KaiTi" w:cs="KaiTi"/>
          <w:sz w:val="30"/>
          <w:szCs w:val="30"/>
          <w:spacing w:val="-7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各季度市场规模</w:t>
      </w:r>
      <w:r>
        <w:rPr>
          <w:rFonts w:ascii="KaiTi" w:hAnsi="KaiTi" w:eastAsia="KaiTi" w:cs="KaiTi"/>
          <w:sz w:val="24"/>
          <w:szCs w:val="24"/>
          <w:spacing w:val="-4"/>
        </w:rPr>
        <w:t>（亿元）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ind w:firstLine="186"/>
        <w:spacing w:line="2815" w:lineRule="exact"/>
        <w:rPr/>
      </w:pPr>
      <w:r>
        <w:rPr>
          <w:position w:val="-56"/>
        </w:rPr>
        <w:drawing>
          <wp:inline distT="0" distB="0" distL="0" distR="0">
            <wp:extent cx="5055107" cy="1787651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5107" cy="178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14"/>
        <w:spacing w:before="326" w:line="215" w:lineRule="auto"/>
        <w:outlineLvl w:val="0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5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8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联通“5G</w:t>
      </w:r>
      <w:r>
        <w:rPr>
          <w:rFonts w:ascii="KaiTi" w:hAnsi="KaiTi" w:eastAsia="KaiTi" w:cs="KaiTi"/>
          <w:sz w:val="30"/>
          <w:szCs w:val="30"/>
          <w:spacing w:val="-6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数字宁安”基层数据分级治理体系</w:t>
      </w:r>
    </w:p>
    <w:p>
      <w:pPr>
        <w:spacing w:line="215" w:lineRule="auto"/>
        <w:sectPr>
          <w:pgSz w:w="11907" w:h="16839"/>
          <w:pgMar w:top="400" w:right="1785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621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．电信在东西部优势不明显，半数省份急需下沉开拓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25" w:right="13" w:firstLine="604"/>
        <w:spacing w:before="98" w:line="32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从电信、移动在千万大单项目竞争来看，在东部和中西部均</w:t>
      </w:r>
      <w:r>
        <w:rPr>
          <w:rFonts w:ascii="SimSun" w:hAnsi="SimSun" w:eastAsia="SimSun" w:cs="SimSun"/>
          <w:sz w:val="30"/>
          <w:szCs w:val="30"/>
          <w:spacing w:val="-16"/>
        </w:rPr>
        <w:t>具有自己的优势省份，电信包括江苏、浙江、甘肃、安徽、湖南、</w:t>
      </w:r>
      <w:r>
        <w:rPr>
          <w:rFonts w:ascii="SimSun" w:hAnsi="SimSun" w:eastAsia="SimSun" w:cs="SimSun"/>
          <w:sz w:val="30"/>
          <w:szCs w:val="30"/>
          <w:spacing w:val="-4"/>
        </w:rPr>
        <w:t>海南、重庆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7 </w:t>
      </w:r>
      <w:r>
        <w:rPr>
          <w:rFonts w:ascii="SimSun" w:hAnsi="SimSun" w:eastAsia="SimSun" w:cs="SimSun"/>
          <w:sz w:val="30"/>
          <w:szCs w:val="30"/>
          <w:spacing w:val="-4"/>
        </w:rPr>
        <w:t>省，移动包括广东、广西、上海、湖北、江</w:t>
      </w:r>
      <w:r>
        <w:rPr>
          <w:rFonts w:ascii="SimSun" w:hAnsi="SimSun" w:eastAsia="SimSun" w:cs="SimSun"/>
          <w:sz w:val="30"/>
          <w:szCs w:val="30"/>
          <w:spacing w:val="-5"/>
        </w:rPr>
        <w:t>西、贵</w:t>
      </w:r>
      <w:r>
        <w:rPr>
          <w:rFonts w:ascii="SimSun" w:hAnsi="SimSun" w:eastAsia="SimSun" w:cs="SimSun"/>
          <w:sz w:val="30"/>
          <w:szCs w:val="30"/>
          <w:spacing w:val="-7"/>
        </w:rPr>
        <w:t>州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6</w:t>
      </w:r>
      <w:r>
        <w:rPr>
          <w:rFonts w:ascii="Times New Roman" w:hAnsi="Times New Roman" w:eastAsia="Times New Roman" w:cs="Times New Roma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省，省内大单份额超过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10%</w:t>
      </w:r>
      <w:r>
        <w:rPr>
          <w:rFonts w:ascii="SimSun" w:hAnsi="SimSun" w:eastAsia="SimSun" w:cs="SimSun"/>
          <w:sz w:val="30"/>
          <w:szCs w:val="30"/>
          <w:spacing w:val="-7"/>
        </w:rPr>
        <w:t>，是当前县域数据能力建设项目</w:t>
      </w:r>
      <w:r>
        <w:rPr>
          <w:rFonts w:ascii="SimSun" w:hAnsi="SimSun" w:eastAsia="SimSun" w:cs="SimSun"/>
          <w:sz w:val="30"/>
          <w:szCs w:val="30"/>
          <w:spacing w:val="-9"/>
        </w:rPr>
        <w:t>收入的主阵地。移动在河南、辽宁两北方省份也具有优势， 客户</w:t>
      </w:r>
      <w:r>
        <w:rPr>
          <w:rFonts w:ascii="SimSun" w:hAnsi="SimSun" w:eastAsia="SimSun" w:cs="SimSun"/>
          <w:sz w:val="30"/>
          <w:szCs w:val="30"/>
          <w:spacing w:val="-4"/>
        </w:rPr>
        <w:t>涵盖辽宁阜新市、河南郑州市二七区、焦作市中站区、修武县等</w:t>
      </w:r>
      <w:r>
        <w:rPr>
          <w:rFonts w:ascii="SimSun" w:hAnsi="SimSun" w:eastAsia="SimSun" w:cs="SimSun"/>
          <w:sz w:val="30"/>
          <w:szCs w:val="30"/>
          <w:spacing w:val="-7"/>
        </w:rPr>
        <w:t>数据管理部门。</w:t>
      </w:r>
    </w:p>
    <w:p>
      <w:pPr>
        <w:ind w:firstLine="206"/>
        <w:spacing w:line="7838" w:lineRule="exact"/>
        <w:rPr/>
      </w:pPr>
      <w:r>
        <w:rPr>
          <w:position w:val="-156"/>
        </w:rPr>
        <w:drawing>
          <wp:inline distT="0" distB="0" distL="0" distR="0">
            <wp:extent cx="5021579" cy="4977383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1579" cy="497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07"/>
        <w:spacing w:before="307" w:line="228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5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9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~</w:t>
      </w:r>
      <w:r>
        <w:rPr>
          <w:rFonts w:ascii="KaiTi" w:hAnsi="KaiTi" w:eastAsia="KaiTi" w:cs="KaiTi"/>
          <w:sz w:val="30"/>
          <w:szCs w:val="30"/>
          <w:spacing w:val="-3"/>
        </w:rPr>
        <w:t>2023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上半年电信</w:t>
      </w:r>
      <w:r>
        <w:rPr>
          <w:rFonts w:ascii="KaiTi" w:hAnsi="KaiTi" w:eastAsia="KaiTi" w:cs="KaiTi"/>
          <w:sz w:val="30"/>
          <w:szCs w:val="30"/>
          <w:spacing w:val="-7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VS</w:t>
      </w:r>
      <w:r>
        <w:rPr>
          <w:rFonts w:ascii="KaiTi" w:hAnsi="KaiTi" w:eastAsia="KaiTi" w:cs="KaiTi"/>
          <w:sz w:val="30"/>
          <w:szCs w:val="30"/>
          <w:spacing w:val="-6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移动千万大单市场竞争</w:t>
      </w:r>
    </w:p>
    <w:p>
      <w:pPr>
        <w:spacing w:line="228" w:lineRule="auto"/>
        <w:sectPr>
          <w:pgSz w:w="11907" w:h="16839"/>
          <w:pgMar w:top="400" w:right="1785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26" w:right="232" w:firstLine="635"/>
        <w:spacing w:before="98" w:line="33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电信在全国半数省份的大单份额低于</w:t>
      </w:r>
      <w:r>
        <w:rPr>
          <w:rFonts w:ascii="SimSun" w:hAnsi="SimSun" w:eastAsia="SimSun" w:cs="SimSun"/>
          <w:sz w:val="30"/>
          <w:szCs w:val="3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5%</w:t>
      </w:r>
      <w:r>
        <w:rPr>
          <w:rFonts w:ascii="SimSun" w:hAnsi="SimSun" w:eastAsia="SimSun" w:cs="SimSun"/>
          <w:sz w:val="30"/>
          <w:szCs w:val="30"/>
          <w:spacing w:val="-4"/>
        </w:rPr>
        <w:t>，主要包括四川、</w:t>
      </w:r>
      <w:r>
        <w:rPr>
          <w:rFonts w:ascii="SimSun" w:hAnsi="SimSun" w:eastAsia="SimSun" w:cs="SimSun"/>
          <w:sz w:val="30"/>
          <w:szCs w:val="30"/>
          <w:spacing w:val="-3"/>
        </w:rPr>
        <w:t>山东、河南、北京、陕西等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15</w:t>
      </w:r>
      <w:r>
        <w:rPr>
          <w:rFonts w:ascii="Times New Roman" w:hAnsi="Times New Roman" w:eastAsia="Times New Roman" w:cs="Times New Roman"/>
          <w:sz w:val="30"/>
          <w:szCs w:val="30"/>
          <w:spacing w:val="5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个中西部和北方省份，仅在江西</w:t>
      </w:r>
      <w:r>
        <w:rPr>
          <w:rFonts w:ascii="SimSun" w:hAnsi="SimSun" w:eastAsia="SimSun" w:cs="SimSun"/>
          <w:sz w:val="30"/>
          <w:szCs w:val="30"/>
          <w:spacing w:val="-5"/>
        </w:rPr>
        <w:t>鹰潭、山东安丘、四川德阳有千万项目中标，市场急需开拓（图</w:t>
      </w:r>
      <w:r>
        <w:rPr>
          <w:rFonts w:ascii="Times New Roman" w:hAnsi="Times New Roman" w:eastAsia="Times New Roman" w:cs="Times New Roman"/>
          <w:sz w:val="30"/>
          <w:szCs w:val="30"/>
          <w:spacing w:val="-41"/>
        </w:rPr>
        <w:t>9</w:t>
      </w:r>
      <w:r>
        <w:rPr>
          <w:rFonts w:ascii="SimSun" w:hAnsi="SimSun" w:eastAsia="SimSun" w:cs="SimSun"/>
          <w:sz w:val="30"/>
          <w:szCs w:val="30"/>
          <w:spacing w:val="-41"/>
        </w:rPr>
        <w:t>）。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三、中国电信发展问题及策略建议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ind w:left="25" w:right="127" w:firstLine="629"/>
        <w:spacing w:before="97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6"/>
        </w:rPr>
        <w:t>中国电信上半年获得县域数据能力建设项目的规模同比下</w:t>
      </w:r>
      <w:r>
        <w:rPr>
          <w:rFonts w:ascii="SimSun" w:hAnsi="SimSun" w:eastAsia="SimSun" w:cs="SimSun"/>
          <w:sz w:val="30"/>
          <w:szCs w:val="30"/>
          <w:spacing w:val="-4"/>
        </w:rPr>
        <w:t>降，除了友商竞争加剧外，自身存在两方面的突出问题：①省内</w:t>
      </w:r>
      <w:r>
        <w:rPr>
          <w:rFonts w:ascii="SimSun" w:hAnsi="SimSun" w:eastAsia="SimSun" w:cs="SimSun"/>
          <w:sz w:val="30"/>
          <w:szCs w:val="30"/>
          <w:spacing w:val="-4"/>
        </w:rPr>
        <w:t>公司协同不够，部分省份面对大单，出现省公司、区县公司、专</w:t>
      </w:r>
      <w:r>
        <w:rPr>
          <w:rFonts w:ascii="SimSun" w:hAnsi="SimSun" w:eastAsia="SimSun" w:cs="SimSun"/>
          <w:sz w:val="30"/>
          <w:szCs w:val="30"/>
          <w:spacing w:val="-4"/>
        </w:rPr>
        <w:t>业公司多方各自参与项目投标现象，资源无法共通，没有形成合</w:t>
      </w:r>
      <w:r>
        <w:rPr>
          <w:rFonts w:ascii="SimSun" w:hAnsi="SimSun" w:eastAsia="SimSun" w:cs="SimSun"/>
          <w:sz w:val="30"/>
          <w:szCs w:val="30"/>
          <w:spacing w:val="-4"/>
        </w:rPr>
        <w:t>力，导致方案定制性和灵活性不足，尽管报价低于友商，却未能</w:t>
      </w:r>
      <w:r>
        <w:rPr>
          <w:rFonts w:ascii="SimSun" w:hAnsi="SimSun" w:eastAsia="SimSun" w:cs="SimSun"/>
          <w:sz w:val="30"/>
          <w:szCs w:val="30"/>
          <w:spacing w:val="-4"/>
        </w:rPr>
        <w:t>中标；②全国县域发展不均衡，中西部和北方部分省份县域市场</w:t>
      </w:r>
      <w:r>
        <w:rPr>
          <w:rFonts w:ascii="SimSun" w:hAnsi="SimSun" w:eastAsia="SimSun" w:cs="SimSun"/>
          <w:sz w:val="30"/>
          <w:szCs w:val="30"/>
          <w:spacing w:val="-10"/>
        </w:rPr>
        <w:t>下沉力度不够，大单项目中标能力不足，市</w:t>
      </w:r>
      <w:r>
        <w:rPr>
          <w:rFonts w:ascii="SimSun" w:hAnsi="SimSun" w:eastAsia="SimSun" w:cs="SimSun"/>
          <w:sz w:val="30"/>
          <w:szCs w:val="30"/>
          <w:spacing w:val="-11"/>
        </w:rPr>
        <w:t>场解决方案急需开拓。</w:t>
      </w:r>
    </w:p>
    <w:p>
      <w:pPr>
        <w:ind w:left="636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．打通商情资源壁垒，形成内外部合力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ind w:left="25" w:firstLine="602"/>
        <w:spacing w:before="97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县域商情主要来自政企、地方一线和政府规划</w:t>
      </w:r>
      <w:r>
        <w:rPr>
          <w:rFonts w:ascii="SimSun" w:hAnsi="SimSun" w:eastAsia="SimSun" w:cs="SimSun"/>
          <w:sz w:val="30"/>
          <w:szCs w:val="30"/>
          <w:spacing w:val="-5"/>
        </w:rPr>
        <w:t>，市场规模易</w:t>
      </w:r>
      <w:r>
        <w:rPr>
          <w:rFonts w:ascii="SimSun" w:hAnsi="SimSun" w:eastAsia="SimSun" w:cs="SimSun"/>
          <w:sz w:val="30"/>
          <w:szCs w:val="30"/>
          <w:spacing w:val="-4"/>
        </w:rPr>
        <w:t>受数据局等重点部门发布的大单影响，集团可利用商机平台，打</w:t>
      </w:r>
      <w:r>
        <w:rPr>
          <w:rFonts w:ascii="SimSun" w:hAnsi="SimSun" w:eastAsia="SimSun" w:cs="SimSun"/>
          <w:sz w:val="30"/>
          <w:szCs w:val="30"/>
          <w:spacing w:val="-10"/>
        </w:rPr>
        <w:t>造县域统一的大单商情数据库，包括重点客</w:t>
      </w:r>
      <w:r>
        <w:rPr>
          <w:rFonts w:ascii="SimSun" w:hAnsi="SimSun" w:eastAsia="SimSun" w:cs="SimSun"/>
          <w:sz w:val="30"/>
          <w:szCs w:val="30"/>
          <w:spacing w:val="-11"/>
        </w:rPr>
        <w:t>户清单、县域产品库、</w:t>
      </w:r>
      <w:r>
        <w:rPr>
          <w:rFonts w:ascii="SimSun" w:hAnsi="SimSun" w:eastAsia="SimSun" w:cs="SimSun"/>
          <w:sz w:val="30"/>
          <w:szCs w:val="30"/>
          <w:spacing w:val="-4"/>
        </w:rPr>
        <w:t>本地生态企业库等，面对大单项目的预警、预研、分派和成果考</w:t>
      </w:r>
      <w:r>
        <w:rPr>
          <w:rFonts w:ascii="SimSun" w:hAnsi="SimSun" w:eastAsia="SimSun" w:cs="SimSun"/>
          <w:sz w:val="30"/>
          <w:szCs w:val="30"/>
          <w:spacing w:val="-4"/>
        </w:rPr>
        <w:t>核，实现集团到省、专业公司的上下协同、资源能力共享以及互</w:t>
      </w:r>
      <w:r>
        <w:rPr>
          <w:rFonts w:ascii="SimSun" w:hAnsi="SimSun" w:eastAsia="SimSun" w:cs="SimSun"/>
          <w:sz w:val="30"/>
          <w:szCs w:val="30"/>
          <w:spacing w:val="-4"/>
        </w:rPr>
        <w:t>利的考核机制；同时加强区县公司在本地数据资源上的积累，加</w:t>
      </w:r>
      <w:r>
        <w:rPr>
          <w:rFonts w:ascii="SimSun" w:hAnsi="SimSun" w:eastAsia="SimSun" w:cs="SimSun"/>
          <w:sz w:val="30"/>
          <w:szCs w:val="30"/>
          <w:spacing w:val="-6"/>
        </w:rPr>
        <w:t>快梳理本地业务流程，省市公司需综合考虑区域内建设运营特点，</w:t>
      </w:r>
      <w:r>
        <w:rPr>
          <w:rFonts w:ascii="SimSun" w:hAnsi="SimSun" w:eastAsia="SimSun" w:cs="SimSun"/>
          <w:sz w:val="30"/>
          <w:szCs w:val="30"/>
          <w:spacing w:val="-4"/>
        </w:rPr>
        <w:t>聚焦县域数据重点应用场景，与专业公司、中通服等一起打造适</w:t>
      </w:r>
      <w:r>
        <w:rPr>
          <w:rFonts w:ascii="SimSun" w:hAnsi="SimSun" w:eastAsia="SimSun" w:cs="SimSun"/>
          <w:sz w:val="30"/>
          <w:szCs w:val="30"/>
          <w:spacing w:val="-5"/>
        </w:rPr>
        <w:t>合本地建设的解决方案。</w:t>
      </w:r>
    </w:p>
    <w:p>
      <w:pPr>
        <w:spacing w:line="333" w:lineRule="auto"/>
        <w:sectPr>
          <w:pgSz w:w="11907" w:h="16839"/>
          <w:pgMar w:top="400" w:right="1566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25" w:right="116" w:firstLine="599"/>
        <w:spacing w:before="97" w:line="277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．结合地区数据资源禀赋，统筹布局县域数据中心基础设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施建设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ind w:left="26" w:right="25" w:firstLine="628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中西部和北方受地区资源限制，县域下沉不足，可对标华</w:t>
      </w:r>
      <w:r>
        <w:rPr>
          <w:rFonts w:ascii="SimSun" w:hAnsi="SimSun" w:eastAsia="SimSun" w:cs="SimSun"/>
          <w:sz w:val="30"/>
          <w:szCs w:val="30"/>
          <w:spacing w:val="-14"/>
        </w:rPr>
        <w:t>为，</w:t>
      </w:r>
      <w:r>
        <w:rPr>
          <w:rFonts w:ascii="SimSun" w:hAnsi="SimSun" w:eastAsia="SimSun" w:cs="SimSun"/>
          <w:sz w:val="30"/>
          <w:szCs w:val="30"/>
          <w:spacing w:val="1"/>
        </w:rPr>
        <w:t>发挥已有的 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5G</w:t>
      </w:r>
      <w:r>
        <w:rPr>
          <w:rFonts w:ascii="SimSun" w:hAnsi="SimSun" w:eastAsia="SimSun" w:cs="SimSun"/>
          <w:sz w:val="30"/>
          <w:szCs w:val="30"/>
          <w:spacing w:val="1"/>
        </w:rPr>
        <w:t>、云网等基础设施资源，由集团相关部</w:t>
      </w:r>
      <w:r>
        <w:rPr>
          <w:rFonts w:ascii="SimSun" w:hAnsi="SimSun" w:eastAsia="SimSun" w:cs="SimSun"/>
          <w:sz w:val="30"/>
          <w:szCs w:val="30"/>
        </w:rPr>
        <w:t>门牵头，</w:t>
      </w:r>
      <w:r>
        <w:rPr>
          <w:rFonts w:ascii="SimSun" w:hAnsi="SimSun" w:eastAsia="SimSun" w:cs="SimSun"/>
          <w:sz w:val="30"/>
          <w:szCs w:val="30"/>
          <w:spacing w:val="-14"/>
        </w:rPr>
        <w:t>联合地方省公司，将数据、安全能力分类分级，下沉至县域市场，</w:t>
      </w:r>
      <w:r>
        <w:rPr>
          <w:rFonts w:ascii="SimSun" w:hAnsi="SimSun" w:eastAsia="SimSun" w:cs="SimSun"/>
          <w:sz w:val="30"/>
          <w:szCs w:val="30"/>
          <w:spacing w:val="-4"/>
        </w:rPr>
        <w:t>以智慧城市中数据底座建设内容为抓手，逐步摸清政府、企事业</w:t>
      </w:r>
      <w:r>
        <w:rPr>
          <w:rFonts w:ascii="SimSun" w:hAnsi="SimSun" w:eastAsia="SimSun" w:cs="SimSun"/>
          <w:sz w:val="30"/>
          <w:szCs w:val="30"/>
          <w:spacing w:val="-4"/>
        </w:rPr>
        <w:t>单位等数据内容，打造内外部县域数据能力体系。同时统筹省内</w:t>
      </w:r>
      <w:r>
        <w:rPr>
          <w:rFonts w:ascii="SimSun" w:hAnsi="SimSun" w:eastAsia="SimSun" w:cs="SimSun"/>
          <w:sz w:val="30"/>
          <w:szCs w:val="30"/>
          <w:spacing w:val="-4"/>
        </w:rPr>
        <w:t>周边区县发展情况，集约建设数据中心和应用平台，满足区域性</w:t>
      </w:r>
      <w:r>
        <w:rPr>
          <w:rFonts w:ascii="SimSun" w:hAnsi="SimSun" w:eastAsia="SimSun" w:cs="SimSun"/>
          <w:sz w:val="30"/>
          <w:szCs w:val="30"/>
        </w:rPr>
        <w:t>数据汇集和场景应用，打造“数据</w:t>
      </w:r>
      <w:r>
        <w:rPr>
          <w:rFonts w:ascii="Times New Roman" w:hAnsi="Times New Roman" w:eastAsia="Times New Roman" w:cs="Times New Roman"/>
          <w:sz w:val="30"/>
          <w:szCs w:val="30"/>
        </w:rPr>
        <w:t>-</w:t>
      </w:r>
      <w:r>
        <w:rPr>
          <w:rFonts w:ascii="SimSun" w:hAnsi="SimSun" w:eastAsia="SimSun" w:cs="SimSun"/>
          <w:sz w:val="30"/>
          <w:szCs w:val="30"/>
        </w:rPr>
        <w:t>开发</w:t>
      </w:r>
      <w:r>
        <w:rPr>
          <w:rFonts w:ascii="Times New Roman" w:hAnsi="Times New Roman" w:eastAsia="Times New Roman" w:cs="Times New Roman"/>
          <w:sz w:val="30"/>
          <w:szCs w:val="30"/>
        </w:rPr>
        <w:t>-</w:t>
      </w:r>
      <w:r>
        <w:rPr>
          <w:rFonts w:ascii="SimSun" w:hAnsi="SimSun" w:eastAsia="SimSun" w:cs="SimSun"/>
          <w:sz w:val="30"/>
          <w:szCs w:val="30"/>
        </w:rPr>
        <w:t>应用</w:t>
      </w:r>
      <w:r>
        <w:rPr>
          <w:rFonts w:ascii="SimSun" w:hAnsi="SimSun" w:eastAsia="SimSun" w:cs="SimSun"/>
          <w:sz w:val="30"/>
          <w:szCs w:val="30"/>
          <w:spacing w:val="-1"/>
        </w:rPr>
        <w:t>”标杆案例，并在</w:t>
      </w:r>
      <w:r>
        <w:rPr>
          <w:rFonts w:ascii="SimSun" w:hAnsi="SimSun" w:eastAsia="SimSun" w:cs="SimSun"/>
          <w:sz w:val="30"/>
          <w:szCs w:val="30"/>
          <w:spacing w:val="-7"/>
        </w:rPr>
        <w:t>全国推广复制。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ind w:left="44"/>
        <w:spacing w:before="101" w:line="224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附录</w:t>
      </w:r>
      <w:r>
        <w:rPr>
          <w:rFonts w:ascii="SimHei" w:hAnsi="SimHei" w:eastAsia="SimHei" w:cs="SimHei"/>
          <w:sz w:val="31"/>
          <w:szCs w:val="31"/>
          <w:spacing w:val="-32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1：县域数据能力建设项目说明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31" w:firstLine="596"/>
        <w:spacing w:before="97" w:line="34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本文中涉及到的县域数据能力建设项目主要来自公开产数</w:t>
      </w:r>
      <w:r>
        <w:rPr>
          <w:rFonts w:ascii="SimSun" w:hAnsi="SimSun" w:eastAsia="SimSun" w:cs="SimSun"/>
          <w:sz w:val="30"/>
          <w:szCs w:val="30"/>
        </w:rPr>
        <w:t>市场招投标整理而来，包括中国政府采购网、公共资源</w:t>
      </w:r>
      <w:r>
        <w:rPr>
          <w:rFonts w:ascii="SimSun" w:hAnsi="SimSun" w:eastAsia="SimSun" w:cs="SimSun"/>
          <w:sz w:val="30"/>
          <w:szCs w:val="30"/>
          <w:spacing w:val="-1"/>
        </w:rPr>
        <w:t>交易网、</w:t>
      </w:r>
      <w:r>
        <w:rPr>
          <w:rFonts w:ascii="SimSun" w:hAnsi="SimSun" w:eastAsia="SimSun" w:cs="SimSun"/>
          <w:sz w:val="30"/>
          <w:szCs w:val="30"/>
          <w:spacing w:val="-2"/>
        </w:rPr>
        <w:t>必联网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/</w:t>
      </w:r>
      <w:r>
        <w:rPr>
          <w:rFonts w:ascii="SimSun" w:hAnsi="SimSun" w:eastAsia="SimSun" w:cs="SimSun"/>
          <w:sz w:val="30"/>
          <w:szCs w:val="30"/>
          <w:spacing w:val="-2"/>
        </w:rPr>
        <w:t>机电网，基本能够覆盖当前公开项目交易市场的</w:t>
      </w:r>
      <w:r>
        <w:rPr>
          <w:rFonts w:ascii="SimSun" w:hAnsi="SimSun" w:eastAsia="SimSun" w:cs="SimSun"/>
          <w:sz w:val="30"/>
          <w:szCs w:val="30"/>
          <w:spacing w:val="-3"/>
        </w:rPr>
        <w:t>情况。</w:t>
      </w:r>
    </w:p>
    <w:p>
      <w:pPr>
        <w:ind w:left="26" w:right="105" w:firstLine="601"/>
        <w:spacing w:before="243" w:line="32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县域判断：项目的采购方属于区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/</w:t>
      </w:r>
      <w:r>
        <w:rPr>
          <w:rFonts w:ascii="SimSun" w:hAnsi="SimSun" w:eastAsia="SimSun" w:cs="SimSun"/>
          <w:sz w:val="30"/>
          <w:szCs w:val="30"/>
          <w:spacing w:val="1"/>
        </w:rPr>
        <w:t>县级市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/</w:t>
      </w:r>
      <w:r>
        <w:rPr>
          <w:rFonts w:ascii="SimSun" w:hAnsi="SimSun" w:eastAsia="SimSun" w:cs="SimSun"/>
          <w:sz w:val="30"/>
          <w:szCs w:val="30"/>
          <w:spacing w:val="1"/>
        </w:rPr>
        <w:t>县一级的企事业单</w:t>
      </w:r>
      <w:r>
        <w:rPr>
          <w:rFonts w:ascii="SimSun" w:hAnsi="SimSun" w:eastAsia="SimSun" w:cs="SimSun"/>
          <w:sz w:val="30"/>
          <w:szCs w:val="30"/>
          <w:spacing w:val="-3"/>
        </w:rPr>
        <w:t>位，或者项目名称中包含区县相关的地理信息。</w:t>
      </w:r>
    </w:p>
    <w:p>
      <w:pPr>
        <w:ind w:left="25" w:right="2" w:firstLine="603"/>
        <w:spacing w:before="298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数据能力建设项目判断：项目名称包含“数据”关键词，表</w:t>
      </w:r>
      <w:r>
        <w:rPr>
          <w:rFonts w:ascii="SimSun" w:hAnsi="SimSun" w:eastAsia="SimSun" w:cs="SimSun"/>
          <w:sz w:val="30"/>
          <w:szCs w:val="30"/>
        </w:rPr>
        <w:t>示该项目将围绕数据相关内容进行建设，如数据中心、</w:t>
      </w:r>
      <w:r>
        <w:rPr>
          <w:rFonts w:ascii="SimSun" w:hAnsi="SimSun" w:eastAsia="SimSun" w:cs="SimSun"/>
          <w:sz w:val="30"/>
          <w:szCs w:val="30"/>
          <w:spacing w:val="-1"/>
        </w:rPr>
        <w:t>数据库、</w:t>
      </w:r>
      <w:r>
        <w:rPr>
          <w:rFonts w:ascii="SimSun" w:hAnsi="SimSun" w:eastAsia="SimSun" w:cs="SimSun"/>
          <w:sz w:val="30"/>
          <w:szCs w:val="30"/>
          <w:spacing w:val="-4"/>
        </w:rPr>
        <w:t>数据采集等，或者采购方包含“数据”关键词，代表该项目是数</w:t>
      </w:r>
      <w:r>
        <w:rPr>
          <w:rFonts w:ascii="SimSun" w:hAnsi="SimSun" w:eastAsia="SimSun" w:cs="SimSun"/>
          <w:sz w:val="30"/>
          <w:szCs w:val="30"/>
          <w:spacing w:val="-10"/>
        </w:rPr>
        <w:t>据相关单位直接采购的项目，如数据管理局</w:t>
      </w:r>
      <w:r>
        <w:rPr>
          <w:rFonts w:ascii="SimSun" w:hAnsi="SimSun" w:eastAsia="SimSun" w:cs="SimSun"/>
          <w:sz w:val="30"/>
          <w:szCs w:val="30"/>
          <w:spacing w:val="-11"/>
        </w:rPr>
        <w:t>、政务大数据中心等。</w:t>
      </w:r>
    </w:p>
    <w:p>
      <w:pPr>
        <w:spacing w:line="334" w:lineRule="auto"/>
        <w:sectPr>
          <w:pgSz w:w="11907" w:h="16839"/>
          <w:pgMar w:top="400" w:right="1691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ind w:left="44"/>
        <w:spacing w:before="100" w:line="224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附录</w:t>
      </w:r>
      <w:r>
        <w:rPr>
          <w:rFonts w:ascii="SimHei" w:hAnsi="SimHei" w:eastAsia="SimHei" w:cs="SimHei"/>
          <w:sz w:val="31"/>
          <w:szCs w:val="31"/>
          <w:spacing w:val="-58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2：县域数据能力建设项目规模预测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ind w:left="19" w:right="9" w:firstLine="607"/>
        <w:spacing w:before="98" w:line="31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本文的县域数据能力建设项目规模预测采用“季度</w:t>
      </w:r>
      <w:r>
        <w:rPr>
          <w:rFonts w:ascii="SimSun" w:hAnsi="SimSun" w:eastAsia="SimSun" w:cs="SimSun"/>
          <w:sz w:val="30"/>
          <w:szCs w:val="30"/>
          <w:spacing w:val="-5"/>
        </w:rPr>
        <w:t>环比增速</w:t>
      </w:r>
      <w:r>
        <w:rPr>
          <w:rFonts w:ascii="Times New Roman" w:hAnsi="Times New Roman" w:eastAsia="Times New Roman" w:cs="Times New Roman"/>
          <w:sz w:val="30"/>
          <w:szCs w:val="30"/>
        </w:rPr>
        <w:t>+</w:t>
      </w:r>
      <w:r>
        <w:rPr>
          <w:rFonts w:ascii="SimSun" w:hAnsi="SimSun" w:eastAsia="SimSun" w:cs="SimSun"/>
          <w:sz w:val="30"/>
          <w:szCs w:val="30"/>
        </w:rPr>
        <w:t>年度复合增速”模型，将全国数据要素市</w:t>
      </w:r>
      <w:r>
        <w:rPr>
          <w:rFonts w:ascii="SimSun" w:hAnsi="SimSun" w:eastAsia="SimSun" w:cs="SimSun"/>
          <w:sz w:val="30"/>
          <w:szCs w:val="30"/>
          <w:spacing w:val="-1"/>
        </w:rPr>
        <w:t>场规模复合增速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25%</w:t>
      </w:r>
      <w:r>
        <w:rPr>
          <w:rFonts w:ascii="SimSun" w:hAnsi="SimSun" w:eastAsia="SimSun" w:cs="SimSun"/>
          <w:sz w:val="30"/>
          <w:szCs w:val="30"/>
          <w:spacing w:val="2"/>
        </w:rPr>
        <w:t>作为基准增长</w:t>
      </w:r>
      <w:r>
        <w:rPr>
          <w:rFonts w:ascii="Times New Roman" w:hAnsi="Times New Roman" w:eastAsia="Times New Roman" w:cs="Times New Roman"/>
          <w:sz w:val="18"/>
          <w:szCs w:val="18"/>
          <w:spacing w:val="2"/>
          <w:position w:val="10"/>
        </w:rPr>
        <w:t>5 </w:t>
      </w:r>
      <w:r>
        <w:rPr>
          <w:rFonts w:ascii="SimSun" w:hAnsi="SimSun" w:eastAsia="SimSun" w:cs="SimSun"/>
          <w:sz w:val="30"/>
          <w:szCs w:val="30"/>
          <w:spacing w:val="2"/>
        </w:rPr>
        <w:t>，通过测算项目规模在季度间环比增速和往期增</w:t>
      </w:r>
      <w:r>
        <w:rPr>
          <w:rFonts w:ascii="SimSun" w:hAnsi="SimSun" w:eastAsia="SimSun" w:cs="SimSun"/>
          <w:sz w:val="30"/>
          <w:szCs w:val="30"/>
          <w:spacing w:val="-4"/>
        </w:rPr>
        <w:t>长对比情况预测下一个季度的项目规模，综合客观的反映未来项</w:t>
      </w:r>
      <w:r>
        <w:rPr>
          <w:rFonts w:ascii="SimSun" w:hAnsi="SimSun" w:eastAsia="SimSun" w:cs="SimSun"/>
          <w:sz w:val="30"/>
          <w:szCs w:val="30"/>
          <w:spacing w:val="-3"/>
        </w:rPr>
        <w:t>目规模发展情况。以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2023Q3 </w:t>
      </w:r>
      <w:r>
        <w:rPr>
          <w:rFonts w:ascii="SimSun" w:hAnsi="SimSun" w:eastAsia="SimSun" w:cs="SimSun"/>
          <w:sz w:val="30"/>
          <w:szCs w:val="30"/>
          <w:spacing w:val="-3"/>
        </w:rPr>
        <w:t>预测为例：</w:t>
      </w:r>
    </w:p>
    <w:p>
      <w:pPr>
        <w:ind w:left="361"/>
        <w:spacing w:line="537" w:lineRule="exac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7"/>
        </w:rPr>
        <w:t>2023Q3 = 2023Q2(1 + (1 + </w:t>
      </w:r>
      <w:r>
        <w:rPr>
          <w:rFonts w:ascii="Microsoft YaHei" w:hAnsi="Microsoft YaHei" w:eastAsia="Microsoft YaHei" w:cs="Microsoft YaHei"/>
          <w:sz w:val="22"/>
          <w:szCs w:val="22"/>
          <w:spacing w:val="-7"/>
          <w:position w:val="16"/>
        </w:rPr>
        <w:t>20</w:t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rFonts w:ascii="Microsoft YaHei" w:hAnsi="Microsoft YaHei" w:eastAsia="Microsoft YaHei" w:cs="Microsoft YaHei"/>
                <w:sz w:val="22"/>
                <w:szCs w:val="22"/>
                <w:w w:val="91"/>
                <w:position w:val="1"/>
              </w:rPr>
              <w:t>23Q2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strike/>
                <w:w w:val="91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w w:val="67"/>
                <w:position w:val="1"/>
              </w:rPr>
              <w:t>一</w:t>
            </w:r>
          </w:rt>
          <w:rubyBase>
            <w:r>
              <w:rPr>
                <w:rFonts w:ascii="Microsoft YaHei" w:hAnsi="Microsoft YaHei" w:eastAsia="Microsoft YaHei" w:cs="Microsoft YaHei"/>
                <w:sz w:val="22"/>
                <w:szCs w:val="22"/>
                <w:w w:val="94"/>
                <w:position w:val="-15"/>
              </w:rPr>
              <w:t>2023Q1</w:t>
            </w:r>
          </w:rubyBase>
        </w:ruby>
      </w:r>
      <w:r>
        <w:rPr>
          <w:rFonts w:ascii="Microsoft YaHei" w:hAnsi="Microsoft YaHei" w:eastAsia="Microsoft YaHei" w:cs="Microsoft YaHei"/>
          <w:sz w:val="22"/>
          <w:szCs w:val="22"/>
          <w:spacing w:val="-7"/>
          <w:position w:val="16"/>
        </w:rPr>
        <w:t>Q1</w:t>
      </w:r>
      <w:r>
        <w:rPr>
          <w:rFonts w:ascii="Microsoft YaHei" w:hAnsi="Microsoft YaHei" w:eastAsia="Microsoft YaHei" w:cs="Microsoft YaHei"/>
          <w:sz w:val="22"/>
          <w:szCs w:val="22"/>
          <w:spacing w:val="-8"/>
          <w:position w:val="16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8"/>
        </w:rPr>
        <w:t>一 </w:t>
      </w:r>
      <w:r>
        <w:rPr>
          <w:rFonts w:ascii="Microsoft YaHei" w:hAnsi="Microsoft YaHei" w:eastAsia="Microsoft YaHei" w:cs="Microsoft YaHei"/>
          <w:sz w:val="22"/>
          <w:szCs w:val="22"/>
          <w:spacing w:val="-8"/>
          <w:position w:val="16"/>
        </w:rPr>
        <w:t>20</w:t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rFonts w:ascii="Microsoft YaHei" w:hAnsi="Microsoft YaHei" w:eastAsia="Microsoft YaHei" w:cs="Microsoft YaHei"/>
                <w:sz w:val="22"/>
                <w:szCs w:val="22"/>
                <w:w w:val="91"/>
                <w:position w:val="1"/>
              </w:rPr>
              <w:t>22Q2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strike/>
                <w:w w:val="91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2"/>
                <w:szCs w:val="22"/>
                <w:w w:val="67"/>
                <w:position w:val="1"/>
              </w:rPr>
              <w:t>一</w:t>
            </w:r>
          </w:rt>
          <w:rubyBase>
            <w:r>
              <w:rPr>
                <w:rFonts w:ascii="Microsoft YaHei" w:hAnsi="Microsoft YaHei" w:eastAsia="Microsoft YaHei" w:cs="Microsoft YaHei"/>
                <w:sz w:val="22"/>
                <w:szCs w:val="22"/>
                <w:w w:val="94"/>
                <w:position w:val="-15"/>
              </w:rPr>
              <w:t>2022Q1</w:t>
            </w:r>
          </w:rubyBase>
        </w:ruby>
      </w:r>
      <w:r>
        <w:rPr>
          <w:rFonts w:ascii="Microsoft YaHei" w:hAnsi="Microsoft YaHei" w:eastAsia="Microsoft YaHei" w:cs="Microsoft YaHei"/>
          <w:sz w:val="22"/>
          <w:szCs w:val="22"/>
          <w:spacing w:val="-8"/>
          <w:position w:val="16"/>
        </w:rPr>
        <w:t>Q1</w:t>
      </w:r>
      <w:r>
        <w:rPr>
          <w:rFonts w:ascii="Microsoft YaHei" w:hAnsi="Microsoft YaHei" w:eastAsia="Microsoft YaHei" w:cs="Microsoft YaHei"/>
          <w:sz w:val="22"/>
          <w:szCs w:val="22"/>
          <w:spacing w:val="-8"/>
        </w:rPr>
        <w:t>) *</w:t>
      </w:r>
      <w:r>
        <w:rPr>
          <w:rFonts w:ascii="Microsoft YaHei" w:hAnsi="Microsoft YaHei" w:eastAsia="Microsoft YaHei" w:cs="Microsoft YaHei"/>
          <w:sz w:val="22"/>
          <w:szCs w:val="22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8"/>
        </w:rPr>
        <w:t>(1 +</w:t>
      </w: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8"/>
        </w:rPr>
        <w:t>0.25))Λ</w:t>
      </w:r>
      <w:r>
        <w:rPr>
          <w:rFonts w:ascii="Microsoft YaHei" w:hAnsi="Microsoft YaHei" w:eastAsia="Microsoft YaHei" w:cs="Microsoft YaHei"/>
          <w:sz w:val="22"/>
          <w:szCs w:val="22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spacing w:val="-8"/>
        </w:rPr>
        <w:t>(1/2)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ind w:firstLine="244"/>
        <w:spacing w:line="4733" w:lineRule="exact"/>
        <w:rPr/>
      </w:pPr>
      <w:r>
        <w:rPr>
          <w:position w:val="-94"/>
        </w:rPr>
        <w:drawing>
          <wp:inline distT="0" distB="0" distL="0" distR="0">
            <wp:extent cx="5091683" cy="300532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1683" cy="300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6"/>
        <w:spacing w:before="305" w:line="217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30"/>
          <w:szCs w:val="30"/>
          <w:spacing w:val="-2"/>
        </w:rPr>
        <w:t>附图</w:t>
      </w:r>
      <w:r>
        <w:rPr>
          <w:rFonts w:ascii="KaiTi" w:hAnsi="KaiTi" w:eastAsia="KaiTi" w:cs="KaiTi"/>
          <w:sz w:val="30"/>
          <w:szCs w:val="30"/>
          <w:spacing w:val="-47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1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各季度数据能力建设县域项目规模</w:t>
      </w:r>
      <w:r>
        <w:rPr>
          <w:rFonts w:ascii="KaiTi" w:hAnsi="KaiTi" w:eastAsia="KaiTi" w:cs="KaiTi"/>
          <w:sz w:val="30"/>
          <w:szCs w:val="30"/>
          <w:spacing w:val="-3"/>
        </w:rPr>
        <w:t>预测</w:t>
      </w:r>
      <w:r>
        <w:rPr>
          <w:rFonts w:ascii="KaiTi" w:hAnsi="KaiTi" w:eastAsia="KaiTi" w:cs="KaiTi"/>
          <w:sz w:val="24"/>
          <w:szCs w:val="24"/>
          <w:spacing w:val="-3"/>
        </w:rPr>
        <w:t>(万元)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8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</w:t>
      </w:r>
      <w:r>
        <w:rPr>
          <w:rFonts w:ascii="KaiTi" w:hAnsi="KaiTi" w:eastAsia="KaiTi" w:cs="KaiTi"/>
          <w:spacing w:val="-2"/>
        </w:rPr>
        <w:t>战略发展研究所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>
        <w:pict>
          <v:shape id="_x0000_s48" style="position:absolute;margin-left:0.72599pt;margin-top:11.3049pt;mso-position-vertical-relative:text;mso-position-horizontal-relative:text;width:144.05pt;height:0.5pt;z-index:251737088;" fillcolor="#000000" filled="true" stroked="false" coordsize="2881,10" coordorigin="0,0" path="m0,9l2880,9l2880,0l0,0l0,9xe"/>
        </w:pict>
      </w:r>
      <w:r/>
    </w:p>
    <w:p>
      <w:pPr>
        <w:ind w:left="25" w:right="72" w:hanging="5"/>
        <w:spacing w:before="72" w:line="242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2"/>
          <w:position w:val="10"/>
        </w:rPr>
        <w:t>5</w:t>
      </w:r>
      <w:r>
        <w:rPr>
          <w:rFonts w:ascii="DengXian" w:hAnsi="DengXian" w:eastAsia="DengXian" w:cs="DengXian"/>
          <w:sz w:val="11"/>
          <w:szCs w:val="11"/>
          <w:spacing w:val="11"/>
          <w:w w:val="101"/>
          <w:position w:val="10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2"/>
        </w:rPr>
        <w:t>在 2022 全球数商大会上，</w:t>
      </w:r>
      <w:r>
        <w:rPr>
          <w:rFonts w:ascii="DengXian" w:hAnsi="DengXian" w:eastAsia="DengXian" w:cs="DengXian"/>
          <w:sz w:val="21"/>
          <w:szCs w:val="21"/>
          <w:spacing w:val="-3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2"/>
        </w:rPr>
        <w:t>国家工业信息安全发展研究中心联合北京大学光华管理学院、</w:t>
      </w:r>
      <w:r>
        <w:rPr>
          <w:rFonts w:ascii="DengXian" w:hAnsi="DengXian" w:eastAsia="DengXian" w:cs="DengXian"/>
          <w:sz w:val="21"/>
          <w:szCs w:val="21"/>
          <w:spacing w:val="-1"/>
        </w:rPr>
        <w:t>苏州工业园区管理委员会</w:t>
      </w:r>
      <w:r>
        <w:rPr>
          <w:rFonts w:ascii="DengXian" w:hAnsi="DengXian" w:eastAsia="DengXian" w:cs="DengXian"/>
          <w:sz w:val="21"/>
          <w:szCs w:val="21"/>
          <w:spacing w:val="-25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1"/>
        </w:rPr>
        <w:t>、上海数据交易所共同编写发布《中国数据要素市场发展报告</w:t>
      </w:r>
      <w:r>
        <w:rPr>
          <w:rFonts w:ascii="DengXian" w:hAnsi="DengXian" w:eastAsia="DengXian" w:cs="DengXian"/>
          <w:sz w:val="21"/>
          <w:szCs w:val="21"/>
        </w:rPr>
        <w:t xml:space="preserve">  </w:t>
      </w:r>
      <w:r>
        <w:rPr>
          <w:rFonts w:ascii="DengXian" w:hAnsi="DengXian" w:eastAsia="DengXian" w:cs="DengXian"/>
          <w:sz w:val="21"/>
          <w:szCs w:val="21"/>
          <w:spacing w:val="-10"/>
        </w:rPr>
        <w:t>（2021-2022）》</w:t>
      </w:r>
    </w:p>
    <w:p>
      <w:pPr>
        <w:spacing w:line="242" w:lineRule="auto"/>
        <w:sectPr>
          <w:pgSz w:w="11907" w:h="16839"/>
          <w:pgMar w:top="400" w:right="1785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226847</wp:posOffset>
            </wp:positionH>
            <wp:positionV relativeFrom="paragraph">
              <wp:posOffset>146370</wp:posOffset>
            </wp:positionV>
            <wp:extent cx="781812" cy="3465576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1812" cy="3465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2264"/>
        <w:spacing w:before="91" w:line="220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裴迎栋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【15605178332】</w:t>
      </w:r>
    </w:p>
    <w:p>
      <w:pPr>
        <w:ind w:left="2269" w:right="203" w:firstLine="268"/>
        <w:spacing w:before="115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数据分析师，主要从事数据模型构建及产业数</w:t>
      </w:r>
      <w:r>
        <w:rPr>
          <w:rFonts w:ascii="KaiTi" w:hAnsi="KaiTi" w:eastAsia="KaiTi" w:cs="KaiTi"/>
          <w:sz w:val="28"/>
          <w:szCs w:val="28"/>
          <w:spacing w:val="-4"/>
        </w:rPr>
        <w:t>字化发展趋势跟踪研究。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2269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李一明</w:t>
      </w:r>
    </w:p>
    <w:p>
      <w:pPr>
        <w:ind w:left="2266" w:right="203" w:firstLine="300"/>
        <w:spacing w:before="112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高级工程师，在移动业务市场、商业模式研究</w:t>
      </w:r>
      <w:r>
        <w:rPr>
          <w:rFonts w:ascii="KaiTi" w:hAnsi="KaiTi" w:eastAsia="KaiTi" w:cs="KaiTi"/>
          <w:sz w:val="28"/>
          <w:szCs w:val="28"/>
          <w:spacing w:val="-1"/>
        </w:rPr>
        <w:t>方面有超过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25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年的项目经历，近年专注于</w:t>
      </w:r>
      <w:r>
        <w:rPr>
          <w:rFonts w:ascii="KaiTi" w:hAnsi="KaiTi" w:eastAsia="KaiTi" w:cs="KaiTi"/>
          <w:sz w:val="28"/>
          <w:szCs w:val="28"/>
          <w:spacing w:val="-6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5G</w:t>
      </w:r>
      <w:r>
        <w:rPr>
          <w:rFonts w:ascii="KaiTi" w:hAnsi="KaiTi" w:eastAsia="KaiTi" w:cs="KaiTi"/>
          <w:sz w:val="28"/>
          <w:szCs w:val="28"/>
          <w:spacing w:val="-1"/>
        </w:rPr>
        <w:t>行业应用、工业互联网等方面的研究。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2285"/>
        <w:spacing w:before="91" w:line="22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2"/>
        </w:rPr>
        <w:t>田盼</w:t>
      </w:r>
    </w:p>
    <w:p>
      <w:pPr>
        <w:ind w:left="2258" w:right="203" w:firstLine="315"/>
        <w:spacing w:before="105" w:line="226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中级工程师，长期从事行业数字化政策、需求</w:t>
      </w:r>
      <w:r>
        <w:rPr>
          <w:rFonts w:ascii="KaiTi" w:hAnsi="KaiTi" w:eastAsia="KaiTi" w:cs="KaiTi"/>
          <w:sz w:val="28"/>
          <w:szCs w:val="28"/>
          <w:spacing w:val="-1"/>
        </w:rPr>
        <w:t>和发展趋势研究，擅长通过定性和定量结合的方</w:t>
      </w:r>
      <w:r>
        <w:rPr>
          <w:rFonts w:ascii="KaiTi" w:hAnsi="KaiTi" w:eastAsia="KaiTi" w:cs="KaiTi"/>
          <w:sz w:val="28"/>
          <w:szCs w:val="28"/>
          <w:spacing w:val="-1"/>
        </w:rPr>
        <w:t>式进行行业研究。</w:t>
      </w:r>
    </w:p>
    <w:sectPr>
      <w:pgSz w:w="11907" w:h="16839"/>
      <w:pgMar w:top="400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jpeg"/><Relationship Id="rId8" Type="http://schemas.openxmlformats.org/officeDocument/2006/relationships/image" Target="media/image6.png"/><Relationship Id="rId7" Type="http://schemas.openxmlformats.org/officeDocument/2006/relationships/image" Target="media/image5.jpeg"/><Relationship Id="rId6" Type="http://schemas.openxmlformats.org/officeDocument/2006/relationships/image" Target="media/image4.jpeg"/><Relationship Id="rId5" Type="http://schemas.openxmlformats.org/officeDocument/2006/relationships/image" Target="media/image3.png"/><Relationship Id="rId4" Type="http://schemas.openxmlformats.org/officeDocument/2006/relationships/image" Target="media/image2.png"/><Relationship Id="rId3" Type="http://schemas.openxmlformats.org/officeDocument/2006/relationships/header" Target="header2.xml"/><Relationship Id="rId2" Type="http://schemas.openxmlformats.org/officeDocument/2006/relationships/image" Target="media/image1.png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2023-09-20T11:18:46Z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2025-11-04T15:55:19</vt:filetime>
  </property>
</Properties>
</file>