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215"/>
        <w:spacing w:before="212" w:line="197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9"/>
        </w:rPr>
        <w:t>县域社区数字化建设中标项目分析与建议</w:t>
      </w:r>
    </w:p>
    <w:p>
      <w:pPr>
        <w:ind w:left="605"/>
        <w:spacing w:before="332" w:line="204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8"/>
        </w:rPr>
        <w:t>文/</w:t>
      </w:r>
      <w:r>
        <w:rPr>
          <w:rFonts w:ascii="STKaiti" w:hAnsi="STKaiti" w:eastAsia="STKaiti" w:cs="STKaiti"/>
          <w:sz w:val="30"/>
          <w:szCs w:val="30"/>
          <w:spacing w:val="27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8"/>
        </w:rPr>
        <w:t>郭靓</w:t>
      </w:r>
      <w:r>
        <w:rPr>
          <w:rFonts w:ascii="STKaiti" w:hAnsi="STKaiti" w:eastAsia="STKaiti" w:cs="STKaiti"/>
          <w:sz w:val="30"/>
          <w:szCs w:val="30"/>
          <w:spacing w:val="16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8"/>
        </w:rPr>
        <w:t>裴迎栋</w:t>
      </w:r>
      <w:r>
        <w:rPr>
          <w:rFonts w:ascii="STKaiti" w:hAnsi="STKaiti" w:eastAsia="STKaiti" w:cs="STKaiti"/>
          <w:sz w:val="30"/>
          <w:szCs w:val="30"/>
          <w:spacing w:val="23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8"/>
        </w:rPr>
        <w:t>陈凤仙  马政   海明慈  孙恺泽  马天虎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ind w:left="33" w:firstLine="587"/>
        <w:spacing w:before="98" w:line="332" w:lineRule="auto"/>
        <w:jc w:val="both"/>
        <w:rPr>
          <w:rFonts w:ascii="FangSong" w:hAnsi="FangSong" w:eastAsia="FangSong" w:cs="FangSong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15"/>
        </w:rPr>
        <w:t>2021</w:t>
      </w:r>
      <w:r>
        <w:rPr>
          <w:rFonts w:ascii="Times New Roman" w:hAnsi="Times New Roman" w:eastAsia="Times New Roman" w:cs="Times New Roman"/>
          <w:sz w:val="30"/>
          <w:szCs w:val="30"/>
          <w:spacing w:val="42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15"/>
        </w:rPr>
        <w:t>年</w:t>
      </w:r>
      <w:r>
        <w:rPr>
          <w:rFonts w:ascii="FangSong" w:hAnsi="FangSong" w:eastAsia="FangSong" w:cs="FangSong"/>
          <w:sz w:val="30"/>
          <w:szCs w:val="30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5"/>
        </w:rPr>
        <w:t>12</w:t>
      </w:r>
      <w:r>
        <w:rPr>
          <w:rFonts w:ascii="Times New Roman" w:hAnsi="Times New Roman" w:eastAsia="Times New Roman" w:cs="Times New Roman"/>
          <w:sz w:val="30"/>
          <w:szCs w:val="30"/>
          <w:spacing w:val="33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15"/>
        </w:rPr>
        <w:t>月，国务院办公厅印发《“十四五”城乡社区服务</w:t>
      </w:r>
      <w:r>
        <w:rPr>
          <w:rFonts w:ascii="FangSong" w:hAnsi="FangSong" w:eastAsia="FangSong" w:cs="FangSong"/>
          <w:sz w:val="30"/>
          <w:szCs w:val="30"/>
          <w:spacing w:val="-4"/>
        </w:rPr>
        <w:t>体系建设规划》，提出“谱写城乡社区服务</w:t>
      </w:r>
      <w:r>
        <w:rPr>
          <w:rFonts w:ascii="FangSong" w:hAnsi="FangSong" w:eastAsia="FangSong" w:cs="FangSong"/>
          <w:sz w:val="30"/>
          <w:szCs w:val="30"/>
          <w:spacing w:val="-5"/>
        </w:rPr>
        <w:t>体系建设新篇章，完</w:t>
      </w:r>
      <w:r>
        <w:rPr>
          <w:rFonts w:ascii="FangSong" w:hAnsi="FangSong" w:eastAsia="FangSong" w:cs="FangSong"/>
          <w:sz w:val="30"/>
          <w:szCs w:val="30"/>
          <w:spacing w:val="-7"/>
        </w:rPr>
        <w:t>善城乡社区服务格局，增加城乡社区服务供给”。随后《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202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3</w:t>
      </w:r>
      <w:r>
        <w:rPr>
          <w:rFonts w:ascii="Times New Roman" w:hAnsi="Times New Roman" w:eastAsia="Times New Roman" w:cs="Times New Roman"/>
          <w:sz w:val="30"/>
          <w:szCs w:val="30"/>
          <w:spacing w:val="25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8"/>
        </w:rPr>
        <w:t>年</w:t>
      </w:r>
      <w:r>
        <w:rPr>
          <w:rFonts w:ascii="FangSong" w:hAnsi="FangSong" w:eastAsia="FangSong" w:cs="FangSong"/>
          <w:sz w:val="30"/>
          <w:szCs w:val="30"/>
          <w:spacing w:val="-4"/>
        </w:rPr>
        <w:t>数字乡村发展工作要点》《关于推进以县城为重要</w:t>
      </w:r>
      <w:r>
        <w:rPr>
          <w:rFonts w:ascii="FangSong" w:hAnsi="FangSong" w:eastAsia="FangSong" w:cs="FangSong"/>
          <w:sz w:val="30"/>
          <w:szCs w:val="30"/>
          <w:spacing w:val="-5"/>
        </w:rPr>
        <w:t>载体的城镇化</w:t>
      </w:r>
      <w:r>
        <w:rPr>
          <w:rFonts w:ascii="FangSong" w:hAnsi="FangSong" w:eastAsia="FangSong" w:cs="FangSong"/>
          <w:sz w:val="30"/>
          <w:szCs w:val="30"/>
          <w:spacing w:val="-11"/>
        </w:rPr>
        <w:t>建设的意见》等政策精准发布，县域社区数字化建设迎来新机遇。</w:t>
      </w:r>
      <w:r>
        <w:rPr>
          <w:rFonts w:ascii="FangSong" w:hAnsi="FangSong" w:eastAsia="FangSong" w:cs="FangSong"/>
          <w:sz w:val="30"/>
          <w:szCs w:val="30"/>
          <w:spacing w:val="-2"/>
        </w:rPr>
        <w:t>近日住房城乡建设部等七部委联合印发《关于扎实推进</w:t>
      </w:r>
      <w:r>
        <w:rPr>
          <w:rFonts w:ascii="FangSong" w:hAnsi="FangSong" w:eastAsia="FangSong" w:cs="FangSong"/>
          <w:sz w:val="30"/>
          <w:szCs w:val="30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2023</w:t>
      </w:r>
      <w:r>
        <w:rPr>
          <w:rFonts w:ascii="Times New Roman" w:hAnsi="Times New Roman" w:eastAsia="Times New Roman" w:cs="Times New Roman"/>
          <w:sz w:val="30"/>
          <w:szCs w:val="30"/>
          <w:spacing w:val="54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2"/>
        </w:rPr>
        <w:t>年</w:t>
      </w:r>
      <w:r>
        <w:rPr>
          <w:rFonts w:ascii="FangSong" w:hAnsi="FangSong" w:eastAsia="FangSong" w:cs="FangSong"/>
          <w:sz w:val="30"/>
          <w:szCs w:val="30"/>
          <w:spacing w:val="-4"/>
        </w:rPr>
        <w:t>城镇老旧小区改造工作的通知》，对今年下半年及明</w:t>
      </w:r>
      <w:r>
        <w:rPr>
          <w:rFonts w:ascii="FangSong" w:hAnsi="FangSong" w:eastAsia="FangSong" w:cs="FangSong"/>
          <w:sz w:val="30"/>
          <w:szCs w:val="30"/>
          <w:spacing w:val="-5"/>
        </w:rPr>
        <w:t>年的相关工</w:t>
      </w:r>
      <w:r>
        <w:rPr>
          <w:rFonts w:ascii="FangSong" w:hAnsi="FangSong" w:eastAsia="FangSong" w:cs="FangSong"/>
          <w:sz w:val="30"/>
          <w:szCs w:val="30"/>
          <w:spacing w:val="-8"/>
        </w:rPr>
        <w:t>作做出指引。本文通过分析相关政策及中标数据，</w:t>
      </w:r>
      <w:r>
        <w:rPr>
          <w:rFonts w:ascii="FangSong" w:hAnsi="FangSong" w:eastAsia="FangSong" w:cs="FangSong"/>
          <w:sz w:val="30"/>
          <w:szCs w:val="30"/>
          <w:spacing w:val="-39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8"/>
        </w:rPr>
        <w:t>揭示县</w:t>
      </w:r>
      <w:r>
        <w:rPr>
          <w:rFonts w:ascii="FangSong" w:hAnsi="FangSong" w:eastAsia="FangSong" w:cs="FangSong"/>
          <w:sz w:val="30"/>
          <w:szCs w:val="30"/>
          <w:spacing w:val="-9"/>
        </w:rPr>
        <w:t>域社区</w:t>
      </w:r>
      <w:r>
        <w:rPr>
          <w:rFonts w:ascii="FangSong" w:hAnsi="FangSong" w:eastAsia="FangSong" w:cs="FangSong"/>
          <w:sz w:val="30"/>
          <w:szCs w:val="30"/>
          <w:spacing w:val="-5"/>
        </w:rPr>
        <w:t>数字化发展态势并提出建议。</w:t>
      </w:r>
    </w:p>
    <w:p>
      <w:pPr>
        <w:spacing w:line="356" w:lineRule="auto"/>
        <w:rPr>
          <w:rFonts w:ascii="Arial"/>
          <w:sz w:val="21"/>
        </w:rPr>
      </w:pPr>
      <w:r/>
    </w:p>
    <w:p>
      <w:pPr>
        <w:ind w:left="675"/>
        <w:spacing w:before="101" w:line="216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一、政策精准落地，推动加强县域社区治理和民生服务</w:t>
      </w:r>
    </w:p>
    <w:p>
      <w:pPr>
        <w:spacing w:line="404" w:lineRule="auto"/>
        <w:rPr>
          <w:rFonts w:ascii="Arial"/>
          <w:sz w:val="21"/>
        </w:rPr>
      </w:pPr>
      <w:r/>
    </w:p>
    <w:p>
      <w:pPr>
        <w:pStyle w:val="BodyText"/>
        <w:ind w:left="5" w:right="111" w:firstLine="615"/>
        <w:spacing w:before="97" w:line="333" w:lineRule="auto"/>
        <w:jc w:val="both"/>
        <w:rPr/>
      </w:pPr>
      <w:r>
        <w:rPr>
          <w:rFonts w:ascii="Times New Roman" w:hAnsi="Times New Roman" w:eastAsia="Times New Roman" w:cs="Times New Roman"/>
          <w:spacing w:val="-8"/>
        </w:rPr>
        <w:t>2022 </w:t>
      </w:r>
      <w:r>
        <w:rPr>
          <w:spacing w:val="-8"/>
        </w:rPr>
        <w:t>年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5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-8"/>
        </w:rPr>
        <w:t>月，中办、国办先后印发了《关于推进以县城为重</w:t>
      </w:r>
      <w:r>
        <w:rPr>
          <w:spacing w:val="-3"/>
        </w:rPr>
        <w:t>要载体的城镇化建设的意见》《关于推进基本养老服务体系</w:t>
      </w:r>
      <w:r>
        <w:rPr>
          <w:spacing w:val="-4"/>
        </w:rPr>
        <w:t>建设</w:t>
      </w:r>
      <w:r>
        <w:rPr>
          <w:spacing w:val="-3"/>
        </w:rPr>
        <w:t>的意见》。前者提出要推动县域老旧小区改</w:t>
      </w:r>
      <w:r>
        <w:rPr>
          <w:spacing w:val="-4"/>
        </w:rPr>
        <w:t>造，发展养老托育服</w:t>
      </w:r>
      <w:r>
        <w:rPr>
          <w:spacing w:val="-3"/>
        </w:rPr>
        <w:t>务，提升社区治理能力；后者提出老城区和已建成居住</w:t>
      </w:r>
      <w:r>
        <w:rPr>
          <w:spacing w:val="-4"/>
        </w:rPr>
        <w:t>区要结合</w:t>
      </w:r>
      <w:r>
        <w:rPr>
          <w:spacing w:val="-3"/>
        </w:rPr>
        <w:t>“城镇老旧小区改造”“居住区建设补短板行动”等，通过</w:t>
      </w:r>
      <w:r>
        <w:rPr>
          <w:spacing w:val="-4"/>
        </w:rPr>
        <w:t>补建</w:t>
      </w:r>
      <w:r>
        <w:rPr>
          <w:spacing w:val="-2"/>
        </w:rPr>
        <w:t>等方式完善养老服务设施，提升人民生活品质。</w:t>
      </w:r>
    </w:p>
    <w:p>
      <w:pPr>
        <w:pStyle w:val="BodyText"/>
        <w:ind w:left="5" w:right="112" w:firstLine="615"/>
        <w:spacing w:before="276" w:line="330" w:lineRule="auto"/>
        <w:rPr/>
      </w:pPr>
      <w:r>
        <w:rPr>
          <w:rFonts w:ascii="Times New Roman" w:hAnsi="Times New Roman" w:eastAsia="Times New Roman" w:cs="Times New Roman"/>
          <w:spacing w:val="-14"/>
        </w:rPr>
        <w:t>2023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spacing w:val="-14"/>
        </w:rPr>
        <w:t>年</w:t>
      </w:r>
      <w:r>
        <w:rPr>
          <w:spacing w:val="-71"/>
        </w:rPr>
        <w:t xml:space="preserve"> </w:t>
      </w:r>
      <w:r>
        <w:rPr>
          <w:rFonts w:ascii="Times New Roman" w:hAnsi="Times New Roman" w:eastAsia="Times New Roman" w:cs="Times New Roman"/>
          <w:spacing w:val="-14"/>
        </w:rPr>
        <w:t>4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-14"/>
        </w:rPr>
        <w:t>月，中央网信办、农业农村部、 发改委、工信部、</w:t>
      </w:r>
      <w:r>
        <w:rPr>
          <w:spacing w:val="-4"/>
        </w:rPr>
        <w:t>国家乡村振兴局联合印发《</w:t>
      </w:r>
      <w:r>
        <w:rPr>
          <w:rFonts w:ascii="Times New Roman" w:hAnsi="Times New Roman" w:eastAsia="Times New Roman" w:cs="Times New Roman"/>
          <w:spacing w:val="-4"/>
        </w:rPr>
        <w:t>2023</w:t>
      </w:r>
      <w:r>
        <w:rPr>
          <w:spacing w:val="-4"/>
        </w:rPr>
        <w:t>年数字乡村发展工作要点》。在</w:t>
      </w:r>
      <w:r>
        <w:rPr>
          <w:spacing w:val="-3"/>
        </w:rPr>
        <w:t>“提升乡村治理数字化水平”部分提出，要集约化推进智</w:t>
      </w:r>
      <w:r>
        <w:rPr>
          <w:spacing w:val="-4"/>
        </w:rPr>
        <w:t>慧社区</w:t>
      </w:r>
      <w:r>
        <w:rPr>
          <w:spacing w:val="-3"/>
        </w:rPr>
        <w:t>综合信息平台建设，开展社区服务数字化建设试点，确</w:t>
      </w:r>
      <w:r>
        <w:rPr>
          <w:spacing w:val="-4"/>
        </w:rPr>
        <w:t>定一批现</w:t>
      </w:r>
    </w:p>
    <w:p>
      <w:pPr>
        <w:spacing w:line="330" w:lineRule="auto"/>
        <w:sectPr>
          <w:pgSz w:w="11907" w:h="16839"/>
          <w:pgMar w:top="1431" w:right="1688" w:bottom="0" w:left="1785" w:header="0" w:footer="0" w:gutter="0"/>
        </w:sectPr>
        <w:rPr/>
      </w:pPr>
    </w:p>
    <w:p>
      <w:pPr>
        <w:pStyle w:val="BodyText"/>
        <w:ind w:left="26" w:right="12" w:hanging="1"/>
        <w:spacing w:before="185" w:line="333" w:lineRule="auto"/>
        <w:jc w:val="both"/>
        <w:rPr/>
      </w:pPr>
      <w:r>
        <w:rPr>
          <w:spacing w:val="-4"/>
        </w:rPr>
        <w:t>代社区服务和智慧社区建设试点单位；要增强农村社会综合治理</w:t>
      </w:r>
      <w:r>
        <w:rPr>
          <w:spacing w:val="-4"/>
        </w:rPr>
        <w:t>数字化能力，继续加大农村公共区域视频监控建设力度，完善网</w:t>
      </w:r>
      <w:r>
        <w:rPr>
          <w:spacing w:val="-9"/>
        </w:rPr>
        <w:t>格化管理、精细化服务、信息化支撑的基层治理平台， 健全城乡</w:t>
      </w:r>
      <w:r>
        <w:rPr>
          <w:spacing w:val="-7"/>
        </w:rPr>
        <w:t>社区治理体系。</w:t>
      </w:r>
    </w:p>
    <w:p>
      <w:pPr>
        <w:pStyle w:val="BodyText"/>
        <w:ind w:left="27" w:right="11" w:firstLine="593"/>
        <w:spacing w:before="274" w:line="335" w:lineRule="auto"/>
        <w:jc w:val="both"/>
        <w:rPr/>
      </w:pPr>
      <w:r>
        <w:rPr>
          <w:rFonts w:ascii="Times New Roman" w:hAnsi="Times New Roman" w:eastAsia="Times New Roman" w:cs="Times New Roman"/>
          <w:spacing w:val="-7"/>
        </w:rPr>
        <w:t>2023 </w:t>
      </w:r>
      <w:r>
        <w:rPr>
          <w:spacing w:val="-7"/>
        </w:rPr>
        <w:t>年</w:t>
      </w:r>
      <w:r>
        <w:rPr>
          <w:spacing w:val="-65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7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-7"/>
        </w:rPr>
        <w:t>月，住建部、发改委、工信部、财政部、市场</w:t>
      </w:r>
      <w:r>
        <w:rPr>
          <w:spacing w:val="-8"/>
        </w:rPr>
        <w:t>监管</w:t>
      </w:r>
      <w:r>
        <w:rPr>
          <w:spacing w:val="-4"/>
        </w:rPr>
        <w:t>总局、体育总局、国家能源局等七部门印发《关于扎实推进</w:t>
      </w:r>
      <w:r>
        <w:rPr>
          <w:rFonts w:ascii="Times New Roman" w:hAnsi="Times New Roman" w:eastAsia="Times New Roman" w:cs="Times New Roman"/>
          <w:spacing w:val="-4"/>
        </w:rPr>
        <w:t>2023</w:t>
      </w:r>
      <w:r>
        <w:rPr>
          <w:spacing w:val="-4"/>
        </w:rPr>
        <w:t>年城镇老旧小区改造工作的通知》，要求各地扎实推进城镇老旧</w:t>
      </w:r>
      <w:r>
        <w:rPr>
          <w:spacing w:val="-1"/>
        </w:rPr>
        <w:t>小区改造计划，靠前谋划</w:t>
      </w:r>
      <w:r>
        <w:rPr>
          <w:spacing w:val="-65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2024 </w:t>
      </w:r>
      <w:r>
        <w:rPr>
          <w:spacing w:val="-1"/>
        </w:rPr>
        <w:t>年改造计划。</w:t>
      </w:r>
    </w:p>
    <w:p>
      <w:pPr>
        <w:spacing w:line="330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7"/>
        </w:rPr>
        <w:t>二、从中标数据看县域社区数字化建设发展态势</w:t>
      </w:r>
    </w:p>
    <w:p>
      <w:pPr>
        <w:spacing w:line="393" w:lineRule="auto"/>
        <w:rPr>
          <w:rFonts w:ascii="Arial"/>
          <w:sz w:val="21"/>
        </w:rPr>
      </w:pPr>
      <w:r/>
    </w:p>
    <w:p>
      <w:pPr>
        <w:pStyle w:val="BodyText"/>
        <w:ind w:left="636"/>
        <w:spacing w:before="98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4"/>
        </w:rPr>
        <w:t>1</w:t>
      </w:r>
      <w:r>
        <w:rPr>
          <w:b/>
          <w:bCs/>
          <w:spacing w:val="-4"/>
        </w:rPr>
        <w:t>．中标数据分析（</w:t>
      </w:r>
      <w:r>
        <w:rPr>
          <w:rFonts w:ascii="Times New Roman" w:hAnsi="Times New Roman" w:eastAsia="Times New Roman" w:cs="Times New Roman"/>
          <w:b/>
          <w:bCs/>
          <w:spacing w:val="-4"/>
        </w:rPr>
        <w:t>2022 </w:t>
      </w:r>
      <w:r>
        <w:rPr>
          <w:b/>
          <w:bCs/>
          <w:spacing w:val="-4"/>
        </w:rPr>
        <w:t>年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4"/>
        </w:rPr>
        <w:t>1 </w:t>
      </w:r>
      <w:r>
        <w:rPr>
          <w:b/>
          <w:bCs/>
          <w:spacing w:val="-4"/>
        </w:rPr>
        <w:t>月</w:t>
      </w:r>
      <w:r>
        <w:rPr>
          <w:rFonts w:ascii="Times New Roman" w:hAnsi="Times New Roman" w:eastAsia="Times New Roman" w:cs="Times New Roman"/>
          <w:b/>
          <w:bCs/>
          <w:spacing w:val="-4"/>
        </w:rPr>
        <w:t>~2023 </w:t>
      </w:r>
      <w:r>
        <w:rPr>
          <w:b/>
          <w:bCs/>
          <w:spacing w:val="-4"/>
        </w:rPr>
        <w:t>年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4"/>
        </w:rPr>
        <w:t>6</w:t>
      </w:r>
      <w:r>
        <w:rPr>
          <w:rFonts w:ascii="Times New Roman" w:hAnsi="Times New Roman" w:eastAsia="Times New Roman" w:cs="Times New Roman"/>
          <w:b/>
          <w:bCs/>
          <w:spacing w:val="19"/>
        </w:rPr>
        <w:t xml:space="preserve"> </w:t>
      </w:r>
      <w:r>
        <w:rPr>
          <w:b/>
          <w:bCs/>
          <w:spacing w:val="-4"/>
        </w:rPr>
        <w:t>月）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pStyle w:val="BodyText"/>
        <w:ind w:left="25" w:right="9" w:firstLine="602"/>
        <w:spacing w:before="98" w:line="331" w:lineRule="auto"/>
        <w:jc w:val="both"/>
        <w:rPr/>
      </w:pPr>
      <w:r>
        <w:rPr>
          <w:spacing w:val="-4"/>
        </w:rPr>
        <w:t>本文面向县、县级市、旗等以及（县级）市辖</w:t>
      </w:r>
      <w:r>
        <w:rPr>
          <w:spacing w:val="-5"/>
        </w:rPr>
        <w:t>区，对中国政</w:t>
      </w:r>
      <w:r>
        <w:rPr>
          <w:spacing w:val="-4"/>
        </w:rPr>
        <w:t>府采购网、公共资源交易网、必联网三大招投标平台信息进行系</w:t>
      </w:r>
      <w:r>
        <w:rPr>
          <w:spacing w:val="-5"/>
        </w:rPr>
        <w:t>统整合。自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2022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spacing w:val="-5"/>
        </w:rPr>
        <w:t>年</w:t>
      </w:r>
      <w:r>
        <w:rPr>
          <w:spacing w:val="-34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1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spacing w:val="-5"/>
        </w:rPr>
        <w:t>月至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2023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spacing w:val="-5"/>
        </w:rPr>
        <w:t>年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6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spacing w:val="-5"/>
        </w:rPr>
        <w:t>月，</w:t>
      </w:r>
      <w:r>
        <w:rPr>
          <w:spacing w:val="-6"/>
        </w:rPr>
        <w:t>共筛选出</w:t>
      </w:r>
      <w:r>
        <w:rPr>
          <w:spacing w:val="-66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4600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spacing w:val="-6"/>
        </w:rPr>
        <w:t>多条社</w:t>
      </w:r>
      <w:r>
        <w:rPr>
          <w:spacing w:val="-3"/>
        </w:rPr>
        <w:t>区（小区）数字化项目开展深入剖析。</w:t>
      </w:r>
    </w:p>
    <w:p>
      <w:pPr>
        <w:ind w:firstLine="1072"/>
        <w:spacing w:before="27" w:line="3664" w:lineRule="exact"/>
        <w:rPr/>
      </w:pPr>
      <w:r>
        <w:rPr>
          <w:position w:val="-73"/>
        </w:rPr>
        <w:drawing>
          <wp:inline distT="0" distB="0" distL="0" distR="0">
            <wp:extent cx="3930395" cy="2327147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30395" cy="2327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312"/>
        <w:spacing w:before="211" w:line="215" w:lineRule="auto"/>
        <w:outlineLvl w:val="3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30"/>
          <w:szCs w:val="30"/>
          <w:spacing w:val="-5"/>
        </w:rPr>
        <w:t>图</w:t>
      </w:r>
      <w:r>
        <w:rPr>
          <w:rFonts w:ascii="KaiTi" w:hAnsi="KaiTi" w:eastAsia="KaiTi" w:cs="KaiTi"/>
          <w:sz w:val="30"/>
          <w:szCs w:val="30"/>
          <w:spacing w:val="-36"/>
        </w:rPr>
        <w:t xml:space="preserve"> </w:t>
      </w:r>
      <w:r>
        <w:rPr>
          <w:rFonts w:ascii="KaiTi" w:hAnsi="KaiTi" w:eastAsia="KaiTi" w:cs="KaiTi"/>
          <w:sz w:val="30"/>
          <w:szCs w:val="30"/>
          <w:spacing w:val="-5"/>
        </w:rPr>
        <w:t>1</w:t>
      </w:r>
      <w:r>
        <w:rPr>
          <w:rFonts w:ascii="KaiTi" w:hAnsi="KaiTi" w:eastAsia="KaiTi" w:cs="KaiTi"/>
          <w:sz w:val="30"/>
          <w:szCs w:val="30"/>
          <w:spacing w:val="-5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5"/>
        </w:rPr>
        <w:t>县域社区数字化项目规模</w:t>
      </w:r>
      <w:r>
        <w:rPr>
          <w:rFonts w:ascii="KaiTi" w:hAnsi="KaiTi" w:eastAsia="KaiTi" w:cs="KaiTi"/>
          <w:sz w:val="24"/>
          <w:szCs w:val="24"/>
          <w:spacing w:val="-5"/>
        </w:rPr>
        <w:t>（单位：万元）</w:t>
      </w:r>
    </w:p>
    <w:p>
      <w:pPr>
        <w:spacing w:line="215" w:lineRule="auto"/>
        <w:sectPr>
          <w:pgSz w:w="11907" w:h="16839"/>
          <w:pgMar w:top="1431" w:right="1785" w:bottom="0" w:left="1785" w:header="0" w:footer="0" w:gutter="0"/>
        </w:sectPr>
        <w:rPr>
          <w:rFonts w:ascii="KaiTi" w:hAnsi="KaiTi" w:eastAsia="KaiTi" w:cs="KaiTi"/>
          <w:sz w:val="24"/>
          <w:szCs w:val="24"/>
        </w:rPr>
      </w:pP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27" w:right="9" w:firstLine="602"/>
        <w:spacing w:before="98" w:line="333" w:lineRule="auto"/>
        <w:jc w:val="both"/>
        <w:rPr/>
      </w:pPr>
      <w:r>
        <w:rPr>
          <w:spacing w:val="-5"/>
        </w:rPr>
        <w:t>从规模来看，县域社区数字化项目总计</w:t>
      </w:r>
      <w:r>
        <w:rPr>
          <w:spacing w:val="-34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126.3 </w:t>
      </w:r>
      <w:r>
        <w:rPr>
          <w:spacing w:val="-5"/>
        </w:rPr>
        <w:t>亿，其中</w:t>
      </w:r>
      <w:r>
        <w:rPr>
          <w:spacing w:val="-71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2022</w:t>
      </w:r>
      <w:r>
        <w:rPr>
          <w:spacing w:val="-10"/>
        </w:rPr>
        <w:t>年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-10"/>
        </w:rPr>
        <w:t>83.6 </w:t>
      </w:r>
      <w:r>
        <w:rPr>
          <w:spacing w:val="-10"/>
        </w:rPr>
        <w:t>亿（含老旧小区改造项目）。</w:t>
      </w:r>
      <w:r>
        <w:rPr>
          <w:rFonts w:ascii="Times New Roman" w:hAnsi="Times New Roman" w:eastAsia="Times New Roman" w:cs="Times New Roman"/>
          <w:spacing w:val="-10"/>
        </w:rPr>
        <w:t>2022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spacing w:val="-10"/>
        </w:rPr>
        <w:t>上半年为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10"/>
        </w:rPr>
        <w:t>34.5 </w:t>
      </w:r>
      <w:r>
        <w:rPr>
          <w:spacing w:val="-10"/>
        </w:rPr>
        <w:t>亿，</w:t>
      </w:r>
      <w:r>
        <w:rPr>
          <w:rFonts w:ascii="Times New Roman" w:hAnsi="Times New Roman" w:eastAsia="Times New Roman" w:cs="Times New Roman"/>
          <w:spacing w:val="-10"/>
        </w:rPr>
        <w:t>2023</w:t>
      </w:r>
      <w:r>
        <w:rPr>
          <w:spacing w:val="-2"/>
        </w:rPr>
        <w:t>上半年为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42.7</w:t>
      </w:r>
      <w:r>
        <w:rPr>
          <w:rFonts w:ascii="Times New Roman" w:hAnsi="Times New Roman" w:eastAsia="Times New Roman" w:cs="Times New Roman"/>
          <w:spacing w:val="50"/>
        </w:rPr>
        <w:t xml:space="preserve"> </w:t>
      </w:r>
      <w:r>
        <w:rPr>
          <w:spacing w:val="-2"/>
        </w:rPr>
        <w:t>亿，同比增长</w:t>
      </w:r>
      <w:r>
        <w:rPr>
          <w:spacing w:val="-3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24%</w:t>
      </w:r>
      <w:r>
        <w:rPr>
          <w:spacing w:val="-2"/>
        </w:rPr>
        <w:t>。依此增速今年年底规模将逾</w:t>
      </w:r>
      <w:r>
        <w:rPr>
          <w:spacing w:val="-6"/>
        </w:rPr>
        <w:t>百亿，达到</w:t>
      </w:r>
      <w:r>
        <w:rPr>
          <w:spacing w:val="-37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104 </w:t>
      </w:r>
      <w:r>
        <w:rPr>
          <w:spacing w:val="-6"/>
        </w:rPr>
        <w:t>亿元。</w:t>
      </w:r>
    </w:p>
    <w:p>
      <w:pPr>
        <w:pStyle w:val="BodyText"/>
        <w:ind w:left="25" w:right="9" w:firstLine="604"/>
        <w:spacing w:before="274" w:line="333" w:lineRule="auto"/>
        <w:jc w:val="both"/>
        <w:rPr/>
      </w:pPr>
      <w:r>
        <w:rPr>
          <w:spacing w:val="-7"/>
        </w:rPr>
        <w:t>从运营商来看，县域社区数字化项目总规模为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53.5 </w:t>
      </w:r>
      <w:r>
        <w:rPr>
          <w:spacing w:val="-7"/>
        </w:rPr>
        <w:t>亿，占比</w:t>
      </w:r>
      <w:r>
        <w:rPr>
          <w:spacing w:val="-3"/>
        </w:rPr>
        <w:t>达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42%</w:t>
      </w:r>
      <w:r>
        <w:rPr>
          <w:spacing w:val="-3"/>
        </w:rPr>
        <w:t>。中电信和中移动相当，均为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20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spacing w:val="-3"/>
        </w:rPr>
        <w:t>亿左右。电</w:t>
      </w:r>
      <w:r>
        <w:rPr>
          <w:spacing w:val="-4"/>
        </w:rPr>
        <w:t>信 </w:t>
      </w:r>
      <w:r>
        <w:rPr>
          <w:rFonts w:ascii="Times New Roman" w:hAnsi="Times New Roman" w:eastAsia="Times New Roman" w:cs="Times New Roman"/>
          <w:spacing w:val="-4"/>
        </w:rPr>
        <w:t>19.17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spacing w:val="-4"/>
        </w:rPr>
        <w:t>亿</w:t>
      </w:r>
      <w:r>
        <w:rPr>
          <w:spacing w:val="-14"/>
        </w:rPr>
        <w:t>（不含通服</w:t>
      </w:r>
      <w:r>
        <w:rPr>
          <w:spacing w:val="-11"/>
        </w:rPr>
        <w:t>），</w:t>
      </w:r>
      <w:r>
        <w:rPr>
          <w:spacing w:val="-14"/>
        </w:rPr>
        <w:t>移动</w:t>
      </w:r>
      <w:r>
        <w:rPr>
          <w:spacing w:val="-68"/>
        </w:rPr>
        <w:t xml:space="preserve"> </w:t>
      </w:r>
      <w:r>
        <w:rPr>
          <w:rFonts w:ascii="Times New Roman" w:hAnsi="Times New Roman" w:eastAsia="Times New Roman" w:cs="Times New Roman"/>
          <w:spacing w:val="-14"/>
        </w:rPr>
        <w:t>20.51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spacing w:val="-14"/>
        </w:rPr>
        <w:t>亿（不含中移建设</w:t>
      </w:r>
      <w:r>
        <w:rPr>
          <w:spacing w:val="-11"/>
        </w:rPr>
        <w:t>），</w:t>
      </w:r>
      <w:r>
        <w:rPr>
          <w:spacing w:val="-14"/>
        </w:rPr>
        <w:t>联通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14"/>
        </w:rPr>
        <w:t>9.19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spacing w:val="-14"/>
        </w:rPr>
        <w:t>亿，广</w:t>
      </w:r>
      <w:r>
        <w:rPr>
          <w:spacing w:val="-9"/>
        </w:rPr>
        <w:t>电 </w:t>
      </w:r>
      <w:r>
        <w:rPr>
          <w:rFonts w:ascii="Times New Roman" w:hAnsi="Times New Roman" w:eastAsia="Times New Roman" w:cs="Times New Roman"/>
          <w:spacing w:val="-9"/>
        </w:rPr>
        <w:t>1.97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spacing w:val="-9"/>
        </w:rPr>
        <w:t>亿（见图 </w:t>
      </w:r>
      <w:r>
        <w:rPr>
          <w:rFonts w:ascii="Times New Roman" w:hAnsi="Times New Roman" w:eastAsia="Times New Roman" w:cs="Times New Roman"/>
          <w:spacing w:val="-9"/>
        </w:rPr>
        <w:t>1</w:t>
      </w:r>
      <w:r>
        <w:rPr>
          <w:spacing w:val="-9"/>
        </w:rPr>
        <w:t>）。今年上半年同比增长 </w:t>
      </w:r>
      <w:r>
        <w:rPr>
          <w:rFonts w:ascii="Times New Roman" w:hAnsi="Times New Roman" w:eastAsia="Times New Roman" w:cs="Times New Roman"/>
          <w:spacing w:val="-9"/>
        </w:rPr>
        <w:t>23.9%</w:t>
      </w:r>
      <w:r>
        <w:rPr>
          <w:spacing w:val="-9"/>
        </w:rPr>
        <w:t>，</w:t>
      </w:r>
      <w:r>
        <w:rPr>
          <w:spacing w:val="-10"/>
        </w:rPr>
        <w:t>电信和移动</w:t>
      </w:r>
      <w:r>
        <w:rPr>
          <w:spacing w:val="1"/>
        </w:rPr>
        <w:t>领涨，分别为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42.1%</w:t>
      </w:r>
      <w:r>
        <w:rPr>
          <w:spacing w:val="1"/>
        </w:rPr>
        <w:t>和</w:t>
      </w:r>
      <w:r>
        <w:rPr>
          <w:rFonts w:ascii="Times New Roman" w:hAnsi="Times New Roman" w:eastAsia="Times New Roman" w:cs="Times New Roman"/>
          <w:spacing w:val="1"/>
        </w:rPr>
        <w:t>41.3%</w:t>
      </w:r>
      <w:r>
        <w:rPr>
          <w:spacing w:val="1"/>
        </w:rPr>
        <w:t>。移动每逢季末出现中</w:t>
      </w:r>
      <w:r>
        <w:rPr/>
        <w:t>标峰值，去</w:t>
      </w:r>
      <w:r>
        <w:rPr>
          <w:spacing w:val="-10"/>
        </w:rPr>
        <w:t>年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10"/>
        </w:rPr>
        <w:t>6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spacing w:val="-10"/>
        </w:rPr>
        <w:t>月与今年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10"/>
        </w:rPr>
        <w:t>6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-10"/>
        </w:rPr>
        <w:t>月环比均接近</w:t>
      </w:r>
      <w:r>
        <w:rPr>
          <w:rFonts w:ascii="Times New Roman" w:hAnsi="Times New Roman" w:eastAsia="Times New Roman" w:cs="Times New Roman"/>
          <w:spacing w:val="-10"/>
        </w:rPr>
        <w:t>200%</w:t>
      </w:r>
      <w:r>
        <w:rPr>
          <w:spacing w:val="-10"/>
        </w:rPr>
        <w:t>（见图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10"/>
        </w:rPr>
        <w:t>2</w:t>
      </w:r>
      <w:r>
        <w:rPr>
          <w:spacing w:val="-10"/>
        </w:rPr>
        <w:t>）。广电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10"/>
        </w:rPr>
        <w:t>1.97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spacing w:val="-11"/>
        </w:rPr>
        <w:t>亿，已</w:t>
      </w:r>
      <w:r>
        <w:rPr>
          <w:spacing w:val="-12"/>
        </w:rPr>
        <w:t>与中通服接近（</w:t>
      </w:r>
      <w:r>
        <w:rPr>
          <w:rFonts w:ascii="Times New Roman" w:hAnsi="Times New Roman" w:eastAsia="Times New Roman" w:cs="Times New Roman"/>
          <w:spacing w:val="-12"/>
        </w:rPr>
        <w:t>2.66 </w:t>
      </w:r>
      <w:r>
        <w:rPr>
          <w:spacing w:val="-12"/>
        </w:rPr>
        <w:t>亿）。</w:t>
      </w:r>
    </w:p>
    <w:p>
      <w:pPr>
        <w:ind w:left="390"/>
        <w:spacing w:before="159" w:line="167" w:lineRule="exact"/>
        <w:rPr>
          <w:rFonts w:ascii="Calibri" w:hAnsi="Calibri" w:eastAsia="Calibri" w:cs="Calibri"/>
          <w:sz w:val="13"/>
          <w:szCs w:val="13"/>
        </w:rPr>
      </w:pPr>
      <w:r>
        <w:rPr>
          <w:rFonts w:ascii="Calibri" w:hAnsi="Calibri" w:eastAsia="Calibri" w:cs="Calibri"/>
          <w:sz w:val="13"/>
          <w:szCs w:val="13"/>
          <w:b/>
          <w:bCs/>
          <w:color w:val="595959"/>
          <w:position w:val="1"/>
        </w:rPr>
        <w:t>250.0%</w:t>
      </w:r>
    </w:p>
    <w:p>
      <w:pPr>
        <w:ind w:left="390"/>
        <w:spacing w:before="210" w:line="167" w:lineRule="exact"/>
        <w:rPr>
          <w:rFonts w:ascii="Calibri" w:hAnsi="Calibri" w:eastAsia="Calibri" w:cs="Calibri"/>
          <w:sz w:val="13"/>
          <w:szCs w:val="13"/>
        </w:rPr>
      </w:pPr>
      <w:r>
        <w:rPr>
          <w:rFonts w:ascii="Calibri" w:hAnsi="Calibri" w:eastAsia="Calibri" w:cs="Calibri"/>
          <w:sz w:val="13"/>
          <w:szCs w:val="13"/>
          <w:b/>
          <w:bCs/>
          <w:color w:val="595959"/>
          <w:position w:val="1"/>
        </w:rPr>
        <w:t>200.0%</w:t>
      </w:r>
    </w:p>
    <w:p>
      <w:pPr>
        <w:ind w:left="394"/>
        <w:spacing w:before="210" w:line="167" w:lineRule="exact"/>
        <w:rPr>
          <w:rFonts w:ascii="Calibri" w:hAnsi="Calibri" w:eastAsia="Calibri" w:cs="Calibri"/>
          <w:sz w:val="13"/>
          <w:szCs w:val="13"/>
        </w:rPr>
      </w:pPr>
      <w:r>
        <w:rPr>
          <w:rFonts w:ascii="Calibri" w:hAnsi="Calibri" w:eastAsia="Calibri" w:cs="Calibri"/>
          <w:sz w:val="13"/>
          <w:szCs w:val="13"/>
          <w:b/>
          <w:bCs/>
          <w:color w:val="595959"/>
          <w:position w:val="1"/>
        </w:rPr>
        <w:t>150.0%</w:t>
      </w:r>
    </w:p>
    <w:p>
      <w:pPr>
        <w:ind w:left="394"/>
        <w:spacing w:before="210" w:line="167" w:lineRule="exact"/>
        <w:rPr>
          <w:rFonts w:ascii="Calibri" w:hAnsi="Calibri" w:eastAsia="Calibri" w:cs="Calibri"/>
          <w:sz w:val="13"/>
          <w:szCs w:val="13"/>
        </w:rPr>
      </w:pPr>
      <w:r>
        <w:rPr>
          <w:rFonts w:ascii="Calibri" w:hAnsi="Calibri" w:eastAsia="Calibri" w:cs="Calibri"/>
          <w:sz w:val="13"/>
          <w:szCs w:val="13"/>
          <w:b/>
          <w:bCs/>
          <w:color w:val="595959"/>
          <w:position w:val="1"/>
        </w:rPr>
        <w:t>100.0%</w:t>
      </w:r>
    </w:p>
    <w:p>
      <w:pPr>
        <w:ind w:left="458"/>
        <w:spacing w:before="211" w:line="167" w:lineRule="exact"/>
        <w:rPr>
          <w:rFonts w:ascii="Calibri" w:hAnsi="Calibri" w:eastAsia="Calibri" w:cs="Calibri"/>
          <w:sz w:val="13"/>
          <w:szCs w:val="13"/>
        </w:rPr>
      </w:pPr>
      <w:r>
        <w:rPr>
          <w:rFonts w:ascii="Calibri" w:hAnsi="Calibri" w:eastAsia="Calibri" w:cs="Calibri"/>
          <w:sz w:val="13"/>
          <w:szCs w:val="13"/>
          <w:b/>
          <w:bCs/>
          <w:color w:val="595959"/>
          <w:position w:val="1"/>
        </w:rPr>
        <w:t>50.0%</w:t>
      </w:r>
    </w:p>
    <w:p>
      <w:pPr>
        <w:ind w:left="524"/>
        <w:spacing w:before="211" w:line="166" w:lineRule="exact"/>
        <w:rPr>
          <w:rFonts w:ascii="Calibri" w:hAnsi="Calibri" w:eastAsia="Calibri" w:cs="Calibri"/>
          <w:sz w:val="13"/>
          <w:szCs w:val="13"/>
        </w:rPr>
      </w:pPr>
      <w:r>
        <w:rPr>
          <w:rFonts w:ascii="Calibri" w:hAnsi="Calibri" w:eastAsia="Calibri" w:cs="Calibri"/>
          <w:sz w:val="13"/>
          <w:szCs w:val="13"/>
          <w:b/>
          <w:bCs/>
          <w:color w:val="595959"/>
          <w:position w:val="1"/>
        </w:rPr>
        <w:t>0.0%</w:t>
      </w:r>
    </w:p>
    <w:p>
      <w:pPr>
        <w:ind w:left="1024"/>
        <w:spacing w:before="3" w:line="234" w:lineRule="auto"/>
        <w:rPr>
          <w:rFonts w:ascii="DengXian" w:hAnsi="DengXian" w:eastAsia="DengXian" w:cs="DengXian"/>
          <w:sz w:val="13"/>
          <w:szCs w:val="13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169538</wp:posOffset>
            </wp:positionH>
            <wp:positionV relativeFrom="paragraph">
              <wp:posOffset>-1453393</wp:posOffset>
            </wp:positionV>
            <wp:extent cx="4953508" cy="2143933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53508" cy="21439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z w:val="13"/>
          <w:szCs w:val="13"/>
          <w:b/>
          <w:bCs/>
          <w:color w:val="595959"/>
          <w:spacing w:val="1"/>
        </w:rPr>
        <w:t>2</w:t>
      </w:r>
      <w:r>
        <w:rPr>
          <w:rFonts w:ascii="DengXian" w:hAnsi="DengXian" w:eastAsia="DengXian" w:cs="DengXian"/>
          <w:sz w:val="13"/>
          <w:szCs w:val="13"/>
          <w:b/>
          <w:bCs/>
          <w:color w:val="595959"/>
          <w:spacing w:val="1"/>
        </w:rPr>
        <w:t>月      </w:t>
      </w:r>
      <w:r>
        <w:rPr>
          <w:rFonts w:ascii="Calibri" w:hAnsi="Calibri" w:eastAsia="Calibri" w:cs="Calibri"/>
          <w:sz w:val="13"/>
          <w:szCs w:val="13"/>
          <w:b/>
          <w:bCs/>
          <w:color w:val="595959"/>
          <w:spacing w:val="1"/>
        </w:rPr>
        <w:t>3</w:t>
      </w:r>
      <w:r>
        <w:rPr>
          <w:rFonts w:ascii="DengXian" w:hAnsi="DengXian" w:eastAsia="DengXian" w:cs="DengXian"/>
          <w:sz w:val="13"/>
          <w:szCs w:val="13"/>
          <w:b/>
          <w:bCs/>
          <w:color w:val="595959"/>
          <w:spacing w:val="1"/>
        </w:rPr>
        <w:t>月     </w:t>
      </w:r>
      <w:r>
        <w:rPr>
          <w:rFonts w:ascii="Calibri" w:hAnsi="Calibri" w:eastAsia="Calibri" w:cs="Calibri"/>
          <w:sz w:val="13"/>
          <w:szCs w:val="13"/>
          <w:b/>
          <w:bCs/>
          <w:color w:val="595959"/>
          <w:spacing w:val="1"/>
        </w:rPr>
        <w:t>4</w:t>
      </w:r>
      <w:r>
        <w:rPr>
          <w:rFonts w:ascii="DengXian" w:hAnsi="DengXian" w:eastAsia="DengXian" w:cs="DengXian"/>
          <w:sz w:val="13"/>
          <w:szCs w:val="13"/>
          <w:b/>
          <w:bCs/>
          <w:color w:val="595959"/>
          <w:spacing w:val="1"/>
        </w:rPr>
        <w:t>月       </w:t>
      </w:r>
      <w:r>
        <w:rPr>
          <w:rFonts w:ascii="Calibri" w:hAnsi="Calibri" w:eastAsia="Calibri" w:cs="Calibri"/>
          <w:sz w:val="13"/>
          <w:szCs w:val="13"/>
          <w:b/>
          <w:bCs/>
          <w:color w:val="595959"/>
          <w:spacing w:val="1"/>
        </w:rPr>
        <w:t>5</w:t>
      </w:r>
      <w:r>
        <w:rPr>
          <w:rFonts w:ascii="DengXian" w:hAnsi="DengXian" w:eastAsia="DengXian" w:cs="DengXian"/>
          <w:sz w:val="13"/>
          <w:szCs w:val="13"/>
          <w:b/>
          <w:bCs/>
          <w:color w:val="595959"/>
          <w:spacing w:val="1"/>
        </w:rPr>
        <w:t>月   </w:t>
      </w:r>
      <w:r>
        <w:rPr>
          <w:rFonts w:ascii="DengXian" w:hAnsi="DengXian" w:eastAsia="DengXian" w:cs="DengXian"/>
          <w:sz w:val="13"/>
          <w:szCs w:val="13"/>
          <w:b/>
          <w:bCs/>
          <w:color w:val="595959"/>
        </w:rPr>
        <w:t xml:space="preserve">   </w:t>
      </w:r>
      <w:r>
        <w:rPr>
          <w:rFonts w:ascii="Calibri" w:hAnsi="Calibri" w:eastAsia="Calibri" w:cs="Calibri"/>
          <w:sz w:val="13"/>
          <w:szCs w:val="13"/>
          <w:b/>
          <w:bCs/>
          <w:color w:val="595959"/>
        </w:rPr>
        <w:t>6</w:t>
      </w:r>
      <w:r>
        <w:rPr>
          <w:rFonts w:ascii="DengXian" w:hAnsi="DengXian" w:eastAsia="DengXian" w:cs="DengXian"/>
          <w:sz w:val="13"/>
          <w:szCs w:val="13"/>
          <w:b/>
          <w:bCs/>
          <w:color w:val="595959"/>
        </w:rPr>
        <w:t>月      </w:t>
      </w:r>
      <w:r>
        <w:rPr>
          <w:rFonts w:ascii="Calibri" w:hAnsi="Calibri" w:eastAsia="Calibri" w:cs="Calibri"/>
          <w:sz w:val="13"/>
          <w:szCs w:val="13"/>
          <w:b/>
          <w:bCs/>
          <w:color w:val="595959"/>
        </w:rPr>
        <w:t>7</w:t>
      </w:r>
      <w:r>
        <w:rPr>
          <w:rFonts w:ascii="DengXian" w:hAnsi="DengXian" w:eastAsia="DengXian" w:cs="DengXian"/>
          <w:sz w:val="13"/>
          <w:szCs w:val="13"/>
          <w:b/>
          <w:bCs/>
          <w:color w:val="595959"/>
        </w:rPr>
        <w:t>月      </w:t>
      </w:r>
      <w:r>
        <w:rPr>
          <w:rFonts w:ascii="Calibri" w:hAnsi="Calibri" w:eastAsia="Calibri" w:cs="Calibri"/>
          <w:sz w:val="13"/>
          <w:szCs w:val="13"/>
          <w:b/>
          <w:bCs/>
          <w:color w:val="595959"/>
        </w:rPr>
        <w:t>8</w:t>
      </w:r>
      <w:r>
        <w:rPr>
          <w:rFonts w:ascii="DengXian" w:hAnsi="DengXian" w:eastAsia="DengXian" w:cs="DengXian"/>
          <w:sz w:val="13"/>
          <w:szCs w:val="13"/>
          <w:b/>
          <w:bCs/>
          <w:color w:val="595959"/>
        </w:rPr>
        <w:t>月      </w:t>
      </w:r>
      <w:r>
        <w:rPr>
          <w:rFonts w:ascii="Calibri" w:hAnsi="Calibri" w:eastAsia="Calibri" w:cs="Calibri"/>
          <w:sz w:val="13"/>
          <w:szCs w:val="13"/>
          <w:b/>
          <w:bCs/>
          <w:color w:val="595959"/>
        </w:rPr>
        <w:t>9</w:t>
      </w:r>
      <w:r>
        <w:rPr>
          <w:rFonts w:ascii="DengXian" w:hAnsi="DengXian" w:eastAsia="DengXian" w:cs="DengXian"/>
          <w:sz w:val="13"/>
          <w:szCs w:val="13"/>
          <w:b/>
          <w:bCs/>
          <w:color w:val="595959"/>
        </w:rPr>
        <w:t>月     </w:t>
      </w:r>
      <w:r>
        <w:rPr>
          <w:rFonts w:ascii="Calibri" w:hAnsi="Calibri" w:eastAsia="Calibri" w:cs="Calibri"/>
          <w:sz w:val="13"/>
          <w:szCs w:val="13"/>
          <w:b/>
          <w:bCs/>
          <w:color w:val="595959"/>
        </w:rPr>
        <w:t>10</w:t>
      </w:r>
      <w:r>
        <w:rPr>
          <w:rFonts w:ascii="DengXian" w:hAnsi="DengXian" w:eastAsia="DengXian" w:cs="DengXian"/>
          <w:sz w:val="13"/>
          <w:szCs w:val="13"/>
          <w:b/>
          <w:bCs/>
          <w:color w:val="595959"/>
        </w:rPr>
        <w:t>月    </w:t>
      </w:r>
      <w:r>
        <w:rPr>
          <w:rFonts w:ascii="Calibri" w:hAnsi="Calibri" w:eastAsia="Calibri" w:cs="Calibri"/>
          <w:sz w:val="13"/>
          <w:szCs w:val="13"/>
          <w:b/>
          <w:bCs/>
          <w:color w:val="595959"/>
        </w:rPr>
        <w:t>11</w:t>
      </w:r>
      <w:r>
        <w:rPr>
          <w:rFonts w:ascii="DengXian" w:hAnsi="DengXian" w:eastAsia="DengXian" w:cs="DengXian"/>
          <w:sz w:val="13"/>
          <w:szCs w:val="13"/>
          <w:b/>
          <w:bCs/>
          <w:color w:val="595959"/>
        </w:rPr>
        <w:t>月    </w:t>
      </w:r>
      <w:r>
        <w:rPr>
          <w:rFonts w:ascii="Calibri" w:hAnsi="Calibri" w:eastAsia="Calibri" w:cs="Calibri"/>
          <w:sz w:val="13"/>
          <w:szCs w:val="13"/>
          <w:b/>
          <w:bCs/>
          <w:color w:val="595959"/>
        </w:rPr>
        <w:t>12</w:t>
      </w:r>
      <w:r>
        <w:rPr>
          <w:rFonts w:ascii="DengXian" w:hAnsi="DengXian" w:eastAsia="DengXian" w:cs="DengXian"/>
          <w:sz w:val="13"/>
          <w:szCs w:val="13"/>
          <w:b/>
          <w:bCs/>
          <w:color w:val="595959"/>
        </w:rPr>
        <w:t>月     </w:t>
      </w:r>
      <w:r>
        <w:rPr>
          <w:rFonts w:ascii="Calibri" w:hAnsi="Calibri" w:eastAsia="Calibri" w:cs="Calibri"/>
          <w:sz w:val="13"/>
          <w:szCs w:val="13"/>
          <w:b/>
          <w:bCs/>
          <w:color w:val="595959"/>
        </w:rPr>
        <w:t>1</w:t>
      </w:r>
      <w:r>
        <w:rPr>
          <w:rFonts w:ascii="DengXian" w:hAnsi="DengXian" w:eastAsia="DengXian" w:cs="DengXian"/>
          <w:sz w:val="13"/>
          <w:szCs w:val="13"/>
          <w:b/>
          <w:bCs/>
          <w:color w:val="595959"/>
        </w:rPr>
        <w:t>月      </w:t>
      </w:r>
      <w:r>
        <w:rPr>
          <w:rFonts w:ascii="Calibri" w:hAnsi="Calibri" w:eastAsia="Calibri" w:cs="Calibri"/>
          <w:sz w:val="13"/>
          <w:szCs w:val="13"/>
          <w:b/>
          <w:bCs/>
          <w:color w:val="595959"/>
        </w:rPr>
        <w:t>2</w:t>
      </w:r>
      <w:r>
        <w:rPr>
          <w:rFonts w:ascii="DengXian" w:hAnsi="DengXian" w:eastAsia="DengXian" w:cs="DengXian"/>
          <w:sz w:val="13"/>
          <w:szCs w:val="13"/>
          <w:b/>
          <w:bCs/>
          <w:color w:val="595959"/>
        </w:rPr>
        <w:t>月      </w:t>
      </w:r>
      <w:r>
        <w:rPr>
          <w:rFonts w:ascii="Calibri" w:hAnsi="Calibri" w:eastAsia="Calibri" w:cs="Calibri"/>
          <w:sz w:val="13"/>
          <w:szCs w:val="13"/>
          <w:b/>
          <w:bCs/>
          <w:color w:val="595959"/>
        </w:rPr>
        <w:t>3</w:t>
      </w:r>
      <w:r>
        <w:rPr>
          <w:rFonts w:ascii="DengXian" w:hAnsi="DengXian" w:eastAsia="DengXian" w:cs="DengXian"/>
          <w:sz w:val="13"/>
          <w:szCs w:val="13"/>
          <w:b/>
          <w:bCs/>
          <w:color w:val="595959"/>
        </w:rPr>
        <w:t>月      </w:t>
      </w:r>
      <w:r>
        <w:rPr>
          <w:rFonts w:ascii="Calibri" w:hAnsi="Calibri" w:eastAsia="Calibri" w:cs="Calibri"/>
          <w:sz w:val="13"/>
          <w:szCs w:val="13"/>
          <w:b/>
          <w:bCs/>
          <w:color w:val="595959"/>
        </w:rPr>
        <w:t>4</w:t>
      </w:r>
      <w:r>
        <w:rPr>
          <w:rFonts w:ascii="DengXian" w:hAnsi="DengXian" w:eastAsia="DengXian" w:cs="DengXian"/>
          <w:sz w:val="13"/>
          <w:szCs w:val="13"/>
          <w:b/>
          <w:bCs/>
          <w:color w:val="595959"/>
        </w:rPr>
        <w:t>月      </w:t>
      </w:r>
      <w:r>
        <w:rPr>
          <w:rFonts w:ascii="Calibri" w:hAnsi="Calibri" w:eastAsia="Calibri" w:cs="Calibri"/>
          <w:sz w:val="13"/>
          <w:szCs w:val="13"/>
          <w:b/>
          <w:bCs/>
          <w:color w:val="595959"/>
        </w:rPr>
        <w:t>5</w:t>
      </w:r>
      <w:r>
        <w:rPr>
          <w:rFonts w:ascii="DengXian" w:hAnsi="DengXian" w:eastAsia="DengXian" w:cs="DengXian"/>
          <w:sz w:val="13"/>
          <w:szCs w:val="13"/>
          <w:b/>
          <w:bCs/>
          <w:color w:val="595959"/>
        </w:rPr>
        <w:t>月       </w:t>
      </w:r>
      <w:r>
        <w:rPr>
          <w:rFonts w:ascii="Calibri" w:hAnsi="Calibri" w:eastAsia="Calibri" w:cs="Calibri"/>
          <w:sz w:val="13"/>
          <w:szCs w:val="13"/>
          <w:b/>
          <w:bCs/>
          <w:color w:val="595959"/>
        </w:rPr>
        <w:t>6</w:t>
      </w:r>
      <w:r>
        <w:rPr>
          <w:rFonts w:ascii="DengXian" w:hAnsi="DengXian" w:eastAsia="DengXian" w:cs="DengXian"/>
          <w:sz w:val="13"/>
          <w:szCs w:val="13"/>
          <w:b/>
          <w:bCs/>
          <w:color w:val="595959"/>
        </w:rPr>
        <w:t>月</w:t>
      </w:r>
    </w:p>
    <w:p>
      <w:pPr>
        <w:ind w:left="415"/>
        <w:spacing w:before="37" w:line="166" w:lineRule="exact"/>
        <w:rPr>
          <w:rFonts w:ascii="Calibri" w:hAnsi="Calibri" w:eastAsia="Calibri" w:cs="Calibri"/>
          <w:sz w:val="13"/>
          <w:szCs w:val="13"/>
        </w:rPr>
      </w:pPr>
      <w:r>
        <w:pict>
          <v:shape id="_x0000_s2" style="position:absolute;margin-left:148.446pt;margin-top:4.16772pt;mso-position-vertical-relative:text;mso-position-horizontal-relative:text;width:225.05pt;height:10.65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235" w:lineRule="auto"/>
                    <w:jc w:val="right"/>
                    <w:rPr>
                      <w:rFonts w:ascii="DengXian" w:hAnsi="DengXian" w:eastAsia="DengXian" w:cs="DengXian"/>
                      <w:sz w:val="13"/>
                      <w:szCs w:val="13"/>
                    </w:rPr>
                  </w:pPr>
                  <w:r>
                    <w:rPr>
                      <w:rFonts w:ascii="Calibri" w:hAnsi="Calibri" w:eastAsia="Calibri" w:cs="Calibri"/>
                      <w:sz w:val="13"/>
                      <w:szCs w:val="13"/>
                      <w:b/>
                      <w:bCs/>
                      <w:color w:val="595959"/>
                      <w:spacing w:val="1"/>
                    </w:rPr>
                    <w:t>2022</w:t>
                  </w:r>
                  <w:r>
                    <w:rPr>
                      <w:rFonts w:ascii="DengXian" w:hAnsi="DengXian" w:eastAsia="DengXian" w:cs="DengXian"/>
                      <w:sz w:val="13"/>
                      <w:szCs w:val="13"/>
                      <w:b/>
                      <w:bCs/>
                      <w:color w:val="595959"/>
                      <w:spacing w:val="1"/>
                    </w:rPr>
                    <w:t>年                                                          </w:t>
                  </w:r>
                  <w:r>
                    <w:rPr>
                      <w:rFonts w:ascii="DengXian" w:hAnsi="DengXian" w:eastAsia="DengXian" w:cs="DengXian"/>
                      <w:sz w:val="13"/>
                      <w:szCs w:val="13"/>
                      <w:b/>
                      <w:bCs/>
                      <w:color w:val="595959"/>
                    </w:rPr>
                    <w:t xml:space="preserve">            </w:t>
                  </w:r>
                  <w:r>
                    <w:rPr>
                      <w:rFonts w:ascii="Calibri" w:hAnsi="Calibri" w:eastAsia="Calibri" w:cs="Calibri"/>
                      <w:sz w:val="13"/>
                      <w:szCs w:val="13"/>
                      <w:b/>
                      <w:bCs/>
                      <w:color w:val="595959"/>
                    </w:rPr>
                    <w:t>2023</w:t>
                  </w:r>
                  <w:r>
                    <w:rPr>
                      <w:rFonts w:ascii="DengXian" w:hAnsi="DengXian" w:eastAsia="DengXian" w:cs="DengXian"/>
                      <w:sz w:val="13"/>
                      <w:szCs w:val="13"/>
                      <w:b/>
                      <w:bCs/>
                      <w:color w:val="595959"/>
                    </w:rPr>
                    <w:t>年（同比增长</w:t>
                  </w:r>
                  <w:r>
                    <w:rPr>
                      <w:rFonts w:ascii="Calibri" w:hAnsi="Calibri" w:eastAsia="Calibri" w:cs="Calibri"/>
                      <w:sz w:val="13"/>
                      <w:szCs w:val="13"/>
                      <w:b/>
                      <w:bCs/>
                      <w:color w:val="595959"/>
                    </w:rPr>
                    <w:t>23.9%</w:t>
                  </w:r>
                  <w:r>
                    <w:rPr>
                      <w:rFonts w:ascii="DengXian" w:hAnsi="DengXian" w:eastAsia="DengXian" w:cs="DengXian"/>
                      <w:sz w:val="13"/>
                      <w:szCs w:val="13"/>
                      <w:b/>
                      <w:bCs/>
                      <w:color w:val="595959"/>
                    </w:rPr>
                    <w:t>）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sz w:val="13"/>
          <w:szCs w:val="13"/>
          <w:b/>
          <w:bCs/>
          <w:color w:val="595959"/>
          <w:spacing w:val="1"/>
          <w:position w:val="1"/>
        </w:rPr>
        <w:t>-50.0%</w:t>
      </w:r>
    </w:p>
    <w:p>
      <w:pPr>
        <w:ind w:left="347"/>
        <w:spacing w:before="211" w:line="167" w:lineRule="exact"/>
        <w:rPr>
          <w:rFonts w:ascii="Calibri" w:hAnsi="Calibri" w:eastAsia="Calibri" w:cs="Calibri"/>
          <w:sz w:val="13"/>
          <w:szCs w:val="13"/>
        </w:rPr>
      </w:pPr>
      <w:r>
        <w:rPr>
          <w:rFonts w:ascii="Calibri" w:hAnsi="Calibri" w:eastAsia="Calibri" w:cs="Calibri"/>
          <w:sz w:val="13"/>
          <w:szCs w:val="13"/>
          <w:b/>
          <w:bCs/>
          <w:color w:val="595959"/>
          <w:spacing w:val="1"/>
          <w:position w:val="1"/>
        </w:rPr>
        <w:t>-100.0%</w:t>
      </w:r>
    </w:p>
    <w:p>
      <w:pPr>
        <w:ind w:left="3198"/>
        <w:spacing w:before="72" w:line="232" w:lineRule="auto"/>
        <w:rPr>
          <w:rFonts w:ascii="DengXian" w:hAnsi="DengXian" w:eastAsia="DengXian" w:cs="DengXian"/>
          <w:sz w:val="13"/>
          <w:szCs w:val="13"/>
        </w:rPr>
      </w:pPr>
      <w:r>
        <w:rPr>
          <w:rFonts w:ascii="DengXian" w:hAnsi="DengXian" w:eastAsia="DengXian" w:cs="DengXian"/>
          <w:sz w:val="13"/>
          <w:szCs w:val="13"/>
          <w:b/>
          <w:bCs/>
          <w:color w:val="595959"/>
          <w:spacing w:val="1"/>
        </w:rPr>
        <w:t>总量环比       电信环比       移动环比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ind w:left="652"/>
        <w:spacing w:before="97" w:line="215" w:lineRule="auto"/>
        <w:outlineLvl w:val="2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3"/>
        </w:rPr>
        <w:t>图</w:t>
      </w:r>
      <w:r>
        <w:rPr>
          <w:rFonts w:ascii="KaiTi" w:hAnsi="KaiTi" w:eastAsia="KaiTi" w:cs="KaiTi"/>
          <w:sz w:val="30"/>
          <w:szCs w:val="30"/>
          <w:spacing w:val="-47"/>
        </w:rPr>
        <w:t xml:space="preserve"> </w:t>
      </w:r>
      <w:r>
        <w:rPr>
          <w:rFonts w:ascii="KaiTi" w:hAnsi="KaiTi" w:eastAsia="KaiTi" w:cs="KaiTi"/>
          <w:sz w:val="30"/>
          <w:szCs w:val="30"/>
          <w:spacing w:val="-3"/>
        </w:rPr>
        <w:t>2</w:t>
      </w:r>
      <w:r>
        <w:rPr>
          <w:rFonts w:ascii="KaiTi" w:hAnsi="KaiTi" w:eastAsia="KaiTi" w:cs="KaiTi"/>
          <w:sz w:val="30"/>
          <w:szCs w:val="30"/>
          <w:spacing w:val="-3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3"/>
        </w:rPr>
        <w:t>电信、移动县域社区数字化项目环比增长示意图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pStyle w:val="BodyText"/>
        <w:ind w:left="26" w:right="23" w:firstLine="599"/>
        <w:spacing w:before="98" w:line="333" w:lineRule="auto"/>
        <w:jc w:val="both"/>
        <w:rPr/>
      </w:pPr>
      <w:r>
        <w:rPr/>
        <w:t>运营商之外的企业规模为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</w:rPr>
        <w:t>72.50 </w:t>
      </w:r>
      <w:r>
        <w:rPr/>
        <w:t>亿，占比</w:t>
      </w:r>
      <w:r>
        <w:rPr>
          <w:rFonts w:ascii="Times New Roman" w:hAnsi="Times New Roman" w:eastAsia="Times New Roman" w:cs="Times New Roman"/>
        </w:rPr>
        <w:t>58%</w:t>
      </w:r>
      <w:r>
        <w:rPr/>
        <w:t>。其中中</w:t>
      </w:r>
      <w:r>
        <w:rPr>
          <w:spacing w:val="-1"/>
        </w:rPr>
        <w:t>标金</w:t>
      </w:r>
      <w:r>
        <w:rPr>
          <w:spacing w:val="-10"/>
        </w:rPr>
        <w:t>额超过</w:t>
      </w:r>
      <w:r>
        <w:rPr>
          <w:spacing w:val="-30"/>
        </w:rPr>
        <w:t xml:space="preserve"> </w:t>
      </w:r>
      <w:r>
        <w:rPr>
          <w:rFonts w:ascii="Times New Roman" w:hAnsi="Times New Roman" w:eastAsia="Times New Roman" w:cs="Times New Roman"/>
          <w:spacing w:val="-10"/>
        </w:rPr>
        <w:t>1000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spacing w:val="-10"/>
        </w:rPr>
        <w:t>万元的企业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spacing w:val="-10"/>
        </w:rPr>
        <w:t>9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spacing w:val="-10"/>
        </w:rPr>
        <w:t>家，合计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10"/>
        </w:rPr>
        <w:t>4.2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spacing w:val="-10"/>
        </w:rPr>
        <w:t>亿（见表</w:t>
      </w:r>
      <w:r>
        <w:rPr>
          <w:spacing w:val="-31"/>
        </w:rPr>
        <w:t xml:space="preserve"> </w:t>
      </w:r>
      <w:r>
        <w:rPr>
          <w:rFonts w:ascii="Times New Roman" w:hAnsi="Times New Roman" w:eastAsia="Times New Roman" w:cs="Times New Roman"/>
          <w:spacing w:val="-11"/>
        </w:rPr>
        <w:t>1</w:t>
      </w:r>
      <w:r>
        <w:rPr>
          <w:spacing w:val="-11"/>
        </w:rPr>
        <w:t>）。其他企业</w:t>
      </w:r>
      <w:r>
        <w:rPr>
          <w:spacing w:val="-4"/>
        </w:rPr>
        <w:t>合计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68.3 </w:t>
      </w:r>
      <w:r>
        <w:rPr>
          <w:spacing w:val="-4"/>
        </w:rPr>
        <w:t>亿，以本地企业居多。</w:t>
      </w:r>
    </w:p>
    <w:p>
      <w:pPr>
        <w:ind w:left="744"/>
        <w:spacing w:before="167" w:line="217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30"/>
          <w:szCs w:val="30"/>
          <w:spacing w:val="-4"/>
        </w:rPr>
        <w:t>表</w:t>
      </w:r>
      <w:r>
        <w:rPr>
          <w:rFonts w:ascii="KaiTi" w:hAnsi="KaiTi" w:eastAsia="KaiTi" w:cs="KaiTi"/>
          <w:sz w:val="30"/>
          <w:szCs w:val="30"/>
          <w:spacing w:val="-34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1</w:t>
      </w:r>
      <w:r>
        <w:rPr>
          <w:rFonts w:ascii="KaiTi" w:hAnsi="KaiTi" w:eastAsia="KaiTi" w:cs="KaiTi"/>
          <w:sz w:val="30"/>
          <w:szCs w:val="30"/>
          <w:spacing w:val="-4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4"/>
        </w:rPr>
        <w:t>中标规模超过</w:t>
      </w:r>
      <w:r>
        <w:rPr>
          <w:rFonts w:ascii="KaiTi" w:hAnsi="KaiTi" w:eastAsia="KaiTi" w:cs="KaiTi"/>
          <w:sz w:val="30"/>
          <w:szCs w:val="30"/>
          <w:spacing w:val="-51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1000</w:t>
      </w:r>
      <w:r>
        <w:rPr>
          <w:rFonts w:ascii="KaiTi" w:hAnsi="KaiTi" w:eastAsia="KaiTi" w:cs="KaiTi"/>
          <w:sz w:val="30"/>
          <w:szCs w:val="30"/>
          <w:spacing w:val="-54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万的企业列表</w:t>
      </w:r>
      <w:r>
        <w:rPr>
          <w:rFonts w:ascii="KaiTi" w:hAnsi="KaiTi" w:eastAsia="KaiTi" w:cs="KaiTi"/>
          <w:sz w:val="24"/>
          <w:szCs w:val="24"/>
          <w:spacing w:val="-4"/>
        </w:rPr>
        <w:t>（单位：万元）</w:t>
      </w:r>
    </w:p>
    <w:p>
      <w:pPr>
        <w:spacing w:line="217" w:lineRule="auto"/>
        <w:sectPr>
          <w:headerReference w:type="default" r:id="rId2"/>
          <w:pgSz w:w="11907" w:h="16839"/>
          <w:pgMar w:top="400" w:right="1785" w:bottom="0" w:left="1785" w:header="0" w:footer="0" w:gutter="0"/>
        </w:sectPr>
        <w:rPr>
          <w:rFonts w:ascii="KaiTi" w:hAnsi="KaiTi" w:eastAsia="KaiTi" w:cs="KaiTi"/>
          <w:sz w:val="24"/>
          <w:szCs w:val="24"/>
        </w:rPr>
      </w:pPr>
    </w:p>
    <w:p>
      <w:pPr>
        <w:spacing w:before="46"/>
        <w:rPr/>
      </w:pPr>
      <w:r/>
    </w:p>
    <w:p>
      <w:pPr>
        <w:spacing w:before="46"/>
        <w:rPr/>
      </w:pPr>
      <w:r/>
    </w:p>
    <w:p>
      <w:pPr>
        <w:spacing w:before="46"/>
        <w:rPr/>
      </w:pPr>
      <w:r/>
    </w:p>
    <w:p>
      <w:pPr>
        <w:spacing w:before="46"/>
        <w:rPr/>
      </w:pPr>
      <w:r/>
    </w:p>
    <w:tbl>
      <w:tblPr>
        <w:tblStyle w:val="TableNormal"/>
        <w:tblW w:w="4708" w:type="dxa"/>
        <w:tblInd w:w="1905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430"/>
        <w:gridCol w:w="1136"/>
        <w:gridCol w:w="1142"/>
      </w:tblGrid>
      <w:tr>
        <w:trPr>
          <w:trHeight w:val="290" w:hRule="atLeast"/>
        </w:trPr>
        <w:tc>
          <w:tcPr>
            <w:tcW w:w="2430" w:type="dxa"/>
            <w:vAlign w:val="top"/>
          </w:tcPr>
          <w:p>
            <w:pPr>
              <w:pStyle w:val="TableText"/>
              <w:ind w:left="53"/>
              <w:spacing w:before="44" w:line="189" w:lineRule="auto"/>
              <w:rPr/>
            </w:pPr>
            <w:r>
              <w:rPr>
                <w:b/>
                <w:bCs/>
                <w:spacing w:val="37"/>
              </w:rPr>
              <w:t>重点企业</w:t>
            </w:r>
          </w:p>
        </w:tc>
        <w:tc>
          <w:tcPr>
            <w:tcW w:w="1136" w:type="dxa"/>
            <w:vAlign w:val="top"/>
          </w:tcPr>
          <w:p>
            <w:pPr>
              <w:pStyle w:val="TableText"/>
              <w:spacing w:before="44" w:line="189" w:lineRule="auto"/>
              <w:jc w:val="right"/>
              <w:rPr/>
            </w:pPr>
            <w:r>
              <w:rPr>
                <w:b/>
                <w:bCs/>
                <w:spacing w:val="36"/>
              </w:rPr>
              <w:t>项目数量</w:t>
            </w:r>
          </w:p>
        </w:tc>
        <w:tc>
          <w:tcPr>
            <w:tcW w:w="1142" w:type="dxa"/>
            <w:vAlign w:val="top"/>
            <w:tcBorders>
              <w:right w:val="nil"/>
            </w:tcBorders>
          </w:tcPr>
          <w:p>
            <w:pPr>
              <w:pStyle w:val="TableText"/>
              <w:ind w:right="7"/>
              <w:spacing w:before="44" w:line="189" w:lineRule="auto"/>
              <w:jc w:val="right"/>
              <w:rPr/>
            </w:pPr>
            <w:r>
              <w:rPr>
                <w:b/>
                <w:bCs/>
                <w:spacing w:val="36"/>
              </w:rPr>
              <w:t>项目金额</w:t>
            </w:r>
          </w:p>
        </w:tc>
      </w:tr>
      <w:tr>
        <w:trPr>
          <w:trHeight w:val="285" w:hRule="atLeast"/>
        </w:trPr>
        <w:tc>
          <w:tcPr>
            <w:tcW w:w="2430" w:type="dxa"/>
            <w:vAlign w:val="top"/>
          </w:tcPr>
          <w:p>
            <w:pPr>
              <w:pStyle w:val="TableText"/>
              <w:ind w:left="77"/>
              <w:spacing w:before="40" w:line="188" w:lineRule="auto"/>
              <w:rPr/>
            </w:pPr>
            <w:r>
              <w:rPr>
                <w:spacing w:val="26"/>
              </w:rPr>
              <w:t>中国铁塔</w:t>
            </w:r>
          </w:p>
        </w:tc>
        <w:tc>
          <w:tcPr>
            <w:tcW w:w="1136" w:type="dxa"/>
            <w:vAlign w:val="top"/>
          </w:tcPr>
          <w:p>
            <w:pPr>
              <w:pStyle w:val="TableText"/>
              <w:ind w:left="856"/>
              <w:spacing w:before="40" w:line="188" w:lineRule="auto"/>
              <w:rPr/>
            </w:pPr>
            <w:r>
              <w:rPr>
                <w:spacing w:val="2"/>
              </w:rPr>
              <w:t>14</w:t>
            </w:r>
          </w:p>
        </w:tc>
        <w:tc>
          <w:tcPr>
            <w:tcW w:w="1142" w:type="dxa"/>
            <w:vAlign w:val="top"/>
          </w:tcPr>
          <w:p>
            <w:pPr>
              <w:pStyle w:val="TableText"/>
              <w:ind w:left="176"/>
              <w:spacing w:before="40" w:line="188" w:lineRule="auto"/>
              <w:rPr/>
            </w:pPr>
            <w:r>
              <w:rPr>
                <w:spacing w:val="16"/>
              </w:rPr>
              <w:t>8209.52</w:t>
            </w:r>
          </w:p>
        </w:tc>
      </w:tr>
      <w:tr>
        <w:trPr>
          <w:trHeight w:val="286" w:hRule="atLeast"/>
        </w:trPr>
        <w:tc>
          <w:tcPr>
            <w:tcW w:w="2430" w:type="dxa"/>
            <w:vAlign w:val="top"/>
          </w:tcPr>
          <w:p>
            <w:pPr>
              <w:pStyle w:val="TableText"/>
              <w:ind w:left="77"/>
              <w:spacing w:before="41" w:line="188" w:lineRule="auto"/>
              <w:rPr/>
            </w:pPr>
            <w:r>
              <w:rPr>
                <w:spacing w:val="29"/>
              </w:rPr>
              <w:t>中国电子科技</w:t>
            </w:r>
          </w:p>
        </w:tc>
        <w:tc>
          <w:tcPr>
            <w:tcW w:w="1136" w:type="dxa"/>
            <w:vAlign w:val="top"/>
          </w:tcPr>
          <w:p>
            <w:pPr>
              <w:pStyle w:val="TableText"/>
              <w:ind w:left="971"/>
              <w:spacing w:before="41" w:line="188" w:lineRule="auto"/>
              <w:rPr/>
            </w:pPr>
            <w:r>
              <w:rPr>
                <w:spacing w:val="6"/>
              </w:rPr>
              <w:t>8</w:t>
            </w:r>
          </w:p>
        </w:tc>
        <w:tc>
          <w:tcPr>
            <w:tcW w:w="1142" w:type="dxa"/>
            <w:vAlign w:val="top"/>
          </w:tcPr>
          <w:p>
            <w:pPr>
              <w:pStyle w:val="TableText"/>
              <w:ind w:left="177"/>
              <w:spacing w:before="41" w:line="188" w:lineRule="auto"/>
              <w:rPr/>
            </w:pPr>
            <w:r>
              <w:rPr>
                <w:spacing w:val="16"/>
              </w:rPr>
              <w:t>6466.79</w:t>
            </w:r>
          </w:p>
        </w:tc>
      </w:tr>
      <w:tr>
        <w:trPr>
          <w:trHeight w:val="286" w:hRule="atLeast"/>
        </w:trPr>
        <w:tc>
          <w:tcPr>
            <w:tcW w:w="2430" w:type="dxa"/>
            <w:vAlign w:val="top"/>
          </w:tcPr>
          <w:p>
            <w:pPr>
              <w:pStyle w:val="TableText"/>
              <w:ind w:left="54"/>
              <w:spacing w:before="41" w:line="188" w:lineRule="auto"/>
              <w:rPr/>
            </w:pPr>
            <w:r>
              <w:rPr>
                <w:spacing w:val="32"/>
              </w:rPr>
              <w:t>卫宁健康</w:t>
            </w:r>
          </w:p>
        </w:tc>
        <w:tc>
          <w:tcPr>
            <w:tcW w:w="1136" w:type="dxa"/>
            <w:vAlign w:val="top"/>
          </w:tcPr>
          <w:p>
            <w:pPr>
              <w:pStyle w:val="TableText"/>
              <w:ind w:left="971"/>
              <w:spacing w:before="41" w:line="188" w:lineRule="auto"/>
              <w:rPr/>
            </w:pPr>
            <w:r>
              <w:rPr>
                <w:spacing w:val="6"/>
              </w:rPr>
              <w:t>9</w:t>
            </w:r>
          </w:p>
        </w:tc>
        <w:tc>
          <w:tcPr>
            <w:tcW w:w="1142" w:type="dxa"/>
            <w:vAlign w:val="top"/>
          </w:tcPr>
          <w:p>
            <w:pPr>
              <w:pStyle w:val="TableText"/>
              <w:ind w:left="180"/>
              <w:spacing w:before="41" w:line="188" w:lineRule="auto"/>
              <w:rPr/>
            </w:pPr>
            <w:r>
              <w:rPr>
                <w:spacing w:val="15"/>
              </w:rPr>
              <w:t>5200.45</w:t>
            </w:r>
          </w:p>
        </w:tc>
      </w:tr>
      <w:tr>
        <w:trPr>
          <w:trHeight w:val="286" w:hRule="atLeast"/>
        </w:trPr>
        <w:tc>
          <w:tcPr>
            <w:tcW w:w="2430" w:type="dxa"/>
            <w:vAlign w:val="top"/>
          </w:tcPr>
          <w:p>
            <w:pPr>
              <w:pStyle w:val="TableText"/>
              <w:ind w:left="77"/>
              <w:spacing w:before="41" w:line="188" w:lineRule="auto"/>
              <w:rPr/>
            </w:pPr>
            <w:r>
              <w:rPr>
                <w:spacing w:val="29"/>
              </w:rPr>
              <w:t>中国信息通信</w:t>
            </w:r>
          </w:p>
        </w:tc>
        <w:tc>
          <w:tcPr>
            <w:tcW w:w="1136" w:type="dxa"/>
            <w:vAlign w:val="top"/>
          </w:tcPr>
          <w:p>
            <w:pPr>
              <w:pStyle w:val="TableText"/>
              <w:ind w:left="973"/>
              <w:spacing w:before="41" w:line="188" w:lineRule="auto"/>
              <w:rPr/>
            </w:pPr>
            <w:r>
              <w:rPr>
                <w:spacing w:val="4"/>
              </w:rPr>
              <w:t>2</w:t>
            </w:r>
          </w:p>
        </w:tc>
        <w:tc>
          <w:tcPr>
            <w:tcW w:w="1142" w:type="dxa"/>
            <w:vAlign w:val="top"/>
          </w:tcPr>
          <w:p>
            <w:pPr>
              <w:pStyle w:val="TableText"/>
              <w:ind w:left="180"/>
              <w:spacing w:before="41" w:line="188" w:lineRule="auto"/>
              <w:rPr/>
            </w:pPr>
            <w:r>
              <w:rPr>
                <w:spacing w:val="15"/>
              </w:rPr>
              <w:t>5155.65</w:t>
            </w:r>
          </w:p>
        </w:tc>
      </w:tr>
      <w:tr>
        <w:trPr>
          <w:trHeight w:val="286" w:hRule="atLeast"/>
        </w:trPr>
        <w:tc>
          <w:tcPr>
            <w:tcW w:w="2430" w:type="dxa"/>
            <w:vAlign w:val="top"/>
          </w:tcPr>
          <w:p>
            <w:pPr>
              <w:pStyle w:val="TableText"/>
              <w:ind w:left="52"/>
              <w:spacing w:before="43" w:line="187" w:lineRule="auto"/>
              <w:rPr/>
            </w:pPr>
            <w:r>
              <w:rPr>
                <w:spacing w:val="32"/>
              </w:rPr>
              <w:t>科大讯飞</w:t>
            </w:r>
          </w:p>
        </w:tc>
        <w:tc>
          <w:tcPr>
            <w:tcW w:w="1136" w:type="dxa"/>
            <w:vAlign w:val="top"/>
          </w:tcPr>
          <w:p>
            <w:pPr>
              <w:pStyle w:val="TableText"/>
              <w:ind w:left="975"/>
              <w:spacing w:before="43" w:line="187" w:lineRule="auto"/>
              <w:rPr/>
            </w:pPr>
            <w:r>
              <w:rPr>
                <w:spacing w:val="2"/>
              </w:rPr>
              <w:t>3</w:t>
            </w:r>
          </w:p>
        </w:tc>
        <w:tc>
          <w:tcPr>
            <w:tcW w:w="1142" w:type="dxa"/>
            <w:vAlign w:val="top"/>
          </w:tcPr>
          <w:p>
            <w:pPr>
              <w:pStyle w:val="TableText"/>
              <w:ind w:left="180"/>
              <w:spacing w:before="43" w:line="187" w:lineRule="auto"/>
              <w:rPr/>
            </w:pPr>
            <w:r>
              <w:rPr>
                <w:spacing w:val="15"/>
              </w:rPr>
              <w:t>5025.29</w:t>
            </w:r>
          </w:p>
        </w:tc>
      </w:tr>
      <w:tr>
        <w:trPr>
          <w:trHeight w:val="285" w:hRule="atLeast"/>
        </w:trPr>
        <w:tc>
          <w:tcPr>
            <w:tcW w:w="2430" w:type="dxa"/>
            <w:vAlign w:val="top"/>
          </w:tcPr>
          <w:p>
            <w:pPr>
              <w:pStyle w:val="TableText"/>
              <w:ind w:left="59"/>
              <w:spacing w:before="42" w:line="187" w:lineRule="auto"/>
              <w:rPr/>
            </w:pPr>
            <w:r>
              <w:rPr>
                <w:spacing w:val="31"/>
              </w:rPr>
              <w:t>万达信息</w:t>
            </w:r>
          </w:p>
        </w:tc>
        <w:tc>
          <w:tcPr>
            <w:tcW w:w="1136" w:type="dxa"/>
            <w:vAlign w:val="top"/>
          </w:tcPr>
          <w:p>
            <w:pPr>
              <w:pStyle w:val="TableText"/>
              <w:ind w:left="840"/>
              <w:spacing w:before="42" w:line="187" w:lineRule="auto"/>
              <w:rPr/>
            </w:pPr>
            <w:r>
              <w:rPr>
                <w:spacing w:val="11"/>
              </w:rPr>
              <w:t>27</w:t>
            </w:r>
          </w:p>
        </w:tc>
        <w:tc>
          <w:tcPr>
            <w:tcW w:w="1142" w:type="dxa"/>
            <w:vAlign w:val="top"/>
          </w:tcPr>
          <w:p>
            <w:pPr>
              <w:pStyle w:val="TableText"/>
              <w:ind w:left="174"/>
              <w:spacing w:before="42" w:line="187" w:lineRule="auto"/>
              <w:rPr/>
            </w:pPr>
            <w:r>
              <w:rPr>
                <w:spacing w:val="16"/>
              </w:rPr>
              <w:t>4349.61</w:t>
            </w:r>
          </w:p>
        </w:tc>
      </w:tr>
      <w:tr>
        <w:trPr>
          <w:trHeight w:val="286" w:hRule="atLeast"/>
        </w:trPr>
        <w:tc>
          <w:tcPr>
            <w:tcW w:w="2430" w:type="dxa"/>
            <w:vAlign w:val="top"/>
          </w:tcPr>
          <w:p>
            <w:pPr>
              <w:pStyle w:val="TableText"/>
              <w:ind w:left="56"/>
              <w:spacing w:before="44" w:line="186" w:lineRule="auto"/>
              <w:rPr/>
            </w:pPr>
            <w:r>
              <w:rPr>
                <w:spacing w:val="28"/>
              </w:rPr>
              <w:t>浪潮</w:t>
            </w:r>
          </w:p>
        </w:tc>
        <w:tc>
          <w:tcPr>
            <w:tcW w:w="1136" w:type="dxa"/>
            <w:vAlign w:val="top"/>
          </w:tcPr>
          <w:p>
            <w:pPr>
              <w:pStyle w:val="TableText"/>
              <w:ind w:left="976"/>
              <w:spacing w:before="44" w:line="186" w:lineRule="auto"/>
              <w:rPr/>
            </w:pPr>
            <w:r>
              <w:rPr>
                <w:spacing w:val="1"/>
              </w:rPr>
              <w:t>7</w:t>
            </w:r>
          </w:p>
        </w:tc>
        <w:tc>
          <w:tcPr>
            <w:tcW w:w="1142" w:type="dxa"/>
            <w:vAlign w:val="top"/>
          </w:tcPr>
          <w:p>
            <w:pPr>
              <w:pStyle w:val="TableText"/>
              <w:ind w:left="307"/>
              <w:spacing w:before="44" w:line="186" w:lineRule="auto"/>
              <w:rPr/>
            </w:pPr>
            <w:r>
              <w:rPr>
                <w:spacing w:val="16"/>
              </w:rPr>
              <w:t>4206.4</w:t>
            </w:r>
          </w:p>
        </w:tc>
      </w:tr>
      <w:tr>
        <w:trPr>
          <w:trHeight w:val="286" w:hRule="atLeast"/>
        </w:trPr>
        <w:tc>
          <w:tcPr>
            <w:tcW w:w="2430" w:type="dxa"/>
            <w:vAlign w:val="top"/>
          </w:tcPr>
          <w:p>
            <w:pPr>
              <w:pStyle w:val="TableText"/>
              <w:ind w:left="59"/>
              <w:spacing w:before="44" w:line="186" w:lineRule="auto"/>
              <w:rPr/>
            </w:pPr>
            <w:r>
              <w:rPr>
                <w:spacing w:val="31"/>
              </w:rPr>
              <w:t>紫光软件</w:t>
            </w:r>
          </w:p>
        </w:tc>
        <w:tc>
          <w:tcPr>
            <w:tcW w:w="1136" w:type="dxa"/>
            <w:vAlign w:val="top"/>
          </w:tcPr>
          <w:p>
            <w:pPr>
              <w:pStyle w:val="TableText"/>
              <w:ind w:right="25"/>
              <w:spacing w:before="44" w:line="186" w:lineRule="auto"/>
              <w:jc w:val="right"/>
              <w:rPr/>
            </w:pPr>
            <w:r>
              <w:rPr/>
              <w:t>1</w:t>
            </w:r>
          </w:p>
        </w:tc>
        <w:tc>
          <w:tcPr>
            <w:tcW w:w="1142" w:type="dxa"/>
            <w:vAlign w:val="top"/>
          </w:tcPr>
          <w:p>
            <w:pPr>
              <w:pStyle w:val="TableText"/>
              <w:ind w:left="178"/>
              <w:spacing w:before="44" w:line="186" w:lineRule="auto"/>
              <w:rPr/>
            </w:pPr>
            <w:r>
              <w:rPr>
                <w:spacing w:val="16"/>
              </w:rPr>
              <w:t>2065.62</w:t>
            </w:r>
          </w:p>
        </w:tc>
      </w:tr>
      <w:tr>
        <w:trPr>
          <w:trHeight w:val="285" w:hRule="atLeast"/>
        </w:trPr>
        <w:tc>
          <w:tcPr>
            <w:tcW w:w="2430" w:type="dxa"/>
            <w:vAlign w:val="top"/>
          </w:tcPr>
          <w:p>
            <w:pPr>
              <w:pStyle w:val="TableText"/>
              <w:ind w:left="64"/>
              <w:spacing w:before="44" w:line="185" w:lineRule="auto"/>
              <w:rPr/>
            </w:pPr>
            <w:r>
              <w:rPr>
                <w:spacing w:val="30"/>
              </w:rPr>
              <w:t>阿里巴巴</w:t>
            </w:r>
          </w:p>
        </w:tc>
        <w:tc>
          <w:tcPr>
            <w:tcW w:w="1136" w:type="dxa"/>
            <w:vAlign w:val="top"/>
          </w:tcPr>
          <w:p>
            <w:pPr>
              <w:pStyle w:val="TableText"/>
              <w:ind w:left="975"/>
              <w:spacing w:before="44" w:line="185" w:lineRule="auto"/>
              <w:rPr/>
            </w:pPr>
            <w:r>
              <w:rPr>
                <w:spacing w:val="2"/>
              </w:rPr>
              <w:t>5</w:t>
            </w:r>
          </w:p>
        </w:tc>
        <w:tc>
          <w:tcPr>
            <w:tcW w:w="1142" w:type="dxa"/>
            <w:vAlign w:val="top"/>
          </w:tcPr>
          <w:p>
            <w:pPr>
              <w:pStyle w:val="TableText"/>
              <w:ind w:left="593"/>
              <w:spacing w:before="44" w:line="185" w:lineRule="auto"/>
              <w:rPr/>
            </w:pPr>
            <w:r>
              <w:rPr>
                <w:spacing w:val="10"/>
              </w:rPr>
              <w:t>1340</w:t>
            </w:r>
          </w:p>
        </w:tc>
      </w:tr>
      <w:tr>
        <w:trPr>
          <w:trHeight w:val="290" w:hRule="atLeast"/>
        </w:trPr>
        <w:tc>
          <w:tcPr>
            <w:tcW w:w="2430" w:type="dxa"/>
            <w:vAlign w:val="top"/>
            <w:tcBorders>
              <w:bottom w:val="single" w:color="D4D4D4" w:sz="2" w:space="0"/>
            </w:tcBorders>
          </w:tcPr>
          <w:p>
            <w:pPr>
              <w:pStyle w:val="TableText"/>
              <w:ind w:left="53"/>
              <w:spacing w:before="45" w:line="188" w:lineRule="auto"/>
              <w:rPr/>
            </w:pPr>
            <w:r>
              <w:rPr>
                <w:b/>
                <w:bCs/>
                <w:spacing w:val="32"/>
              </w:rPr>
              <w:t>合计</w:t>
            </w:r>
          </w:p>
        </w:tc>
        <w:tc>
          <w:tcPr>
            <w:tcW w:w="1136" w:type="dxa"/>
            <w:vAlign w:val="top"/>
            <w:tcBorders>
              <w:bottom w:val="single" w:color="D4D4D4" w:sz="2" w:space="0"/>
              <w:right w:val="single" w:color="D4D4D4" w:sz="2" w:space="0"/>
            </w:tcBorders>
          </w:tcPr>
          <w:p>
            <w:pPr>
              <w:pStyle w:val="TableText"/>
              <w:ind w:left="861"/>
              <w:spacing w:before="59" w:line="19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0"/>
              </w:rPr>
              <w:t>76</w:t>
            </w:r>
          </w:p>
        </w:tc>
        <w:tc>
          <w:tcPr>
            <w:tcW w:w="1142" w:type="dxa"/>
            <w:vAlign w:val="top"/>
            <w:tcBorders>
              <w:left w:val="single" w:color="D4D4D4" w:sz="2" w:space="0"/>
              <w:bottom w:val="single" w:color="D4D4D4" w:sz="2" w:space="0"/>
              <w:right w:val="single" w:color="D4D4D4" w:sz="2" w:space="0"/>
            </w:tcBorders>
          </w:tcPr>
          <w:p>
            <w:pPr>
              <w:pStyle w:val="TableText"/>
              <w:ind w:left="117"/>
              <w:spacing w:before="59" w:line="19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6"/>
              </w:rPr>
              <w:t>42019.34</w:t>
            </w:r>
          </w:p>
        </w:tc>
      </w:tr>
    </w:tbl>
    <w:p>
      <w:pPr>
        <w:spacing w:line="462" w:lineRule="auto"/>
        <w:rPr>
          <w:rFonts w:ascii="Arial"/>
          <w:sz w:val="21"/>
        </w:rPr>
      </w:pPr>
      <w:r/>
    </w:p>
    <w:p>
      <w:pPr>
        <w:pStyle w:val="BodyText"/>
        <w:ind w:left="27" w:right="24" w:firstLine="602"/>
        <w:spacing w:before="97" w:line="334" w:lineRule="auto"/>
        <w:jc w:val="both"/>
        <w:rPr/>
      </w:pPr>
      <w:r>
        <w:rPr>
          <w:spacing w:val="-10"/>
        </w:rPr>
        <w:t>从规模来看，</w:t>
      </w:r>
      <w:r>
        <w:rPr>
          <w:rFonts w:ascii="Times New Roman" w:hAnsi="Times New Roman" w:eastAsia="Times New Roman" w:cs="Times New Roman"/>
          <w:spacing w:val="-10"/>
        </w:rPr>
        <w:t>6%</w:t>
      </w:r>
      <w:r>
        <w:rPr>
          <w:spacing w:val="-10"/>
        </w:rPr>
        <w:t>的千万级大单贡献了近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spacing w:val="-10"/>
        </w:rPr>
        <w:t>50%</w:t>
      </w:r>
      <w:r>
        <w:rPr>
          <w:spacing w:val="-10"/>
        </w:rPr>
        <w:t>的市场规模（见</w:t>
      </w:r>
      <w:r>
        <w:rPr>
          <w:spacing w:val="-7"/>
        </w:rPr>
        <w:t>图 </w:t>
      </w:r>
      <w:r>
        <w:rPr>
          <w:rFonts w:ascii="Times New Roman" w:hAnsi="Times New Roman" w:eastAsia="Times New Roman" w:cs="Times New Roman"/>
          <w:spacing w:val="-7"/>
        </w:rPr>
        <w:t>3</w:t>
      </w:r>
      <w:r>
        <w:rPr>
          <w:spacing w:val="-7"/>
        </w:rPr>
        <w:t>）。三大运营商千万级大单规模占比均超过 </w:t>
      </w:r>
      <w:r>
        <w:rPr>
          <w:rFonts w:ascii="Times New Roman" w:hAnsi="Times New Roman" w:eastAsia="Times New Roman" w:cs="Times New Roman"/>
          <w:spacing w:val="-7"/>
        </w:rPr>
        <w:t>50%</w:t>
      </w:r>
      <w:r>
        <w:rPr>
          <w:spacing w:val="-7"/>
        </w:rPr>
        <w:t>，广电</w:t>
      </w:r>
      <w:r>
        <w:rPr>
          <w:spacing w:val="-8"/>
        </w:rPr>
        <w:t>中标</w:t>
      </w:r>
      <w:r>
        <w:rPr>
          <w:spacing w:val="-8"/>
        </w:rPr>
        <w:t>规模主要在百万级左右（见图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4</w:t>
      </w:r>
      <w:r>
        <w:rPr>
          <w:spacing w:val="-8"/>
        </w:rPr>
        <w:t>）。</w:t>
      </w:r>
    </w:p>
    <w:p>
      <w:pPr>
        <w:ind w:firstLine="1206"/>
        <w:spacing w:before="65" w:line="3252" w:lineRule="exact"/>
        <w:rPr/>
      </w:pPr>
      <w:r>
        <w:rPr>
          <w:position w:val="-65"/>
        </w:rPr>
        <w:drawing>
          <wp:inline distT="0" distB="0" distL="0" distR="0">
            <wp:extent cx="3759707" cy="2065020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59707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012"/>
        <w:spacing w:before="262" w:line="215" w:lineRule="auto"/>
        <w:outlineLvl w:val="3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30"/>
          <w:szCs w:val="30"/>
          <w:spacing w:val="-4"/>
        </w:rPr>
        <w:t>图</w:t>
      </w:r>
      <w:r>
        <w:rPr>
          <w:rFonts w:ascii="KaiTi" w:hAnsi="KaiTi" w:eastAsia="KaiTi" w:cs="KaiTi"/>
          <w:sz w:val="30"/>
          <w:szCs w:val="30"/>
          <w:spacing w:val="-48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3</w:t>
      </w:r>
      <w:r>
        <w:rPr>
          <w:rFonts w:ascii="KaiTi" w:hAnsi="KaiTi" w:eastAsia="KaiTi" w:cs="KaiTi"/>
          <w:sz w:val="30"/>
          <w:szCs w:val="30"/>
          <w:spacing w:val="-4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4"/>
        </w:rPr>
        <w:t>县域社区数字化项目规模分布</w:t>
      </w:r>
      <w:r>
        <w:rPr>
          <w:rFonts w:ascii="KaiTi" w:hAnsi="KaiTi" w:eastAsia="KaiTi" w:cs="KaiTi"/>
          <w:sz w:val="24"/>
          <w:szCs w:val="24"/>
          <w:spacing w:val="-4"/>
        </w:rPr>
        <w:t>（单位：万元）</w:t>
      </w:r>
    </w:p>
    <w:p>
      <w:pPr>
        <w:spacing w:line="405" w:lineRule="auto"/>
        <w:rPr>
          <w:rFonts w:ascii="Arial"/>
          <w:sz w:val="21"/>
        </w:rPr>
      </w:pPr>
      <w:r/>
    </w:p>
    <w:p>
      <w:pPr>
        <w:ind w:firstLine="1091"/>
        <w:spacing w:line="3147" w:lineRule="exact"/>
        <w:rPr/>
      </w:pPr>
      <w:r>
        <w:rPr>
          <w:position w:val="-62"/>
        </w:rPr>
        <w:drawing>
          <wp:inline distT="0" distB="0" distL="0" distR="0">
            <wp:extent cx="3906011" cy="1997964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06011" cy="1997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561"/>
        <w:spacing w:before="316" w:line="215" w:lineRule="auto"/>
        <w:outlineLvl w:val="2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30"/>
          <w:szCs w:val="30"/>
          <w:spacing w:val="-2"/>
        </w:rPr>
        <w:t>图</w:t>
      </w:r>
      <w:r>
        <w:rPr>
          <w:rFonts w:ascii="KaiTi" w:hAnsi="KaiTi" w:eastAsia="KaiTi" w:cs="KaiTi"/>
          <w:sz w:val="30"/>
          <w:szCs w:val="30"/>
          <w:spacing w:val="-70"/>
        </w:rPr>
        <w:t xml:space="preserve"> </w:t>
      </w:r>
      <w:r>
        <w:rPr>
          <w:rFonts w:ascii="KaiTi" w:hAnsi="KaiTi" w:eastAsia="KaiTi" w:cs="KaiTi"/>
          <w:sz w:val="30"/>
          <w:szCs w:val="30"/>
          <w:spacing w:val="-2"/>
        </w:rPr>
        <w:t>4</w:t>
      </w:r>
      <w:r>
        <w:rPr>
          <w:rFonts w:ascii="KaiTi" w:hAnsi="KaiTi" w:eastAsia="KaiTi" w:cs="KaiTi"/>
          <w:sz w:val="30"/>
          <w:szCs w:val="30"/>
          <w:spacing w:val="-2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2"/>
        </w:rPr>
        <w:t>县域社区数字化项目运营商规模分</w:t>
      </w:r>
      <w:r>
        <w:rPr>
          <w:rFonts w:ascii="KaiTi" w:hAnsi="KaiTi" w:eastAsia="KaiTi" w:cs="KaiTi"/>
          <w:sz w:val="30"/>
          <w:szCs w:val="30"/>
          <w:spacing w:val="-3"/>
        </w:rPr>
        <w:t>布</w:t>
      </w:r>
      <w:r>
        <w:rPr>
          <w:rFonts w:ascii="KaiTi" w:hAnsi="KaiTi" w:eastAsia="KaiTi" w:cs="KaiTi"/>
          <w:sz w:val="24"/>
          <w:szCs w:val="24"/>
          <w:spacing w:val="-3"/>
        </w:rPr>
        <w:t>（单位：万元）</w:t>
      </w:r>
    </w:p>
    <w:p>
      <w:pPr>
        <w:spacing w:line="215" w:lineRule="auto"/>
        <w:sectPr>
          <w:headerReference w:type="default" r:id="rId4"/>
          <w:pgSz w:w="11907" w:h="16839"/>
          <w:pgMar w:top="400" w:right="1785" w:bottom="0" w:left="1785" w:header="0" w:footer="0" w:gutter="0"/>
        </w:sectPr>
        <w:rPr>
          <w:rFonts w:ascii="KaiTi" w:hAnsi="KaiTi" w:eastAsia="KaiTi" w:cs="KaiTi"/>
          <w:sz w:val="24"/>
          <w:szCs w:val="24"/>
        </w:rPr>
      </w:pPr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ind w:firstLine="1077"/>
        <w:spacing w:line="3855" w:lineRule="exact"/>
        <w:rPr/>
      </w:pPr>
      <w:r>
        <w:rPr>
          <w:position w:val="-77"/>
        </w:rPr>
        <w:drawing>
          <wp:inline distT="0" distB="0" distL="0" distR="0">
            <wp:extent cx="3918203" cy="2447544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18203" cy="244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561"/>
        <w:spacing w:before="271" w:line="215" w:lineRule="auto"/>
        <w:outlineLvl w:val="2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30"/>
          <w:szCs w:val="30"/>
          <w:spacing w:val="-3"/>
        </w:rPr>
        <w:t>图</w:t>
      </w:r>
      <w:r>
        <w:rPr>
          <w:rFonts w:ascii="KaiTi" w:hAnsi="KaiTi" w:eastAsia="KaiTi" w:cs="KaiTi"/>
          <w:sz w:val="30"/>
          <w:szCs w:val="30"/>
          <w:spacing w:val="-51"/>
        </w:rPr>
        <w:t xml:space="preserve"> </w:t>
      </w:r>
      <w:r>
        <w:rPr>
          <w:rFonts w:ascii="KaiTi" w:hAnsi="KaiTi" w:eastAsia="KaiTi" w:cs="KaiTi"/>
          <w:sz w:val="30"/>
          <w:szCs w:val="30"/>
          <w:spacing w:val="-3"/>
        </w:rPr>
        <w:t>5</w:t>
      </w:r>
      <w:r>
        <w:rPr>
          <w:rFonts w:ascii="KaiTi" w:hAnsi="KaiTi" w:eastAsia="KaiTi" w:cs="KaiTi"/>
          <w:sz w:val="30"/>
          <w:szCs w:val="30"/>
          <w:spacing w:val="-3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3"/>
        </w:rPr>
        <w:t>运营商县域社区数字化项目地域分布</w:t>
      </w:r>
      <w:r>
        <w:rPr>
          <w:rFonts w:ascii="KaiTi" w:hAnsi="KaiTi" w:eastAsia="KaiTi" w:cs="KaiTi"/>
          <w:sz w:val="24"/>
          <w:szCs w:val="24"/>
          <w:spacing w:val="-3"/>
        </w:rPr>
        <w:t>（单位：万元）</w:t>
      </w:r>
    </w:p>
    <w:p>
      <w:pPr>
        <w:spacing w:line="308" w:lineRule="auto"/>
        <w:rPr>
          <w:rFonts w:ascii="Arial"/>
          <w:sz w:val="21"/>
        </w:rPr>
      </w:pPr>
      <w:r/>
    </w:p>
    <w:p>
      <w:pPr>
        <w:ind w:firstLine="897"/>
        <w:spacing w:line="3653" w:lineRule="exact"/>
        <w:rPr/>
      </w:pPr>
      <w:r>
        <w:rPr>
          <w:position w:val="-73"/>
        </w:rPr>
        <w:drawing>
          <wp:inline distT="0" distB="0" distL="0" distR="0">
            <wp:extent cx="4149852" cy="2319527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49852" cy="2319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861"/>
        <w:spacing w:before="221" w:line="215" w:lineRule="auto"/>
        <w:outlineLvl w:val="2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30"/>
          <w:szCs w:val="30"/>
          <w:spacing w:val="-3"/>
        </w:rPr>
        <w:t>图</w:t>
      </w:r>
      <w:r>
        <w:rPr>
          <w:rFonts w:ascii="KaiTi" w:hAnsi="KaiTi" w:eastAsia="KaiTi" w:cs="KaiTi"/>
          <w:sz w:val="30"/>
          <w:szCs w:val="30"/>
          <w:spacing w:val="-63"/>
        </w:rPr>
        <w:t xml:space="preserve"> </w:t>
      </w:r>
      <w:r>
        <w:rPr>
          <w:rFonts w:ascii="KaiTi" w:hAnsi="KaiTi" w:eastAsia="KaiTi" w:cs="KaiTi"/>
          <w:sz w:val="30"/>
          <w:szCs w:val="30"/>
          <w:spacing w:val="-3"/>
        </w:rPr>
        <w:t>6</w:t>
      </w:r>
      <w:r>
        <w:rPr>
          <w:rFonts w:ascii="KaiTi" w:hAnsi="KaiTi" w:eastAsia="KaiTi" w:cs="KaiTi"/>
          <w:sz w:val="30"/>
          <w:szCs w:val="30"/>
          <w:spacing w:val="-3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3"/>
        </w:rPr>
        <w:t>上半年同比增长迅猛的典型省份</w:t>
      </w:r>
      <w:r>
        <w:rPr>
          <w:rFonts w:ascii="KaiTi" w:hAnsi="KaiTi" w:eastAsia="KaiTi" w:cs="KaiTi"/>
          <w:sz w:val="24"/>
          <w:szCs w:val="24"/>
          <w:spacing w:val="-3"/>
        </w:rPr>
        <w:t>（单位</w:t>
      </w:r>
      <w:r>
        <w:rPr>
          <w:rFonts w:ascii="KaiTi" w:hAnsi="KaiTi" w:eastAsia="KaiTi" w:cs="KaiTi"/>
          <w:sz w:val="24"/>
          <w:szCs w:val="24"/>
          <w:spacing w:val="-4"/>
        </w:rPr>
        <w:t>：万元）</w:t>
      </w:r>
    </w:p>
    <w:p>
      <w:pPr>
        <w:spacing w:line="338" w:lineRule="auto"/>
        <w:rPr>
          <w:rFonts w:ascii="Arial"/>
          <w:sz w:val="21"/>
        </w:rPr>
      </w:pPr>
      <w:r/>
    </w:p>
    <w:p>
      <w:pPr>
        <w:pStyle w:val="BodyText"/>
        <w:ind w:left="25" w:right="10" w:firstLine="604"/>
        <w:spacing w:before="98" w:line="335" w:lineRule="auto"/>
        <w:jc w:val="both"/>
        <w:rPr/>
      </w:pPr>
      <w:r>
        <w:rPr>
          <w:spacing w:val="-5"/>
        </w:rPr>
        <w:t>从地域来看，运营商在东部和中西部地区规模领先，东部沿</w:t>
      </w:r>
      <w:r>
        <w:rPr>
          <w:spacing w:val="-9"/>
        </w:rPr>
        <w:t>海省份与四川增长明显。其中， 电信收入主要来自于东部和中西</w:t>
      </w:r>
      <w:r>
        <w:rPr>
          <w:spacing w:val="-4"/>
        </w:rPr>
        <w:t>部地区，联通主要来自于北方地区，移动中</w:t>
      </w:r>
      <w:r>
        <w:rPr>
          <w:spacing w:val="-5"/>
        </w:rPr>
        <w:t>标地域相对均衡（见</w:t>
      </w:r>
      <w:r>
        <w:rPr>
          <w:spacing w:val="-8"/>
        </w:rPr>
        <w:t>图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5</w:t>
      </w:r>
      <w:r>
        <w:rPr>
          <w:spacing w:val="-8"/>
        </w:rPr>
        <w:t>）。浙江、上海、福建及四川增长显著（见图 </w:t>
      </w:r>
      <w:r>
        <w:rPr>
          <w:rFonts w:ascii="Times New Roman" w:hAnsi="Times New Roman" w:eastAsia="Times New Roman" w:cs="Times New Roman"/>
          <w:spacing w:val="-8"/>
        </w:rPr>
        <w:t>6</w:t>
      </w:r>
      <w:r>
        <w:rPr>
          <w:spacing w:val="-78"/>
          <w:w w:val="99"/>
        </w:rPr>
        <w:t>），</w:t>
      </w:r>
      <w:r>
        <w:rPr>
          <w:spacing w:val="-8"/>
        </w:rPr>
        <w:t>其中，上</w:t>
      </w:r>
      <w:r>
        <w:rPr>
          <w:spacing w:val="-5"/>
        </w:rPr>
        <w:t>海、福建增幅迅猛，超过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500%</w:t>
      </w:r>
      <w:r>
        <w:rPr>
          <w:spacing w:val="-5"/>
        </w:rPr>
        <w:t>；广东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2022 </w:t>
      </w:r>
      <w:r>
        <w:rPr>
          <w:spacing w:val="-5"/>
        </w:rPr>
        <w:t>年一季度出现社区居</w:t>
      </w:r>
      <w:r>
        <w:rPr>
          <w:spacing w:val="-2"/>
        </w:rPr>
        <w:t>家养老综合服务平台</w:t>
      </w:r>
      <w:r>
        <w:rPr>
          <w:spacing w:val="-3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1.9 </w:t>
      </w:r>
      <w:r>
        <w:rPr>
          <w:spacing w:val="-2"/>
        </w:rPr>
        <w:t>亿采购大单，宜引起关注。</w:t>
      </w:r>
    </w:p>
    <w:p>
      <w:pPr>
        <w:spacing w:line="335" w:lineRule="auto"/>
        <w:sectPr>
          <w:pgSz w:w="11907" w:h="16839"/>
          <w:pgMar w:top="400" w:right="1785" w:bottom="0" w:left="1785" w:header="0" w:footer="0" w:gutter="0"/>
        </w:sectPr>
        <w:rPr/>
      </w:pP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ind w:firstLine="400"/>
        <w:spacing w:line="4339" w:lineRule="exact"/>
        <w:rPr/>
      </w:pPr>
      <w:r>
        <w:rPr>
          <w:position w:val="-86"/>
        </w:rPr>
        <w:drawing>
          <wp:inline distT="0" distB="0" distL="0" distR="0">
            <wp:extent cx="4782311" cy="2755392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82311" cy="2755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861"/>
        <w:spacing w:before="189" w:line="217" w:lineRule="auto"/>
        <w:outlineLvl w:val="2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30"/>
          <w:szCs w:val="30"/>
          <w:spacing w:val="-4"/>
        </w:rPr>
        <w:t>图</w:t>
      </w:r>
      <w:r>
        <w:rPr>
          <w:rFonts w:ascii="KaiTi" w:hAnsi="KaiTi" w:eastAsia="KaiTi" w:cs="KaiTi"/>
          <w:sz w:val="30"/>
          <w:szCs w:val="30"/>
          <w:spacing w:val="-42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7</w:t>
      </w:r>
      <w:r>
        <w:rPr>
          <w:rFonts w:ascii="KaiTi" w:hAnsi="KaiTi" w:eastAsia="KaiTi" w:cs="KaiTi"/>
          <w:sz w:val="30"/>
          <w:szCs w:val="30"/>
          <w:spacing w:val="-4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4"/>
        </w:rPr>
        <w:t>社区养老卫生类项目数量和规模</w:t>
      </w:r>
      <w:r>
        <w:rPr>
          <w:rFonts w:ascii="KaiTi" w:hAnsi="KaiTi" w:eastAsia="KaiTi" w:cs="KaiTi"/>
          <w:sz w:val="24"/>
          <w:szCs w:val="24"/>
          <w:spacing w:val="-4"/>
        </w:rPr>
        <w:t>（单位：万元）</w:t>
      </w:r>
    </w:p>
    <w:p>
      <w:pPr>
        <w:ind w:left="744"/>
        <w:spacing w:before="332" w:line="217" w:lineRule="auto"/>
        <w:outlineLvl w:val="2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30"/>
          <w:szCs w:val="30"/>
          <w:spacing w:val="-3"/>
        </w:rPr>
        <w:t>表</w:t>
      </w:r>
      <w:r>
        <w:rPr>
          <w:rFonts w:ascii="KaiTi" w:hAnsi="KaiTi" w:eastAsia="KaiTi" w:cs="KaiTi"/>
          <w:sz w:val="30"/>
          <w:szCs w:val="30"/>
          <w:spacing w:val="-61"/>
        </w:rPr>
        <w:t xml:space="preserve"> </w:t>
      </w:r>
      <w:r>
        <w:rPr>
          <w:rFonts w:ascii="KaiTi" w:hAnsi="KaiTi" w:eastAsia="KaiTi" w:cs="KaiTi"/>
          <w:sz w:val="30"/>
          <w:szCs w:val="30"/>
          <w:spacing w:val="-3"/>
        </w:rPr>
        <w:t>2</w:t>
      </w:r>
      <w:r>
        <w:rPr>
          <w:rFonts w:ascii="KaiTi" w:hAnsi="KaiTi" w:eastAsia="KaiTi" w:cs="KaiTi"/>
          <w:sz w:val="30"/>
          <w:szCs w:val="30"/>
          <w:spacing w:val="-3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3"/>
        </w:rPr>
        <w:t>中标规模超过</w:t>
      </w:r>
      <w:r>
        <w:rPr>
          <w:rFonts w:ascii="KaiTi" w:hAnsi="KaiTi" w:eastAsia="KaiTi" w:cs="KaiTi"/>
          <w:sz w:val="30"/>
          <w:szCs w:val="30"/>
          <w:spacing w:val="-51"/>
        </w:rPr>
        <w:t xml:space="preserve"> </w:t>
      </w:r>
      <w:r>
        <w:rPr>
          <w:rFonts w:ascii="KaiTi" w:hAnsi="KaiTi" w:eastAsia="KaiTi" w:cs="KaiTi"/>
          <w:sz w:val="30"/>
          <w:szCs w:val="30"/>
          <w:spacing w:val="-3"/>
        </w:rPr>
        <w:t>1000</w:t>
      </w:r>
      <w:r>
        <w:rPr>
          <w:rFonts w:ascii="KaiTi" w:hAnsi="KaiTi" w:eastAsia="KaiTi" w:cs="KaiTi"/>
          <w:sz w:val="30"/>
          <w:szCs w:val="30"/>
          <w:spacing w:val="-54"/>
        </w:rPr>
        <w:t xml:space="preserve"> </w:t>
      </w:r>
      <w:r>
        <w:rPr>
          <w:rFonts w:ascii="KaiTi" w:hAnsi="KaiTi" w:eastAsia="KaiTi" w:cs="KaiTi"/>
          <w:sz w:val="30"/>
          <w:szCs w:val="30"/>
          <w:spacing w:val="-3"/>
        </w:rPr>
        <w:t>万的企业分布</w:t>
      </w:r>
      <w:r>
        <w:rPr>
          <w:rFonts w:ascii="KaiTi" w:hAnsi="KaiTi" w:eastAsia="KaiTi" w:cs="KaiTi"/>
          <w:sz w:val="24"/>
          <w:szCs w:val="24"/>
          <w:spacing w:val="-3"/>
        </w:rPr>
        <w:t>（单位：万元）</w:t>
      </w:r>
    </w:p>
    <w:p>
      <w:pPr>
        <w:spacing w:line="107" w:lineRule="exact"/>
        <w:rPr/>
      </w:pPr>
      <w:r/>
    </w:p>
    <w:tbl>
      <w:tblPr>
        <w:tblStyle w:val="TableNormal"/>
        <w:tblW w:w="5858" w:type="dxa"/>
        <w:tblInd w:w="1449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780"/>
        <w:gridCol w:w="1480"/>
        <w:gridCol w:w="2598"/>
      </w:tblGrid>
      <w:tr>
        <w:trPr>
          <w:trHeight w:val="304" w:hRule="atLeast"/>
        </w:trPr>
        <w:tc>
          <w:tcPr>
            <w:tcW w:w="1780" w:type="dxa"/>
            <w:vAlign w:val="top"/>
          </w:tcPr>
          <w:p>
            <w:pPr>
              <w:pStyle w:val="TableText"/>
              <w:ind w:left="653"/>
              <w:spacing w:before="47" w:line="19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"/>
              </w:rPr>
              <w:t>企业</w:t>
            </w:r>
          </w:p>
        </w:tc>
        <w:tc>
          <w:tcPr>
            <w:tcW w:w="1480" w:type="dxa"/>
            <w:vAlign w:val="top"/>
          </w:tcPr>
          <w:p>
            <w:pPr>
              <w:pStyle w:val="TableText"/>
              <w:ind w:left="115"/>
              <w:spacing w:before="47" w:line="19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6"/>
              </w:rPr>
              <w:t>千万级大单</w:t>
            </w:r>
          </w:p>
        </w:tc>
        <w:tc>
          <w:tcPr>
            <w:tcW w:w="2598" w:type="dxa"/>
            <w:vAlign w:val="top"/>
          </w:tcPr>
          <w:p>
            <w:pPr>
              <w:pStyle w:val="TableText"/>
              <w:ind w:left="807"/>
              <w:spacing w:before="47" w:line="19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4"/>
              </w:rPr>
              <w:t>项目金额</w:t>
            </w:r>
          </w:p>
        </w:tc>
      </w:tr>
      <w:tr>
        <w:trPr>
          <w:trHeight w:val="300" w:hRule="atLeast"/>
        </w:trPr>
        <w:tc>
          <w:tcPr>
            <w:tcW w:w="1780" w:type="dxa"/>
            <w:vAlign w:val="top"/>
          </w:tcPr>
          <w:p>
            <w:pPr>
              <w:pStyle w:val="TableText"/>
              <w:ind w:left="419"/>
              <w:spacing w:before="43" w:line="19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</w:rPr>
              <w:t>中国电信</w:t>
            </w:r>
          </w:p>
        </w:tc>
        <w:tc>
          <w:tcPr>
            <w:tcW w:w="1480" w:type="dxa"/>
            <w:vAlign w:val="top"/>
          </w:tcPr>
          <w:p>
            <w:pPr>
              <w:pStyle w:val="TableText"/>
              <w:ind w:left="699"/>
              <w:spacing w:before="43" w:line="19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3"/>
              </w:rPr>
              <w:t>1</w:t>
            </w:r>
          </w:p>
        </w:tc>
        <w:tc>
          <w:tcPr>
            <w:tcW w:w="2598" w:type="dxa"/>
            <w:vAlign w:val="top"/>
          </w:tcPr>
          <w:p>
            <w:pPr>
              <w:pStyle w:val="TableText"/>
              <w:ind w:left="791"/>
              <w:spacing w:before="43" w:line="19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4"/>
              </w:rPr>
              <w:t>3620.64</w:t>
            </w:r>
          </w:p>
        </w:tc>
      </w:tr>
      <w:tr>
        <w:trPr>
          <w:trHeight w:val="299" w:hRule="atLeast"/>
        </w:trPr>
        <w:tc>
          <w:tcPr>
            <w:tcW w:w="1780" w:type="dxa"/>
            <w:vAlign w:val="top"/>
          </w:tcPr>
          <w:p>
            <w:pPr>
              <w:pStyle w:val="TableText"/>
              <w:ind w:left="398"/>
              <w:spacing w:before="43" w:line="18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5"/>
              </w:rPr>
              <w:t>卫宁健康</w:t>
            </w:r>
          </w:p>
        </w:tc>
        <w:tc>
          <w:tcPr>
            <w:tcW w:w="1480" w:type="dxa"/>
            <w:vAlign w:val="top"/>
          </w:tcPr>
          <w:p>
            <w:pPr>
              <w:pStyle w:val="TableText"/>
              <w:ind w:left="683"/>
              <w:spacing w:before="43" w:line="18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3"/>
              </w:rPr>
              <w:t>2</w:t>
            </w:r>
          </w:p>
        </w:tc>
        <w:tc>
          <w:tcPr>
            <w:tcW w:w="2598" w:type="dxa"/>
            <w:vAlign w:val="top"/>
          </w:tcPr>
          <w:p>
            <w:pPr>
              <w:pStyle w:val="TableText"/>
              <w:ind w:left="791"/>
              <w:spacing w:before="43" w:line="18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4"/>
              </w:rPr>
              <w:t>3703.94</w:t>
            </w:r>
          </w:p>
        </w:tc>
      </w:tr>
      <w:tr>
        <w:trPr>
          <w:trHeight w:val="299" w:hRule="atLeast"/>
        </w:trPr>
        <w:tc>
          <w:tcPr>
            <w:tcW w:w="1780" w:type="dxa"/>
            <w:vAlign w:val="top"/>
          </w:tcPr>
          <w:p>
            <w:pPr>
              <w:pStyle w:val="TableText"/>
              <w:ind w:left="402"/>
              <w:spacing w:before="44" w:line="1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4"/>
              </w:rPr>
              <w:t>万达信息</w:t>
            </w:r>
          </w:p>
        </w:tc>
        <w:tc>
          <w:tcPr>
            <w:tcW w:w="1480" w:type="dxa"/>
            <w:vAlign w:val="top"/>
          </w:tcPr>
          <w:p>
            <w:pPr>
              <w:pStyle w:val="TableText"/>
              <w:ind w:left="699"/>
              <w:spacing w:before="44" w:line="1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3"/>
              </w:rPr>
              <w:t>1</w:t>
            </w:r>
          </w:p>
        </w:tc>
        <w:tc>
          <w:tcPr>
            <w:tcW w:w="2598" w:type="dxa"/>
            <w:vAlign w:val="top"/>
          </w:tcPr>
          <w:p>
            <w:pPr>
              <w:pStyle w:val="TableText"/>
              <w:ind w:left="804"/>
              <w:spacing w:before="44" w:line="1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2"/>
              </w:rPr>
              <w:t>1688.00</w:t>
            </w:r>
          </w:p>
        </w:tc>
      </w:tr>
      <w:tr>
        <w:trPr>
          <w:trHeight w:val="300" w:hRule="atLeast"/>
        </w:trPr>
        <w:tc>
          <w:tcPr>
            <w:tcW w:w="1780" w:type="dxa"/>
            <w:vAlign w:val="top"/>
          </w:tcPr>
          <w:p>
            <w:pPr>
              <w:pStyle w:val="TableText"/>
              <w:ind w:left="419"/>
              <w:spacing w:before="45" w:line="1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</w:rPr>
              <w:t>中国移动</w:t>
            </w:r>
          </w:p>
        </w:tc>
        <w:tc>
          <w:tcPr>
            <w:tcW w:w="1480" w:type="dxa"/>
            <w:vAlign w:val="top"/>
          </w:tcPr>
          <w:p>
            <w:pPr>
              <w:pStyle w:val="TableText"/>
              <w:ind w:left="699"/>
              <w:spacing w:before="45" w:line="1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3"/>
              </w:rPr>
              <w:t>1</w:t>
            </w:r>
          </w:p>
        </w:tc>
        <w:tc>
          <w:tcPr>
            <w:tcW w:w="2598" w:type="dxa"/>
            <w:vAlign w:val="top"/>
          </w:tcPr>
          <w:p>
            <w:pPr>
              <w:pStyle w:val="TableText"/>
              <w:ind w:left="804"/>
              <w:spacing w:before="45" w:line="1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2"/>
              </w:rPr>
              <w:t>1590.00</w:t>
            </w:r>
          </w:p>
        </w:tc>
      </w:tr>
      <w:tr>
        <w:trPr>
          <w:trHeight w:val="300" w:hRule="atLeast"/>
        </w:trPr>
        <w:tc>
          <w:tcPr>
            <w:tcW w:w="1780" w:type="dxa"/>
            <w:vAlign w:val="top"/>
          </w:tcPr>
          <w:p>
            <w:pPr>
              <w:pStyle w:val="TableText"/>
              <w:ind w:left="397"/>
              <w:spacing w:before="45" w:line="1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5"/>
              </w:rPr>
              <w:t>本省企业</w:t>
            </w:r>
          </w:p>
        </w:tc>
        <w:tc>
          <w:tcPr>
            <w:tcW w:w="1480" w:type="dxa"/>
            <w:vAlign w:val="top"/>
          </w:tcPr>
          <w:p>
            <w:pPr>
              <w:pStyle w:val="TableText"/>
              <w:ind w:left="681"/>
              <w:spacing w:before="45" w:line="1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3"/>
              </w:rPr>
              <w:t>9</w:t>
            </w:r>
          </w:p>
        </w:tc>
        <w:tc>
          <w:tcPr>
            <w:tcW w:w="2598" w:type="dxa"/>
            <w:vAlign w:val="top"/>
          </w:tcPr>
          <w:p>
            <w:pPr>
              <w:pStyle w:val="TableText"/>
              <w:ind w:left="721"/>
              <w:spacing w:before="45" w:line="1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5"/>
              </w:rPr>
              <w:t>35597.17</w:t>
            </w:r>
          </w:p>
        </w:tc>
      </w:tr>
      <w:tr>
        <w:trPr>
          <w:trHeight w:val="299" w:hRule="atLeast"/>
        </w:trPr>
        <w:tc>
          <w:tcPr>
            <w:tcW w:w="1780" w:type="dxa"/>
            <w:vAlign w:val="top"/>
          </w:tcPr>
          <w:p>
            <w:pPr>
              <w:pStyle w:val="TableText"/>
              <w:ind w:left="401"/>
              <w:spacing w:before="45" w:line="18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4"/>
              </w:rPr>
              <w:t>外省企业</w:t>
            </w:r>
          </w:p>
        </w:tc>
        <w:tc>
          <w:tcPr>
            <w:tcW w:w="1480" w:type="dxa"/>
            <w:vAlign w:val="top"/>
          </w:tcPr>
          <w:p>
            <w:pPr>
              <w:pStyle w:val="TableText"/>
              <w:ind w:left="699"/>
              <w:spacing w:before="45" w:line="18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3"/>
              </w:rPr>
              <w:t>1</w:t>
            </w:r>
          </w:p>
        </w:tc>
        <w:tc>
          <w:tcPr>
            <w:tcW w:w="2598" w:type="dxa"/>
            <w:vAlign w:val="top"/>
          </w:tcPr>
          <w:p>
            <w:pPr>
              <w:pStyle w:val="TableText"/>
              <w:ind w:left="804"/>
              <w:spacing w:before="45" w:line="18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2"/>
              </w:rPr>
              <w:t>1538.94</w:t>
            </w:r>
          </w:p>
        </w:tc>
      </w:tr>
      <w:tr>
        <w:trPr>
          <w:trHeight w:val="304" w:hRule="atLeast"/>
        </w:trPr>
        <w:tc>
          <w:tcPr>
            <w:tcW w:w="1780" w:type="dxa"/>
            <w:vAlign w:val="top"/>
          </w:tcPr>
          <w:p>
            <w:pPr>
              <w:pStyle w:val="TableText"/>
              <w:ind w:left="650"/>
              <w:spacing w:before="47" w:line="19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</w:rPr>
              <w:t>合计</w:t>
            </w:r>
          </w:p>
        </w:tc>
        <w:tc>
          <w:tcPr>
            <w:tcW w:w="1480" w:type="dxa"/>
            <w:vAlign w:val="top"/>
          </w:tcPr>
          <w:p>
            <w:pPr>
              <w:pStyle w:val="TableText"/>
              <w:ind w:left="638"/>
              <w:spacing w:before="47" w:line="19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7"/>
              </w:rPr>
              <w:t>15</w:t>
            </w:r>
          </w:p>
        </w:tc>
        <w:tc>
          <w:tcPr>
            <w:shd w:val="clear" w:fill="DCE6F1"/>
            <w:tcW w:w="2598" w:type="dxa"/>
            <w:vAlign w:val="top"/>
          </w:tcPr>
          <w:p>
            <w:pPr>
              <w:pStyle w:val="TableText"/>
              <w:ind w:left="715"/>
              <w:spacing w:before="47" w:line="19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5"/>
              </w:rPr>
              <w:t>47738.00</w:t>
            </w:r>
          </w:p>
        </w:tc>
      </w:tr>
    </w:tbl>
    <w:p>
      <w:pPr>
        <w:spacing w:line="378" w:lineRule="auto"/>
        <w:rPr>
          <w:rFonts w:ascii="Arial"/>
          <w:sz w:val="21"/>
        </w:rPr>
      </w:pPr>
      <w:r/>
    </w:p>
    <w:p>
      <w:pPr>
        <w:pStyle w:val="BodyText"/>
        <w:ind w:left="27" w:firstLine="597"/>
        <w:spacing w:before="97" w:line="332" w:lineRule="auto"/>
        <w:jc w:val="both"/>
        <w:rPr/>
      </w:pPr>
      <w:r>
        <w:rPr>
          <w:spacing w:val="-11"/>
        </w:rPr>
        <w:t>接应国家政策，各地社区养老、卫生院建设类项目快速</w:t>
      </w:r>
      <w:r>
        <w:rPr>
          <w:spacing w:val="-12"/>
        </w:rPr>
        <w:t>增长。</w:t>
      </w:r>
      <w:r>
        <w:rPr>
          <w:spacing w:val="-9"/>
        </w:rPr>
        <w:t>一年半以来总规模 </w:t>
      </w:r>
      <w:r>
        <w:rPr>
          <w:rFonts w:ascii="Times New Roman" w:hAnsi="Times New Roman" w:eastAsia="Times New Roman" w:cs="Times New Roman"/>
          <w:spacing w:val="-9"/>
        </w:rPr>
        <w:t>12.9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spacing w:val="-9"/>
        </w:rPr>
        <w:t>亿（见图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7</w:t>
      </w:r>
      <w:r>
        <w:rPr>
          <w:spacing w:val="-9"/>
        </w:rPr>
        <w:t>）。</w:t>
      </w:r>
      <w:r>
        <w:rPr>
          <w:spacing w:val="-10"/>
        </w:rPr>
        <w:t>千万级大单近</w:t>
      </w:r>
      <w:r>
        <w:rPr>
          <w:spacing w:val="-38"/>
        </w:rPr>
        <w:t xml:space="preserve"> </w:t>
      </w:r>
      <w:r>
        <w:rPr>
          <w:rFonts w:ascii="Times New Roman" w:hAnsi="Times New Roman" w:eastAsia="Times New Roman" w:cs="Times New Roman"/>
          <w:spacing w:val="-10"/>
        </w:rPr>
        <w:t>5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spacing w:val="-10"/>
        </w:rPr>
        <w:t>亿，主要</w:t>
      </w:r>
      <w:r>
        <w:rPr>
          <w:spacing w:val="-4"/>
        </w:rPr>
        <w:t>由本省企业中标，涉及养老服务平台、建筑设施、卫生服务等方</w:t>
      </w:r>
      <w:r>
        <w:rPr>
          <w:spacing w:val="-12"/>
        </w:rPr>
        <w:t>面（见表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spacing w:val="-12"/>
        </w:rPr>
        <w:t>2</w:t>
      </w:r>
      <w:r>
        <w:rPr>
          <w:spacing w:val="-12"/>
        </w:rPr>
        <w:t>）。电信、移动、卫宁健康、万达信息等企</w:t>
      </w:r>
      <w:r>
        <w:rPr>
          <w:spacing w:val="-13"/>
        </w:rPr>
        <w:t>业主要参与</w:t>
      </w:r>
      <w:r>
        <w:rPr>
          <w:spacing w:val="-4"/>
        </w:rPr>
        <w:t>社区卫生服务信息化项目，涉及政务云、信息化平台、安全保障</w:t>
      </w:r>
      <w:r>
        <w:rPr>
          <w:spacing w:val="-11"/>
        </w:rPr>
        <w:t>等方面。</w:t>
      </w:r>
    </w:p>
    <w:p>
      <w:pPr>
        <w:pStyle w:val="BodyText"/>
        <w:ind w:left="26" w:right="105" w:firstLine="602"/>
        <w:spacing w:before="285" w:line="337" w:lineRule="auto"/>
        <w:jc w:val="both"/>
        <w:rPr/>
      </w:pPr>
      <w:r>
        <w:rPr>
          <w:spacing w:val="-4"/>
        </w:rPr>
        <w:t>社区安防类项目是基层治理的主要抓手，多年来</w:t>
      </w:r>
      <w:r>
        <w:rPr>
          <w:spacing w:val="-5"/>
        </w:rPr>
        <w:t>持续高位运</w:t>
      </w:r>
      <w:r>
        <w:rPr>
          <w:spacing w:val="-5"/>
        </w:rPr>
        <w:t>行，一年半来总规模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38.4 </w:t>
      </w:r>
      <w:r>
        <w:rPr>
          <w:spacing w:val="-5"/>
        </w:rPr>
        <w:t>亿，占比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30.4%</w:t>
      </w:r>
      <w:r>
        <w:rPr>
          <w:spacing w:val="-5"/>
        </w:rPr>
        <w:t>。运营商是主力军，份</w:t>
      </w:r>
      <w:r>
        <w:rPr>
          <w:spacing w:val="-5"/>
        </w:rPr>
        <w:t>额超过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24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spacing w:val="-5"/>
        </w:rPr>
        <w:t>亿，占比近</w:t>
      </w:r>
      <w:r>
        <w:rPr>
          <w:spacing w:val="-57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65%</w:t>
      </w:r>
      <w:r>
        <w:rPr>
          <w:spacing w:val="-5"/>
        </w:rPr>
        <w:t>。电信领先为</w:t>
      </w:r>
      <w:r>
        <w:rPr>
          <w:spacing w:val="-35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10.1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spacing w:val="-5"/>
        </w:rPr>
        <w:t>亿，移动</w:t>
      </w:r>
      <w:r>
        <w:rPr>
          <w:spacing w:val="-59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7.2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spacing w:val="-5"/>
        </w:rPr>
        <w:t>亿，</w:t>
      </w:r>
    </w:p>
    <w:p>
      <w:pPr>
        <w:spacing w:line="337" w:lineRule="auto"/>
        <w:sectPr>
          <w:pgSz w:w="11907" w:h="16839"/>
          <w:pgMar w:top="400" w:right="1694" w:bottom="0" w:left="1785" w:header="0" w:footer="0" w:gutter="0"/>
        </w:sectPr>
        <w:rPr/>
      </w:pP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31" w:right="86" w:hanging="4"/>
        <w:spacing w:before="98" w:line="333" w:lineRule="auto"/>
        <w:rPr/>
      </w:pPr>
      <w:r>
        <w:rPr>
          <w:spacing w:val="-9"/>
        </w:rPr>
        <w:t>联通</w:t>
      </w:r>
      <w:r>
        <w:rPr>
          <w:spacing w:val="-59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4.7 </w:t>
      </w:r>
      <w:r>
        <w:rPr>
          <w:spacing w:val="-9"/>
        </w:rPr>
        <w:t>亿。安防类项目今年上半年环比有所下降，</w:t>
      </w:r>
      <w:r>
        <w:rPr>
          <w:spacing w:val="71"/>
        </w:rPr>
        <w:t xml:space="preserve"> </w:t>
      </w:r>
      <w:r>
        <w:rPr>
          <w:spacing w:val="-9"/>
        </w:rPr>
        <w:t>预计与天眼</w:t>
      </w:r>
      <w:r>
        <w:rPr>
          <w:spacing w:val="-2"/>
        </w:rPr>
        <w:t>天网工程建设基本完成有关，规模仍达到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8.</w:t>
      </w:r>
      <w:r>
        <w:rPr>
          <w:rFonts w:ascii="Times New Roman" w:hAnsi="Times New Roman" w:eastAsia="Times New Roman" w:cs="Times New Roman"/>
          <w:spacing w:val="-3"/>
        </w:rPr>
        <w:t>4 </w:t>
      </w:r>
      <w:r>
        <w:rPr>
          <w:spacing w:val="-3"/>
        </w:rPr>
        <w:t>亿。</w:t>
      </w:r>
    </w:p>
    <w:p>
      <w:pPr>
        <w:pStyle w:val="BodyText"/>
        <w:ind w:left="26" w:firstLine="629"/>
        <w:spacing w:before="278" w:line="333" w:lineRule="auto"/>
        <w:rPr/>
      </w:pPr>
      <w:r>
        <w:rPr>
          <w:spacing w:val="-2"/>
        </w:rPr>
        <w:t>国家政策推动，老旧小区改造项目不断落地。一年半以来，</w:t>
      </w:r>
      <w:r>
        <w:rPr>
          <w:spacing w:val="-4"/>
        </w:rPr>
        <w:t>总规模达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21.2 </w:t>
      </w:r>
      <w:r>
        <w:rPr>
          <w:spacing w:val="-4"/>
        </w:rPr>
        <w:t>亿。今年上半年项目数量同比增</w:t>
      </w:r>
      <w:r>
        <w:rPr>
          <w:spacing w:val="-5"/>
        </w:rPr>
        <w:t>长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22.4%</w:t>
      </w:r>
      <w:r>
        <w:rPr>
          <w:spacing w:val="-5"/>
        </w:rPr>
        <w:t>，规模同</w:t>
      </w:r>
      <w:r>
        <w:rPr>
          <w:spacing w:val="-16"/>
        </w:rPr>
        <w:t>比增长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  <w:spacing w:val="-16"/>
        </w:rPr>
        <w:t>42%</w:t>
      </w:r>
      <w:r>
        <w:rPr>
          <w:spacing w:val="-16"/>
        </w:rPr>
        <w:t>。中西部、东部地区项目较多，如江西、江苏、湖北、</w:t>
      </w:r>
      <w:r>
        <w:rPr>
          <w:spacing w:val="-4"/>
        </w:rPr>
        <w:t>安徽、福建等地。运营商中标超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9 </w:t>
      </w:r>
      <w:r>
        <w:rPr>
          <w:spacing w:val="-4"/>
        </w:rPr>
        <w:t>亿，电信中标数量和金额</w:t>
      </w:r>
      <w:r>
        <w:rPr>
          <w:spacing w:val="-5"/>
        </w:rPr>
        <w:t>均为</w:t>
      </w:r>
      <w:r>
        <w:rPr>
          <w:spacing w:val="1"/>
        </w:rPr>
        <w:t>最高，中标项目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76 </w:t>
      </w:r>
      <w:r>
        <w:rPr>
          <w:spacing w:val="1"/>
        </w:rPr>
        <w:t>个、规模为</w:t>
      </w:r>
      <w:r>
        <w:rPr>
          <w:spacing w:val="-71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4 </w:t>
      </w:r>
      <w:r>
        <w:rPr>
          <w:spacing w:val="1"/>
        </w:rPr>
        <w:t>亿，其次为移动，中标项目</w:t>
      </w:r>
      <w:r>
        <w:rPr>
          <w:rFonts w:ascii="Times New Roman" w:hAnsi="Times New Roman" w:eastAsia="Times New Roman" w:cs="Times New Roman"/>
          <w:spacing w:val="1"/>
        </w:rPr>
        <w:t>47</w:t>
      </w:r>
      <w:r>
        <w:rPr>
          <w:spacing w:val="-3"/>
        </w:rPr>
        <w:t>个、规模为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2 </w:t>
      </w:r>
      <w:r>
        <w:rPr>
          <w:spacing w:val="-3"/>
        </w:rPr>
        <w:t>亿。本省企业参与近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9 </w:t>
      </w:r>
      <w:r>
        <w:rPr>
          <w:spacing w:val="-3"/>
        </w:rPr>
        <w:t>亿，以工程建设类居多。</w:t>
      </w:r>
    </w:p>
    <w:p>
      <w:pPr>
        <w:pStyle w:val="BodyText"/>
        <w:ind w:left="26" w:right="2" w:firstLine="602"/>
        <w:spacing w:before="272" w:line="337" w:lineRule="auto"/>
        <w:jc w:val="both"/>
        <w:rPr/>
      </w:pPr>
      <w:r>
        <w:rPr>
          <w:spacing w:val="-2"/>
        </w:rPr>
        <w:t>社区运营类项目涌现，总规模已达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4.5 </w:t>
      </w:r>
      <w:r>
        <w:rPr>
          <w:spacing w:val="-2"/>
        </w:rPr>
        <w:t>亿。移动千万级项目</w:t>
      </w:r>
      <w:r>
        <w:rPr>
          <w:spacing w:val="-1"/>
        </w:rPr>
        <w:t>较多，如在浙江与当地街道合资建设未来社区一体化运营项目，</w:t>
      </w:r>
      <w:r>
        <w:rPr>
          <w:spacing w:val="-5"/>
        </w:rPr>
        <w:t>获取</w:t>
      </w:r>
      <w:r>
        <w:rPr>
          <w:spacing w:val="-71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4300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spacing w:val="-5"/>
        </w:rPr>
        <w:t>万元大单。</w:t>
      </w:r>
    </w:p>
    <w:p>
      <w:pPr>
        <w:pStyle w:val="BodyText"/>
        <w:ind w:left="624"/>
        <w:spacing w:before="255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．中国电信面临的机遇与挑战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pStyle w:val="BodyText"/>
        <w:ind w:left="27" w:right="86" w:firstLine="593"/>
        <w:spacing w:before="98" w:line="332" w:lineRule="auto"/>
        <w:rPr/>
      </w:pPr>
      <w:r>
        <w:rPr>
          <w:rFonts w:ascii="Times New Roman" w:hAnsi="Times New Roman" w:eastAsia="Times New Roman" w:cs="Times New Roman"/>
        </w:rPr>
        <w:t>2022  </w:t>
      </w:r>
      <w:r>
        <w:rPr/>
        <w:t>年是县域社区基层治理和服务能力加速提升的一年。</w:t>
      </w:r>
      <w:r>
        <w:rPr>
          <w:spacing w:val="-9"/>
        </w:rPr>
        <w:t>县域城镇化、老旧小区改造、居家养老等国家政策密集发布， 推</w:t>
      </w:r>
      <w:r>
        <w:rPr>
          <w:spacing w:val="-6"/>
        </w:rPr>
        <w:t>动县域社区数字化建设上台阶。今年上半年同比增速近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25%</w:t>
      </w:r>
      <w:r>
        <w:rPr>
          <w:spacing w:val="-6"/>
        </w:rPr>
        <w:t>，下</w:t>
      </w:r>
      <w:r>
        <w:rPr>
          <w:spacing w:val="-9"/>
        </w:rPr>
        <w:t>半年预计更高。运营商基于云网优势已成为建设主力军， 电信处</w:t>
      </w:r>
      <w:r>
        <w:rPr>
          <w:spacing w:val="-12"/>
        </w:rPr>
        <w:t>于第一阵营，需把握机遇、持续发力，</w:t>
      </w:r>
      <w:r>
        <w:rPr>
          <w:spacing w:val="76"/>
        </w:rPr>
        <w:t xml:space="preserve"> </w:t>
      </w:r>
      <w:r>
        <w:rPr>
          <w:spacing w:val="-12"/>
        </w:rPr>
        <w:t>在“最后一公里”夯实智</w:t>
      </w:r>
      <w:r>
        <w:rPr>
          <w:spacing w:val="-5"/>
        </w:rPr>
        <w:t>慧城市与数字政府建设基础。</w:t>
      </w:r>
    </w:p>
    <w:p>
      <w:pPr>
        <w:pStyle w:val="BodyText"/>
        <w:ind w:left="627"/>
        <w:spacing w:before="282" w:line="219" w:lineRule="auto"/>
        <w:rPr/>
      </w:pPr>
      <w:r>
        <w:rPr>
          <w:spacing w:val="-3"/>
        </w:rPr>
        <w:t>要保持势头，电信需积极应对供给和竞争的双重挑战。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pStyle w:val="BodyText"/>
        <w:ind w:left="31" w:right="89" w:firstLine="593"/>
        <w:spacing w:before="98" w:line="336" w:lineRule="auto"/>
        <w:rPr/>
      </w:pPr>
      <w:r>
        <w:rPr>
          <w:spacing w:val="-4"/>
        </w:rPr>
        <w:t>在供给方面，尚存在政府统筹推动力不足、居民参</w:t>
      </w:r>
      <w:r>
        <w:rPr>
          <w:spacing w:val="-5"/>
        </w:rPr>
        <w:t>与积极性</w:t>
      </w:r>
      <w:r>
        <w:rPr>
          <w:spacing w:val="-3"/>
        </w:rPr>
        <w:t>不高、老旧小区改造协调困难、信息共享不足等问题。</w:t>
      </w:r>
    </w:p>
    <w:p>
      <w:pPr>
        <w:pStyle w:val="BodyText"/>
        <w:spacing w:before="269" w:line="220" w:lineRule="auto"/>
        <w:jc w:val="right"/>
        <w:rPr/>
      </w:pPr>
      <w:r>
        <w:rPr>
          <w:spacing w:val="-18"/>
        </w:rPr>
        <w:t>在竞争方面，一是中国移动规模相当，年底还可能“翘尾”，</w:t>
      </w:r>
    </w:p>
    <w:p>
      <w:pPr>
        <w:spacing w:line="220" w:lineRule="auto"/>
        <w:sectPr>
          <w:pgSz w:w="11907" w:h="16839"/>
          <w:pgMar w:top="400" w:right="1712" w:bottom="0" w:left="1785" w:header="0" w:footer="0" w:gutter="0"/>
        </w:sectPr>
        <w:rPr/>
      </w:pP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25" w:firstLine="3"/>
        <w:spacing w:before="97" w:line="332" w:lineRule="auto"/>
        <w:jc w:val="both"/>
        <w:rPr/>
      </w:pPr>
      <w:r>
        <w:rPr>
          <w:spacing w:val="-4"/>
        </w:rPr>
        <w:t>社区运营已走在前面，通过与地方街道成立合资公司探索新的建</w:t>
      </w:r>
      <w:r>
        <w:rPr>
          <w:spacing w:val="-14"/>
        </w:rPr>
        <w:t>设模式。二是大量本省企业提供服务， 金额小、数量大， 总规模</w:t>
      </w:r>
      <w:r>
        <w:rPr>
          <w:spacing w:val="-5"/>
        </w:rPr>
        <w:t>已与运营商相当，其中的优秀企业可能在新一轮建设大潮</w:t>
      </w:r>
      <w:r>
        <w:rPr>
          <w:spacing w:val="-6"/>
        </w:rPr>
        <w:t>中崛起。</w:t>
      </w:r>
      <w:r>
        <w:rPr>
          <w:spacing w:val="-11"/>
        </w:rPr>
        <w:t>三是中国广电基于有线、</w:t>
      </w:r>
      <w:r>
        <w:rPr>
          <w:rFonts w:ascii="Times New Roman" w:hAnsi="Times New Roman" w:eastAsia="Times New Roman" w:cs="Times New Roman"/>
          <w:spacing w:val="-11"/>
        </w:rPr>
        <w:t>5G</w:t>
      </w:r>
      <w:r>
        <w:rPr>
          <w:spacing w:val="-11"/>
        </w:rPr>
        <w:t>、应急广播等业务， 向政法公安、文</w:t>
      </w:r>
      <w:r>
        <w:rPr>
          <w:spacing w:val="-9"/>
        </w:rPr>
        <w:t>旅、医卫等领域延伸， 结合国家对于广电媒体的战略定位，可能</w:t>
      </w:r>
      <w:r>
        <w:rPr>
          <w:spacing w:val="-5"/>
        </w:rPr>
        <w:t>在机构重组后快速发展。</w:t>
      </w:r>
    </w:p>
    <w:p>
      <w:pPr>
        <w:spacing w:line="350" w:lineRule="auto"/>
        <w:rPr>
          <w:rFonts w:ascii="Arial"/>
          <w:sz w:val="21"/>
        </w:rPr>
      </w:pPr>
      <w:r/>
    </w:p>
    <w:p>
      <w:pPr>
        <w:ind w:left="676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三、县域社区数字化建设发展策略建议</w:t>
      </w:r>
    </w:p>
    <w:p>
      <w:pPr>
        <w:spacing w:line="392" w:lineRule="auto"/>
        <w:rPr>
          <w:rFonts w:ascii="Arial"/>
          <w:sz w:val="21"/>
        </w:rPr>
      </w:pPr>
      <w:r/>
    </w:p>
    <w:p>
      <w:pPr>
        <w:pStyle w:val="BodyText"/>
        <w:ind w:left="636"/>
        <w:spacing w:before="98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1</w:t>
      </w:r>
      <w:r>
        <w:rPr>
          <w:b/>
          <w:bCs/>
          <w:spacing w:val="-3"/>
        </w:rPr>
        <w:t>．建试点树标杆，加大宣传力度，强化领先地位</w:t>
      </w:r>
    </w:p>
    <w:p>
      <w:pPr>
        <w:spacing w:line="338" w:lineRule="auto"/>
        <w:rPr>
          <w:rFonts w:ascii="Arial"/>
          <w:sz w:val="21"/>
        </w:rPr>
      </w:pPr>
      <w:r/>
    </w:p>
    <w:p>
      <w:pPr>
        <w:pStyle w:val="BodyText"/>
        <w:ind w:left="26" w:right="255" w:firstLine="608"/>
        <w:spacing w:before="98" w:line="335" w:lineRule="auto"/>
        <w:rPr/>
      </w:pPr>
      <w:r>
        <w:rPr>
          <w:spacing w:val="-16"/>
        </w:rPr>
        <w:t>紧扣政策要求建试点，出经验、树标杆，力争获得部委推广。</w:t>
      </w:r>
      <w:r>
        <w:rPr>
          <w:spacing w:val="-4"/>
        </w:rPr>
        <w:t>加大内外部宣传力度，先行树立“县域社区数字化建设先锋”形</w:t>
      </w:r>
      <w:r>
        <w:rPr>
          <w:spacing w:val="-14"/>
        </w:rPr>
        <w:t>象。</w:t>
      </w:r>
    </w:p>
    <w:p>
      <w:pPr>
        <w:pStyle w:val="BodyText"/>
        <w:ind w:left="624"/>
        <w:spacing w:before="270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．探索运营模式，推动社区数字化建设可持续发展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pStyle w:val="BodyText"/>
        <w:ind w:left="29" w:right="254" w:firstLine="595"/>
        <w:spacing w:before="98" w:line="334" w:lineRule="auto"/>
        <w:jc w:val="both"/>
        <w:rPr/>
      </w:pPr>
      <w:r>
        <w:rPr>
          <w:spacing w:val="-18"/>
        </w:rPr>
        <w:t>政府引导、多方参与是趋势，</w:t>
      </w:r>
      <w:r>
        <w:rPr>
          <w:spacing w:val="-62"/>
        </w:rPr>
        <w:t xml:space="preserve"> </w:t>
      </w:r>
      <w:r>
        <w:rPr>
          <w:spacing w:val="-18"/>
        </w:rPr>
        <w:t>数字社区如何“自我</w:t>
      </w:r>
      <w:r>
        <w:rPr>
          <w:spacing w:val="-19"/>
        </w:rPr>
        <w:t>造血”、持</w:t>
      </w:r>
      <w:r>
        <w:rPr>
          <w:spacing w:val="-9"/>
        </w:rPr>
        <w:t>续运营成为重要课题。可盘活内外部资源、与公益组织合作， 探</w:t>
      </w:r>
      <w:r>
        <w:rPr>
          <w:spacing w:val="-4"/>
        </w:rPr>
        <w:t>索具有电信特色的合作运营模式。</w:t>
      </w:r>
    </w:p>
    <w:p>
      <w:pPr>
        <w:pStyle w:val="BodyText"/>
        <w:ind w:left="621"/>
        <w:spacing w:before="270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3</w:t>
      </w:r>
      <w:r>
        <w:rPr>
          <w:b/>
          <w:bCs/>
          <w:spacing w:val="-3"/>
        </w:rPr>
        <w:t>．研发居家养老平台，提供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</w:rPr>
        <w:t>5G</w:t>
      </w:r>
      <w:r>
        <w:rPr>
          <w:b/>
          <w:bCs/>
          <w:spacing w:val="-3"/>
        </w:rPr>
        <w:t>、云计算等技术支撑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pStyle w:val="BodyText"/>
        <w:ind w:left="25" w:right="255" w:firstLine="603"/>
        <w:spacing w:before="98" w:line="331" w:lineRule="auto"/>
        <w:jc w:val="both"/>
        <w:rPr/>
      </w:pPr>
      <w:r>
        <w:rPr>
          <w:spacing w:val="-5"/>
        </w:rPr>
        <w:t>居家养老需求旺盛，且呈现逐年增长趋势，广州市从化区民</w:t>
      </w:r>
      <w:r>
        <w:rPr>
          <w:spacing w:val="-2"/>
        </w:rPr>
        <w:t>政局已采购社区居家养老综合服务平台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1.9 </w:t>
      </w:r>
      <w:r>
        <w:rPr>
          <w:spacing w:val="-2"/>
        </w:rPr>
        <w:t>亿大单。</w:t>
      </w:r>
      <w:r>
        <w:rPr>
          <w:spacing w:val="-3"/>
        </w:rPr>
        <w:t>智慧养老信</w:t>
      </w:r>
      <w:r>
        <w:rPr>
          <w:spacing w:val="-4"/>
        </w:rPr>
        <w:t>息平台是居家养老服务的“大脑”，是连接各个终端和应用场景</w:t>
      </w:r>
      <w:r>
        <w:rPr>
          <w:spacing w:val="-12"/>
        </w:rPr>
        <w:t>的“神经中枢”，建议纳入自主研发。</w:t>
      </w:r>
    </w:p>
    <w:p>
      <w:pPr>
        <w:pStyle w:val="BodyText"/>
        <w:ind w:left="624"/>
        <w:spacing w:before="286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4</w:t>
      </w:r>
      <w:r>
        <w:rPr>
          <w:b/>
          <w:bCs/>
          <w:spacing w:val="-3"/>
        </w:rPr>
        <w:t>．充分发挥渠道和业务优势，挖掘需求，做透市场</w:t>
      </w:r>
    </w:p>
    <w:p>
      <w:pPr>
        <w:spacing w:line="233" w:lineRule="auto"/>
        <w:sectPr>
          <w:pgSz w:w="11907" w:h="16839"/>
          <w:pgMar w:top="400" w:right="1543" w:bottom="0" w:left="1785" w:header="0" w:footer="0" w:gutter="0"/>
        </w:sectPr>
        <w:rPr/>
      </w:pP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25" w:right="13" w:firstLine="601"/>
        <w:spacing w:before="97" w:line="334" w:lineRule="auto"/>
        <w:jc w:val="both"/>
        <w:rPr/>
      </w:pPr>
      <w:r>
        <w:rPr>
          <w:spacing w:val="-4"/>
        </w:rPr>
        <w:t>助力政府加强统筹，与当地企业建立合作，挖掘场景</w:t>
      </w:r>
      <w:r>
        <w:rPr>
          <w:spacing w:val="-5"/>
        </w:rPr>
        <w:t>、做透</w:t>
      </w:r>
      <w:r>
        <w:rPr>
          <w:spacing w:val="-4"/>
        </w:rPr>
        <w:t>市场，解决社区“聚焦居民需求不充分”等核心问题，实现国家</w:t>
      </w:r>
      <w:r>
        <w:rPr>
          <w:spacing w:val="-3"/>
        </w:rPr>
        <w:t>对于基层治理、服务民生、城市更新等战略要求。</w:t>
      </w:r>
    </w:p>
    <w:p>
      <w:pPr>
        <w:ind w:left="39"/>
        <w:spacing w:before="47" w:line="216" w:lineRule="auto"/>
        <w:rPr>
          <w:rFonts w:ascii="KaiTi" w:hAnsi="KaiTi" w:eastAsia="KaiTi" w:cs="KaiTi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b/>
          <w:bCs/>
          <w:spacing w:val="-1"/>
        </w:rPr>
        <w:t>作者简介：</w:t>
      </w:r>
      <w:r>
        <w:rPr>
          <w:rFonts w:ascii="KaiTi" w:hAnsi="KaiTi" w:eastAsia="KaiTi" w:cs="KaiTi"/>
          <w:sz w:val="30"/>
          <w:szCs w:val="30"/>
          <w:spacing w:val="-1"/>
        </w:rPr>
        <w:t>中国电信股份有限公司研究院/战</w:t>
      </w:r>
      <w:r>
        <w:rPr>
          <w:rFonts w:ascii="KaiTi" w:hAnsi="KaiTi" w:eastAsia="KaiTi" w:cs="KaiTi"/>
          <w:sz w:val="30"/>
          <w:szCs w:val="30"/>
          <w:spacing w:val="-2"/>
        </w:rPr>
        <w:t>略发展研究所</w:t>
      </w:r>
    </w:p>
    <w:p>
      <w:pPr>
        <w:spacing w:line="329" w:lineRule="auto"/>
        <w:rPr>
          <w:rFonts w:ascii="Arial"/>
          <w:sz w:val="21"/>
        </w:rPr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298475</wp:posOffset>
            </wp:positionH>
            <wp:positionV relativeFrom="paragraph">
              <wp:posOffset>84270</wp:posOffset>
            </wp:positionV>
            <wp:extent cx="638555" cy="3938015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8555" cy="3938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263"/>
        <w:spacing w:before="91" w:line="216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2"/>
        </w:rPr>
        <w:t>郭靓</w:t>
      </w:r>
      <w:r>
        <w:rPr>
          <w:rFonts w:ascii="KaiTi" w:hAnsi="KaiTi" w:eastAsia="KaiTi" w:cs="KaiTi"/>
          <w:sz w:val="28"/>
          <w:szCs w:val="28"/>
          <w:spacing w:val="-2"/>
        </w:rPr>
        <w:t xml:space="preserve"> </w:t>
      </w:r>
      <w:r>
        <w:rPr>
          <w:rFonts w:ascii="KaiTi" w:hAnsi="KaiTi" w:eastAsia="KaiTi" w:cs="KaiTi"/>
          <w:sz w:val="28"/>
          <w:szCs w:val="28"/>
          <w:spacing w:val="-2"/>
        </w:rPr>
        <w:t>【13301168867】</w:t>
      </w:r>
    </w:p>
    <w:p>
      <w:pPr>
        <w:ind w:left="2272" w:right="203" w:firstLine="268"/>
        <w:spacing w:before="121" w:line="22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硕士，高级工程师、高级分析师，长期从事智</w:t>
      </w:r>
      <w:r>
        <w:rPr>
          <w:rFonts w:ascii="KaiTi" w:hAnsi="KaiTi" w:eastAsia="KaiTi" w:cs="KaiTi"/>
          <w:sz w:val="28"/>
          <w:szCs w:val="28"/>
          <w:spacing w:val="-2"/>
        </w:rPr>
        <w:t>慧城市、数字政府和数字文化等相关领域研究。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ind w:left="2264"/>
        <w:spacing w:before="91" w:line="220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6"/>
        </w:rPr>
        <w:t>裴迎栋</w:t>
      </w:r>
    </w:p>
    <w:p>
      <w:pPr>
        <w:ind w:left="2269" w:right="203" w:firstLine="268"/>
        <w:spacing w:before="115" w:line="22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数据分析师，主要从事数据模型构建及产业数</w:t>
      </w:r>
      <w:r>
        <w:rPr>
          <w:rFonts w:ascii="KaiTi" w:hAnsi="KaiTi" w:eastAsia="KaiTi" w:cs="KaiTi"/>
          <w:sz w:val="28"/>
          <w:szCs w:val="28"/>
          <w:spacing w:val="-4"/>
        </w:rPr>
        <w:t>字化发展趋势跟踪研究。</w:t>
      </w:r>
    </w:p>
    <w:p>
      <w:pPr>
        <w:ind w:left="2281"/>
        <w:spacing w:before="273" w:line="224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0"/>
        </w:rPr>
        <w:t>陈凤仙</w:t>
      </w:r>
    </w:p>
    <w:p>
      <w:pPr>
        <w:ind w:left="2262" w:right="203" w:firstLine="303"/>
        <w:spacing w:before="110" w:line="223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2"/>
        </w:rPr>
        <w:t>高级分析师，博士，副研究员，主要从事网信</w:t>
      </w:r>
      <w:r>
        <w:rPr>
          <w:rFonts w:ascii="KaiTi" w:hAnsi="KaiTi" w:eastAsia="KaiTi" w:cs="KaiTi"/>
          <w:sz w:val="28"/>
          <w:szCs w:val="28"/>
          <w:spacing w:val="-1"/>
        </w:rPr>
        <w:t>前沿战略、人工智能、数字经济、产业经济、科</w:t>
      </w:r>
      <w:r>
        <w:rPr>
          <w:rFonts w:ascii="KaiTi" w:hAnsi="KaiTi" w:eastAsia="KaiTi" w:cs="KaiTi"/>
          <w:sz w:val="28"/>
          <w:szCs w:val="28"/>
          <w:spacing w:val="-4"/>
        </w:rPr>
        <w:t>技创新等领域的研究工作。</w:t>
      </w:r>
    </w:p>
    <w:p>
      <w:pPr>
        <w:ind w:left="2274"/>
        <w:spacing w:before="275" w:line="221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9"/>
        </w:rPr>
        <w:t>马政</w:t>
      </w:r>
    </w:p>
    <w:p>
      <w:pPr>
        <w:ind w:left="2282" w:right="203" w:firstLine="258"/>
        <w:spacing w:before="112" w:line="231" w:lineRule="auto"/>
        <w:rPr>
          <w:rFonts w:ascii="KaiTi" w:hAnsi="KaiTi" w:eastAsia="KaiTi" w:cs="KaiTi"/>
          <w:sz w:val="28"/>
          <w:szCs w:val="28"/>
        </w:rPr>
      </w:pP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318287</wp:posOffset>
            </wp:positionH>
            <wp:positionV relativeFrom="paragraph">
              <wp:posOffset>627646</wp:posOffset>
            </wp:positionV>
            <wp:extent cx="598932" cy="2926079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8932" cy="2926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KaiTi" w:hAnsi="KaiTi" w:eastAsia="KaiTi" w:cs="KaiTi"/>
          <w:sz w:val="28"/>
          <w:szCs w:val="28"/>
          <w:spacing w:val="-1"/>
        </w:rPr>
        <w:t>硕士，主要从事企业数字化转型、数字经济研</w:t>
      </w:r>
      <w:r>
        <w:rPr>
          <w:rFonts w:ascii="KaiTi" w:hAnsi="KaiTi" w:eastAsia="KaiTi" w:cs="KaiTi"/>
          <w:sz w:val="28"/>
          <w:szCs w:val="28"/>
          <w:spacing w:val="-17"/>
        </w:rPr>
        <w:t>究。</w:t>
      </w:r>
    </w:p>
    <w:p>
      <w:pPr>
        <w:ind w:left="2274"/>
        <w:spacing w:before="250" w:line="218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9"/>
        </w:rPr>
        <w:t>海明慈</w:t>
      </w:r>
    </w:p>
    <w:p>
      <w:pPr>
        <w:ind w:left="2260" w:right="205" w:firstLine="285"/>
        <w:spacing w:before="119" w:line="224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一级分析师，英国纽卡斯尔大学硕士，主要从</w:t>
      </w:r>
      <w:r>
        <w:rPr>
          <w:rFonts w:ascii="KaiTi" w:hAnsi="KaiTi" w:eastAsia="KaiTi" w:cs="KaiTi"/>
          <w:sz w:val="28"/>
          <w:szCs w:val="28"/>
          <w:spacing w:val="-1"/>
        </w:rPr>
        <w:t>事智慧社区、数字家庭及大模型等方向的研究和</w:t>
      </w:r>
      <w:r>
        <w:rPr>
          <w:rFonts w:ascii="KaiTi" w:hAnsi="KaiTi" w:eastAsia="KaiTi" w:cs="KaiTi"/>
          <w:sz w:val="28"/>
          <w:szCs w:val="28"/>
          <w:spacing w:val="-2"/>
        </w:rPr>
        <w:t>标准规范制定工作。</w:t>
      </w:r>
    </w:p>
    <w:p>
      <w:pPr>
        <w:ind w:left="2255"/>
        <w:spacing w:before="111" w:line="216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4"/>
        </w:rPr>
        <w:t>孙恺泽</w:t>
      </w:r>
    </w:p>
    <w:p>
      <w:pPr>
        <w:ind w:left="2263" w:right="203" w:firstLine="277"/>
        <w:spacing w:before="122" w:line="225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硕士，一级分析师，主要从事组织架构、政企</w:t>
      </w:r>
      <w:r>
        <w:rPr>
          <w:rFonts w:ascii="KaiTi" w:hAnsi="KaiTi" w:eastAsia="KaiTi" w:cs="KaiTi"/>
          <w:sz w:val="28"/>
          <w:szCs w:val="28"/>
          <w:spacing w:val="-1"/>
        </w:rPr>
        <w:t>市场战略、数字政府、融媒体、物联网技术等领</w:t>
      </w:r>
      <w:r>
        <w:rPr>
          <w:rFonts w:ascii="KaiTi" w:hAnsi="KaiTi" w:eastAsia="KaiTi" w:cs="KaiTi"/>
          <w:sz w:val="28"/>
          <w:szCs w:val="28"/>
          <w:spacing w:val="-3"/>
        </w:rPr>
        <w:t>域的研究。</w:t>
      </w:r>
    </w:p>
    <w:p>
      <w:pPr>
        <w:ind w:left="2274"/>
        <w:spacing w:before="265" w:line="221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9"/>
        </w:rPr>
        <w:t>马天虎</w:t>
      </w:r>
    </w:p>
    <w:p>
      <w:pPr>
        <w:ind w:left="2267" w:right="203" w:firstLine="273"/>
        <w:spacing w:before="113" w:line="22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硕士，高级工程师，主要从事智慧城市、产业</w:t>
      </w:r>
      <w:r>
        <w:rPr>
          <w:rFonts w:ascii="KaiTi" w:hAnsi="KaiTi" w:eastAsia="KaiTi" w:cs="KaiTi"/>
          <w:sz w:val="28"/>
          <w:szCs w:val="28"/>
          <w:spacing w:val="-3"/>
        </w:rPr>
        <w:t>互联网、5G</w:t>
      </w:r>
      <w:r>
        <w:rPr>
          <w:rFonts w:ascii="KaiTi" w:hAnsi="KaiTi" w:eastAsia="KaiTi" w:cs="KaiTi"/>
          <w:sz w:val="28"/>
          <w:szCs w:val="28"/>
          <w:spacing w:val="-59"/>
        </w:rPr>
        <w:t xml:space="preserve"> </w:t>
      </w:r>
      <w:r>
        <w:rPr>
          <w:rFonts w:ascii="KaiTi" w:hAnsi="KaiTi" w:eastAsia="KaiTi" w:cs="KaiTi"/>
          <w:sz w:val="28"/>
          <w:szCs w:val="28"/>
          <w:spacing w:val="-3"/>
        </w:rPr>
        <w:t>等领域的研究工作。</w:t>
      </w:r>
    </w:p>
    <w:sectPr>
      <w:pgSz w:w="11907" w:h="16839"/>
      <w:pgMar w:top="400" w:right="178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30"/>
      <w:szCs w:val="3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3"/>
      <w:szCs w:val="2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7.png"/><Relationship Id="rId8" Type="http://schemas.openxmlformats.org/officeDocument/2006/relationships/image" Target="media/image6.png"/><Relationship Id="rId7" Type="http://schemas.openxmlformats.org/officeDocument/2006/relationships/image" Target="media/image5.png"/><Relationship Id="rId6" Type="http://schemas.openxmlformats.org/officeDocument/2006/relationships/image" Target="media/image4.png"/><Relationship Id="rId5" Type="http://schemas.openxmlformats.org/officeDocument/2006/relationships/image" Target="media/image3.png"/><Relationship Id="rId4" Type="http://schemas.openxmlformats.org/officeDocument/2006/relationships/header" Target="header2.xml"/><Relationship Id="rId3" Type="http://schemas.openxmlformats.org/officeDocument/2006/relationships/image" Target="media/image2.png"/><Relationship Id="rId2" Type="http://schemas.openxmlformats.org/officeDocument/2006/relationships/header" Target="header1.xml"/><Relationship Id="rId14" Type="http://schemas.openxmlformats.org/officeDocument/2006/relationships/fontTable" Target="fontTable.xml"/><Relationship Id="rId13" Type="http://schemas.openxmlformats.org/officeDocument/2006/relationships/styles" Target="styles.xml"/><Relationship Id="rId12" Type="http://schemas.openxmlformats.org/officeDocument/2006/relationships/settings" Target="settings.xml"/><Relationship Id="rId11" Type="http://schemas.openxmlformats.org/officeDocument/2006/relationships/image" Target="media/image9.png"/><Relationship Id="rId10" Type="http://schemas.openxmlformats.org/officeDocument/2006/relationships/image" Target="media/image8.png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2023-09-20T11:37:30Z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2025-11-04T15:55:14</vt:filetime>
  </property>
</Properties>
</file>