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311"/>
        <w:spacing w:before="211" w:line="197" w:lineRule="auto"/>
        <w:outlineLvl w:val="0"/>
        <w:rPr>
          <w:rFonts w:ascii="Microsoft YaHei" w:hAnsi="Microsoft YaHei" w:eastAsia="Microsoft YaHei" w:cs="Microsoft YaHei"/>
          <w:sz w:val="43"/>
          <w:szCs w:val="43"/>
        </w:rPr>
      </w:pPr>
      <w:r>
        <w:rPr>
          <w:rFonts w:ascii="Microsoft YaHei" w:hAnsi="Microsoft YaHei" w:eastAsia="Microsoft YaHei" w:cs="Microsoft YaHei"/>
          <w:sz w:val="43"/>
          <w:szCs w:val="43"/>
          <w:b/>
          <w:bCs/>
          <w:spacing w:val="9"/>
        </w:rPr>
        <w:t>友商数字政府市场竞争力分析</w:t>
      </w:r>
    </w:p>
    <w:p>
      <w:pPr>
        <w:ind w:left="3080"/>
        <w:spacing w:before="332" w:line="213" w:lineRule="auto"/>
        <w:rPr>
          <w:rFonts w:ascii="STKaiti" w:hAnsi="STKaiti" w:eastAsia="STKaiti" w:cs="STKaiti"/>
          <w:sz w:val="30"/>
          <w:szCs w:val="30"/>
        </w:rPr>
      </w:pPr>
      <w:r>
        <w:rPr>
          <w:rFonts w:ascii="STKaiti" w:hAnsi="STKaiti" w:eastAsia="STKaiti" w:cs="STKaiti"/>
          <w:sz w:val="30"/>
          <w:szCs w:val="30"/>
          <w:spacing w:val="-16"/>
        </w:rPr>
        <w:t>文/</w:t>
      </w:r>
      <w:r>
        <w:rPr>
          <w:rFonts w:ascii="STKaiti" w:hAnsi="STKaiti" w:eastAsia="STKaiti" w:cs="STKaiti"/>
          <w:sz w:val="30"/>
          <w:szCs w:val="30"/>
          <w:spacing w:val="23"/>
        </w:rPr>
        <w:t xml:space="preserve">  </w:t>
      </w:r>
      <w:r>
        <w:rPr>
          <w:rFonts w:ascii="STKaiti" w:hAnsi="STKaiti" w:eastAsia="STKaiti" w:cs="STKaiti"/>
          <w:sz w:val="30"/>
          <w:szCs w:val="30"/>
          <w:spacing w:val="-16"/>
        </w:rPr>
        <w:t>陈晓佳</w:t>
      </w:r>
      <w:r>
        <w:rPr>
          <w:rFonts w:ascii="STKaiti" w:hAnsi="STKaiti" w:eastAsia="STKaiti" w:cs="STKaiti"/>
          <w:sz w:val="30"/>
          <w:szCs w:val="30"/>
          <w:spacing w:val="24"/>
          <w:w w:val="101"/>
        </w:rPr>
        <w:t xml:space="preserve">  </w:t>
      </w:r>
      <w:r>
        <w:rPr>
          <w:rFonts w:ascii="STKaiti" w:hAnsi="STKaiti" w:eastAsia="STKaiti" w:cs="STKaiti"/>
          <w:sz w:val="30"/>
          <w:szCs w:val="30"/>
          <w:spacing w:val="-16"/>
        </w:rPr>
        <w:t>田雨</w:t>
      </w:r>
    </w:p>
    <w:p>
      <w:pPr>
        <w:spacing w:line="403" w:lineRule="auto"/>
        <w:rPr>
          <w:rFonts w:ascii="Arial"/>
          <w:sz w:val="21"/>
        </w:rPr>
      </w:pPr>
      <w:r/>
    </w:p>
    <w:p>
      <w:pPr>
        <w:pStyle w:val="BodyText"/>
        <w:ind w:left="26" w:right="11" w:firstLine="594"/>
        <w:spacing w:before="98" w:line="258" w:lineRule="auto"/>
        <w:jc w:val="both"/>
        <w:rPr/>
      </w:pPr>
      <w:r>
        <w:rPr>
          <w:rFonts w:ascii="Times New Roman" w:hAnsi="Times New Roman" w:eastAsia="Times New Roman" w:cs="Times New Roman"/>
          <w:spacing w:val="-5"/>
        </w:rPr>
        <w:t>2022 </w:t>
      </w:r>
      <w:r>
        <w:rPr>
          <w:spacing w:val="-5"/>
        </w:rPr>
        <w:t>年</w:t>
      </w:r>
      <w:r>
        <w:rPr>
          <w:spacing w:val="-62"/>
        </w:rPr>
        <w:t xml:space="preserve"> </w:t>
      </w:r>
      <w:r>
        <w:rPr>
          <w:rFonts w:ascii="Times New Roman" w:hAnsi="Times New Roman" w:eastAsia="Times New Roman" w:cs="Times New Roman"/>
          <w:spacing w:val="-5"/>
        </w:rPr>
        <w:t>6</w:t>
      </w:r>
      <w:r>
        <w:rPr>
          <w:rFonts w:ascii="Times New Roman" w:hAnsi="Times New Roman" w:eastAsia="Times New Roman" w:cs="Times New Roman"/>
          <w:spacing w:val="19"/>
        </w:rPr>
        <w:t xml:space="preserve"> </w:t>
      </w:r>
      <w:r>
        <w:rPr>
          <w:spacing w:val="-5"/>
        </w:rPr>
        <w:t>月</w:t>
      </w:r>
      <w:r>
        <w:rPr>
          <w:spacing w:val="-69"/>
        </w:rPr>
        <w:t xml:space="preserve"> </w:t>
      </w:r>
      <w:r>
        <w:rPr>
          <w:rFonts w:ascii="Times New Roman" w:hAnsi="Times New Roman" w:eastAsia="Times New Roman" w:cs="Times New Roman"/>
          <w:spacing w:val="-5"/>
        </w:rPr>
        <w:t>23  </w:t>
      </w:r>
      <w:r>
        <w:rPr>
          <w:spacing w:val="-5"/>
        </w:rPr>
        <w:t>日国务院发布《关于加强数字政府</w:t>
      </w:r>
      <w:r>
        <w:rPr>
          <w:spacing w:val="-6"/>
        </w:rPr>
        <w:t>建设的指</w:t>
      </w:r>
      <w:r>
        <w:rPr>
          <w:spacing w:val="-4"/>
        </w:rPr>
        <w:t>导意见》，明确了数字政府对数字经济、数字社会、数字生</w:t>
      </w:r>
      <w:r>
        <w:rPr>
          <w:spacing w:val="-5"/>
        </w:rPr>
        <w:t>态的</w:t>
      </w:r>
      <w:r>
        <w:rPr>
          <w:spacing w:val="-8"/>
        </w:rPr>
        <w:t>引领地位。数字政府建设正从理论探索向规模化建设迈进，</w:t>
      </w:r>
      <w:r>
        <w:rPr>
          <w:spacing w:val="-35"/>
        </w:rPr>
        <w:t xml:space="preserve"> </w:t>
      </w:r>
      <w:r>
        <w:rPr>
          <w:spacing w:val="-8"/>
        </w:rPr>
        <w:t>在宏</w:t>
      </w:r>
      <w:r>
        <w:rPr>
          <w:spacing w:val="-8"/>
        </w:rPr>
        <w:t>观经济指标下滑、企业客户数字化需求收缩的情况下，</w:t>
      </w:r>
      <w:r>
        <w:rPr>
          <w:spacing w:val="-35"/>
        </w:rPr>
        <w:t xml:space="preserve"> </w:t>
      </w:r>
      <w:r>
        <w:rPr>
          <w:spacing w:val="-8"/>
        </w:rPr>
        <w:t>数字政府</w:t>
      </w:r>
      <w:r>
        <w:rPr>
          <w:spacing w:val="-2"/>
        </w:rPr>
        <w:t>市场仍有广阔空间，整体规模将保持 </w:t>
      </w:r>
      <w:r>
        <w:rPr>
          <w:rFonts w:ascii="Times New Roman" w:hAnsi="Times New Roman" w:eastAsia="Times New Roman" w:cs="Times New Roman"/>
          <w:spacing w:val="-2"/>
        </w:rPr>
        <w:t>10%</w:t>
      </w:r>
      <w:r>
        <w:rPr>
          <w:spacing w:val="-2"/>
        </w:rPr>
        <w:t>以上的增速，到 </w:t>
      </w:r>
      <w:r>
        <w:rPr>
          <w:rFonts w:ascii="Times New Roman" w:hAnsi="Times New Roman" w:eastAsia="Times New Roman" w:cs="Times New Roman"/>
          <w:spacing w:val="-2"/>
        </w:rPr>
        <w:t>2025</w:t>
      </w:r>
      <w:r>
        <w:rPr>
          <w:spacing w:val="-1"/>
        </w:rPr>
        <w:t>年将近万亿</w:t>
      </w:r>
      <w:r>
        <w:rPr>
          <w:rFonts w:ascii="Times New Roman" w:hAnsi="Times New Roman" w:eastAsia="Times New Roman" w:cs="Times New Roman"/>
          <w:sz w:val="18"/>
          <w:szCs w:val="18"/>
          <w:spacing w:val="-1"/>
          <w:position w:val="10"/>
        </w:rPr>
        <w:t>1</w:t>
      </w:r>
      <w:r>
        <w:rPr>
          <w:spacing w:val="-1"/>
        </w:rPr>
        <w:t>。</w:t>
      </w:r>
    </w:p>
    <w:p>
      <w:pPr>
        <w:pStyle w:val="BodyText"/>
        <w:ind w:left="26" w:right="12" w:firstLine="599"/>
        <w:spacing w:before="281" w:line="256" w:lineRule="auto"/>
        <w:jc w:val="both"/>
        <w:rPr/>
      </w:pPr>
      <w:r>
        <w:rPr>
          <w:spacing w:val="-4"/>
        </w:rPr>
        <w:t>三大运营商均将数字政府作为各级“一把手”工程，</w:t>
      </w:r>
      <w:r>
        <w:rPr>
          <w:spacing w:val="-5"/>
        </w:rPr>
        <w:t>旨在成</w:t>
      </w:r>
      <w:r>
        <w:rPr>
          <w:spacing w:val="-9"/>
        </w:rPr>
        <w:t>为行业头部厂商（图 </w:t>
      </w:r>
      <w:r>
        <w:rPr>
          <w:rFonts w:ascii="Times New Roman" w:hAnsi="Times New Roman" w:eastAsia="Times New Roman" w:cs="Times New Roman"/>
          <w:spacing w:val="-9"/>
        </w:rPr>
        <w:t>1</w:t>
      </w:r>
      <w:r>
        <w:rPr>
          <w:spacing w:val="-9"/>
        </w:rPr>
        <w:t>）。三大运营商在</w:t>
      </w:r>
      <w:r>
        <w:rPr>
          <w:spacing w:val="-69"/>
        </w:rPr>
        <w:t xml:space="preserve"> </w:t>
      </w:r>
      <w:r>
        <w:rPr>
          <w:rFonts w:ascii="Times New Roman" w:hAnsi="Times New Roman" w:eastAsia="Times New Roman" w:cs="Times New Roman"/>
          <w:spacing w:val="-9"/>
        </w:rPr>
        <w:t>2022</w:t>
      </w:r>
      <w:r>
        <w:rPr>
          <w:rFonts w:ascii="Times New Roman" w:hAnsi="Times New Roman" w:eastAsia="Times New Roman" w:cs="Times New Roman"/>
          <w:spacing w:val="17"/>
        </w:rPr>
        <w:t xml:space="preserve"> </w:t>
      </w:r>
      <w:r>
        <w:rPr>
          <w:spacing w:val="-9"/>
        </w:rPr>
        <w:t>前三季度政务行业</w:t>
      </w:r>
      <w:r>
        <w:rPr>
          <w:spacing w:val="-2"/>
        </w:rPr>
        <w:t>中标金额占比已达</w:t>
      </w:r>
      <w:r>
        <w:rPr>
          <w:spacing w:val="-38"/>
        </w:rPr>
        <w:t xml:space="preserve"> </w:t>
      </w:r>
      <w:r>
        <w:rPr>
          <w:rFonts w:ascii="Times New Roman" w:hAnsi="Times New Roman" w:eastAsia="Times New Roman" w:cs="Times New Roman"/>
          <w:spacing w:val="-2"/>
        </w:rPr>
        <w:t>12%</w:t>
      </w:r>
      <w:r>
        <w:rPr>
          <w:rFonts w:ascii="Times New Roman" w:hAnsi="Times New Roman" w:eastAsia="Times New Roman" w:cs="Times New Roman"/>
          <w:sz w:val="18"/>
          <w:szCs w:val="18"/>
          <w:spacing w:val="-2"/>
          <w:position w:val="10"/>
        </w:rPr>
        <w:t>2</w:t>
      </w:r>
      <w:r>
        <w:rPr>
          <w:spacing w:val="-2"/>
        </w:rPr>
        <w:t>，较</w:t>
      </w:r>
      <w:r>
        <w:rPr>
          <w:spacing w:val="-54"/>
        </w:rPr>
        <w:t xml:space="preserve"> </w:t>
      </w:r>
      <w:r>
        <w:rPr>
          <w:rFonts w:ascii="Times New Roman" w:hAnsi="Times New Roman" w:eastAsia="Times New Roman" w:cs="Times New Roman"/>
          <w:spacing w:val="-2"/>
        </w:rPr>
        <w:t>2021 </w:t>
      </w:r>
      <w:r>
        <w:rPr>
          <w:spacing w:val="-2"/>
        </w:rPr>
        <w:t>年提升</w:t>
      </w:r>
      <w:r>
        <w:rPr>
          <w:spacing w:val="-59"/>
        </w:rPr>
        <w:t xml:space="preserve"> </w:t>
      </w:r>
      <w:r>
        <w:rPr>
          <w:rFonts w:ascii="Times New Roman" w:hAnsi="Times New Roman" w:eastAsia="Times New Roman" w:cs="Times New Roman"/>
          <w:spacing w:val="-2"/>
        </w:rPr>
        <w:t>5pp</w:t>
      </w:r>
      <w:r>
        <w:rPr>
          <w:spacing w:val="-2"/>
        </w:rPr>
        <w:t>，增长虽</w:t>
      </w:r>
      <w:r>
        <w:rPr>
          <w:spacing w:val="-3"/>
        </w:rPr>
        <w:t>快但整体</w:t>
      </w:r>
      <w:r>
        <w:rPr>
          <w:spacing w:val="-4"/>
        </w:rPr>
        <w:t>份额偏低，仍有较大的提升空间。</w:t>
      </w:r>
    </w:p>
    <w:p>
      <w:pPr>
        <w:ind w:firstLine="14"/>
        <w:spacing w:before="238" w:line="2760" w:lineRule="exact"/>
        <w:rPr/>
      </w:pPr>
      <w:r>
        <w:rPr>
          <w:position w:val="-55"/>
        </w:rPr>
        <w:drawing>
          <wp:inline distT="0" distB="0" distL="0" distR="0">
            <wp:extent cx="5274563" cy="17526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274563" cy="1752600"/>
                    </a:xfrm>
                    <a:prstGeom prst="rect">
                      <a:avLst/>
                    </a:prstGeom>
                  </pic:spPr>
                </pic:pic>
              </a:graphicData>
            </a:graphic>
          </wp:inline>
        </w:drawing>
      </w:r>
    </w:p>
    <w:p>
      <w:pPr>
        <w:ind w:left="1552"/>
        <w:spacing w:before="87" w:line="215" w:lineRule="auto"/>
        <w:outlineLvl w:val="0"/>
        <w:rPr>
          <w:rFonts w:ascii="KaiTi" w:hAnsi="KaiTi" w:eastAsia="KaiTi" w:cs="KaiTi"/>
          <w:sz w:val="30"/>
          <w:szCs w:val="30"/>
        </w:rPr>
      </w:pPr>
      <w:r>
        <w:rPr>
          <w:rFonts w:ascii="KaiTi" w:hAnsi="KaiTi" w:eastAsia="KaiTi" w:cs="KaiTi"/>
          <w:sz w:val="30"/>
          <w:szCs w:val="30"/>
          <w:spacing w:val="-4"/>
        </w:rPr>
        <w:t>图</w:t>
      </w:r>
      <w:r>
        <w:rPr>
          <w:rFonts w:ascii="KaiTi" w:hAnsi="KaiTi" w:eastAsia="KaiTi" w:cs="KaiTi"/>
          <w:sz w:val="30"/>
          <w:szCs w:val="30"/>
          <w:spacing w:val="-46"/>
        </w:rPr>
        <w:t xml:space="preserve"> </w:t>
      </w:r>
      <w:r>
        <w:rPr>
          <w:rFonts w:ascii="KaiTi" w:hAnsi="KaiTi" w:eastAsia="KaiTi" w:cs="KaiTi"/>
          <w:sz w:val="30"/>
          <w:szCs w:val="30"/>
          <w:spacing w:val="-4"/>
        </w:rPr>
        <w:t>1</w:t>
      </w:r>
      <w:r>
        <w:rPr>
          <w:rFonts w:ascii="KaiTi" w:hAnsi="KaiTi" w:eastAsia="KaiTi" w:cs="KaiTi"/>
          <w:sz w:val="30"/>
          <w:szCs w:val="30"/>
          <w:spacing w:val="-4"/>
        </w:rPr>
        <w:t xml:space="preserve">  </w:t>
      </w:r>
      <w:r>
        <w:rPr>
          <w:rFonts w:ascii="KaiTi" w:hAnsi="KaiTi" w:eastAsia="KaiTi" w:cs="KaiTi"/>
          <w:sz w:val="30"/>
          <w:szCs w:val="30"/>
          <w:spacing w:val="-4"/>
        </w:rPr>
        <w:t>运营商在数字政府市场的战略意图</w:t>
      </w:r>
    </w:p>
    <w:p>
      <w:pPr>
        <w:spacing w:line="249" w:lineRule="auto"/>
        <w:rPr>
          <w:rFonts w:ascii="Arial"/>
          <w:sz w:val="21"/>
        </w:rPr>
      </w:pPr>
      <w:r/>
    </w:p>
    <w:p>
      <w:pPr>
        <w:pStyle w:val="BodyText"/>
        <w:ind w:left="23" w:right="7" w:firstLine="605"/>
        <w:spacing w:before="98" w:line="260" w:lineRule="auto"/>
        <w:jc w:val="both"/>
        <w:rPr/>
      </w:pPr>
      <w:r>
        <w:rPr>
          <w:spacing w:val="-4"/>
        </w:rPr>
        <w:t>从运营商之间的竞争来看，中国电信在数字政</w:t>
      </w:r>
      <w:r>
        <w:rPr>
          <w:spacing w:val="-5"/>
        </w:rPr>
        <w:t>府领域深耕多</w:t>
      </w:r>
      <w:r>
        <w:rPr>
          <w:spacing w:val="-4"/>
        </w:rPr>
        <w:t>年，形成先发优势，但近年中标额占比持续下降，丢失领头羊位</w:t>
      </w:r>
      <w:r>
        <w:rPr>
          <w:spacing w:val="-6"/>
        </w:rPr>
        <w:t>置；中国移动开展跨越式追击，中标份额持续增长，</w:t>
      </w:r>
      <w:r>
        <w:rPr>
          <w:rFonts w:ascii="Times New Roman" w:hAnsi="Times New Roman" w:eastAsia="Times New Roman" w:cs="Times New Roman"/>
          <w:spacing w:val="-6"/>
        </w:rPr>
        <w:t>2022 </w:t>
      </w:r>
      <w:r>
        <w:rPr>
          <w:spacing w:val="-6"/>
        </w:rPr>
        <w:t>年已超</w:t>
      </w:r>
      <w:r>
        <w:rPr>
          <w:spacing w:val="-9"/>
        </w:rPr>
        <w:t>越电信</w:t>
      </w:r>
      <w:r>
        <w:rPr>
          <w:rFonts w:ascii="Times New Roman" w:hAnsi="Times New Roman" w:eastAsia="Times New Roman" w:cs="Times New Roman"/>
          <w:spacing w:val="-9"/>
        </w:rPr>
        <w:t>3</w:t>
      </w:r>
      <w:r>
        <w:rPr>
          <w:spacing w:val="-9"/>
        </w:rPr>
        <w:t>；中国联通强调自有能力建设，聚焦大数据、区块链、自</w:t>
      </w:r>
      <w:r>
        <w:rPr>
          <w:spacing w:val="-6"/>
        </w:rPr>
        <w:t>主交付等领域，市场规模保持增长（图</w:t>
      </w:r>
      <w:r>
        <w:rPr>
          <w:spacing w:val="-62"/>
        </w:rPr>
        <w:t xml:space="preserve"> </w:t>
      </w:r>
      <w:r>
        <w:rPr>
          <w:rFonts w:ascii="Times New Roman" w:hAnsi="Times New Roman" w:eastAsia="Times New Roman" w:cs="Times New Roman"/>
          <w:spacing w:val="-6"/>
        </w:rPr>
        <w:t>2</w:t>
      </w:r>
      <w:r>
        <w:rPr>
          <w:spacing w:val="-6"/>
        </w:rPr>
        <w:t>）。</w:t>
      </w:r>
    </w:p>
    <w:p>
      <w:pPr>
        <w:spacing w:line="314" w:lineRule="auto"/>
        <w:rPr>
          <w:rFonts w:ascii="Arial"/>
          <w:sz w:val="21"/>
        </w:rPr>
      </w:pPr>
      <w:r/>
    </w:p>
    <w:p>
      <w:pPr>
        <w:spacing w:line="315" w:lineRule="auto"/>
        <w:rPr>
          <w:rFonts w:ascii="Arial"/>
          <w:sz w:val="21"/>
        </w:rPr>
      </w:pPr>
      <w:r>
        <w:pict>
          <v:shape id="_x0000_s2" style="position:absolute;margin-left:0.72599pt;margin-top:11.0405pt;mso-position-vertical-relative:text;mso-position-horizontal-relative:text;width:144.05pt;height:0.5pt;z-index:251658240;" fillcolor="#000000" filled="true" stroked="false" coordsize="2881,10" coordorigin="0,0" path="m0,9l2880,9l2880,0l0,0l0,9xe"/>
        </w:pict>
      </w:r>
      <w:r/>
    </w:p>
    <w:p>
      <w:pPr>
        <w:ind w:left="24"/>
        <w:spacing w:before="69" w:line="237" w:lineRule="auto"/>
        <w:rPr>
          <w:rFonts w:ascii="KaiTi" w:hAnsi="KaiTi" w:eastAsia="KaiTi" w:cs="KaiTi"/>
          <w:sz w:val="21"/>
          <w:szCs w:val="21"/>
        </w:rPr>
      </w:pPr>
      <w:r>
        <w:rPr>
          <w:rFonts w:ascii="KaiTi" w:hAnsi="KaiTi" w:eastAsia="KaiTi" w:cs="KaiTi"/>
          <w:sz w:val="11"/>
          <w:szCs w:val="11"/>
          <w:spacing w:val="-1"/>
          <w:position w:val="10"/>
        </w:rPr>
        <w:t>1</w:t>
      </w:r>
      <w:r>
        <w:rPr>
          <w:rFonts w:ascii="KaiTi" w:hAnsi="KaiTi" w:eastAsia="KaiTi" w:cs="KaiTi"/>
          <w:sz w:val="11"/>
          <w:szCs w:val="11"/>
          <w:spacing w:val="-1"/>
          <w:position w:val="10"/>
        </w:rPr>
        <w:t xml:space="preserve">  </w:t>
      </w:r>
      <w:r>
        <w:rPr>
          <w:rFonts w:ascii="KaiTi" w:hAnsi="KaiTi" w:eastAsia="KaiTi" w:cs="KaiTi"/>
          <w:sz w:val="21"/>
          <w:szCs w:val="21"/>
          <w:spacing w:val="-1"/>
        </w:rPr>
        <w:t>数据来源：东吴证券《2020-2025</w:t>
      </w:r>
      <w:r>
        <w:rPr>
          <w:rFonts w:ascii="KaiTi" w:hAnsi="KaiTi" w:eastAsia="KaiTi" w:cs="KaiTi"/>
          <w:sz w:val="21"/>
          <w:szCs w:val="21"/>
          <w:spacing w:val="34"/>
        </w:rPr>
        <w:t xml:space="preserve"> </w:t>
      </w:r>
      <w:r>
        <w:rPr>
          <w:rFonts w:ascii="KaiTi" w:hAnsi="KaiTi" w:eastAsia="KaiTi" w:cs="KaiTi"/>
          <w:sz w:val="21"/>
          <w:szCs w:val="21"/>
          <w:spacing w:val="-1"/>
        </w:rPr>
        <w:t>中国数</w:t>
      </w:r>
      <w:r>
        <w:rPr>
          <w:rFonts w:ascii="KaiTi" w:hAnsi="KaiTi" w:eastAsia="KaiTi" w:cs="KaiTi"/>
          <w:sz w:val="21"/>
          <w:szCs w:val="21"/>
          <w:spacing w:val="-2"/>
        </w:rPr>
        <w:t>字政府产业规模预测》</w:t>
      </w:r>
    </w:p>
    <w:p>
      <w:pPr>
        <w:ind w:left="20"/>
        <w:spacing w:before="26" w:line="234" w:lineRule="auto"/>
        <w:rPr>
          <w:rFonts w:ascii="KaiTi" w:hAnsi="KaiTi" w:eastAsia="KaiTi" w:cs="KaiTi"/>
          <w:sz w:val="21"/>
          <w:szCs w:val="21"/>
        </w:rPr>
      </w:pPr>
      <w:r>
        <w:rPr>
          <w:rFonts w:ascii="DengXian" w:hAnsi="DengXian" w:eastAsia="DengXian" w:cs="DengXian"/>
          <w:sz w:val="11"/>
          <w:szCs w:val="11"/>
          <w:spacing w:val="2"/>
          <w:position w:val="10"/>
        </w:rPr>
        <w:t>2   </w:t>
      </w:r>
      <w:r>
        <w:rPr>
          <w:rFonts w:ascii="KaiTi" w:hAnsi="KaiTi" w:eastAsia="KaiTi" w:cs="KaiTi"/>
          <w:sz w:val="21"/>
          <w:szCs w:val="21"/>
          <w:spacing w:val="2"/>
        </w:rPr>
        <w:t>数据来源:招投标网</w:t>
      </w:r>
      <w:r>
        <w:rPr>
          <w:rFonts w:ascii="KaiTi" w:hAnsi="KaiTi" w:eastAsia="KaiTi" w:cs="KaiTi"/>
          <w:sz w:val="21"/>
          <w:szCs w:val="21"/>
          <w:spacing w:val="-16"/>
        </w:rPr>
        <w:t xml:space="preserve"> </w:t>
      </w:r>
      <w:r>
        <w:rPr>
          <w:rFonts w:ascii="KaiTi" w:hAnsi="KaiTi" w:eastAsia="KaiTi" w:cs="KaiTi"/>
          <w:sz w:val="21"/>
          <w:szCs w:val="21"/>
          <w:spacing w:val="2"/>
        </w:rPr>
        <w:t>17</w:t>
      </w:r>
      <w:r>
        <w:rPr>
          <w:rFonts w:ascii="KaiTi" w:hAnsi="KaiTi" w:eastAsia="KaiTi" w:cs="KaiTi"/>
          <w:sz w:val="21"/>
          <w:szCs w:val="21"/>
          <w:spacing w:val="-45"/>
        </w:rPr>
        <w:t xml:space="preserve"> </w:t>
      </w:r>
      <w:r>
        <w:rPr>
          <w:rFonts w:ascii="KaiTi" w:hAnsi="KaiTi" w:eastAsia="KaiTi" w:cs="KaiTi"/>
          <w:sz w:val="21"/>
          <w:szCs w:val="21"/>
          <w:spacing w:val="2"/>
        </w:rPr>
        <w:t>年至22</w:t>
      </w:r>
      <w:r>
        <w:rPr>
          <w:rFonts w:ascii="KaiTi" w:hAnsi="KaiTi" w:eastAsia="KaiTi" w:cs="KaiTi"/>
          <w:sz w:val="21"/>
          <w:szCs w:val="21"/>
          <w:spacing w:val="-46"/>
        </w:rPr>
        <w:t xml:space="preserve"> </w:t>
      </w:r>
      <w:r>
        <w:rPr>
          <w:rFonts w:ascii="KaiTi" w:hAnsi="KaiTi" w:eastAsia="KaiTi" w:cs="KaiTi"/>
          <w:sz w:val="21"/>
          <w:szCs w:val="21"/>
          <w:spacing w:val="2"/>
        </w:rPr>
        <w:t>年9</w:t>
      </w:r>
      <w:r>
        <w:rPr>
          <w:rFonts w:ascii="KaiTi" w:hAnsi="KaiTi" w:eastAsia="KaiTi" w:cs="KaiTi"/>
          <w:sz w:val="21"/>
          <w:szCs w:val="21"/>
          <w:spacing w:val="-36"/>
        </w:rPr>
        <w:t xml:space="preserve"> </w:t>
      </w:r>
      <w:r>
        <w:rPr>
          <w:rFonts w:ascii="KaiTi" w:hAnsi="KaiTi" w:eastAsia="KaiTi" w:cs="KaiTi"/>
          <w:sz w:val="21"/>
          <w:szCs w:val="21"/>
          <w:spacing w:val="2"/>
        </w:rPr>
        <w:t>月数据</w:t>
      </w:r>
    </w:p>
    <w:p>
      <w:pPr>
        <w:ind w:left="19"/>
        <w:spacing w:before="26" w:line="234" w:lineRule="auto"/>
        <w:rPr>
          <w:rFonts w:ascii="KaiTi" w:hAnsi="KaiTi" w:eastAsia="KaiTi" w:cs="KaiTi"/>
          <w:sz w:val="21"/>
          <w:szCs w:val="21"/>
        </w:rPr>
      </w:pPr>
      <w:r>
        <w:rPr>
          <w:rFonts w:ascii="DengXian" w:hAnsi="DengXian" w:eastAsia="DengXian" w:cs="DengXian"/>
          <w:sz w:val="11"/>
          <w:szCs w:val="11"/>
          <w:spacing w:val="2"/>
          <w:position w:val="10"/>
        </w:rPr>
        <w:t>3   </w:t>
      </w:r>
      <w:r>
        <w:rPr>
          <w:rFonts w:ascii="KaiTi" w:hAnsi="KaiTi" w:eastAsia="KaiTi" w:cs="KaiTi"/>
          <w:sz w:val="21"/>
          <w:szCs w:val="21"/>
          <w:spacing w:val="2"/>
        </w:rPr>
        <w:t>数据来源:招投标网</w:t>
      </w:r>
      <w:r>
        <w:rPr>
          <w:rFonts w:ascii="KaiTi" w:hAnsi="KaiTi" w:eastAsia="KaiTi" w:cs="KaiTi"/>
          <w:sz w:val="21"/>
          <w:szCs w:val="21"/>
          <w:spacing w:val="-14"/>
        </w:rPr>
        <w:t xml:space="preserve"> </w:t>
      </w:r>
      <w:r>
        <w:rPr>
          <w:rFonts w:ascii="KaiTi" w:hAnsi="KaiTi" w:eastAsia="KaiTi" w:cs="KaiTi"/>
          <w:sz w:val="21"/>
          <w:szCs w:val="21"/>
          <w:spacing w:val="2"/>
        </w:rPr>
        <w:t>17</w:t>
      </w:r>
      <w:r>
        <w:rPr>
          <w:rFonts w:ascii="KaiTi" w:hAnsi="KaiTi" w:eastAsia="KaiTi" w:cs="KaiTi"/>
          <w:sz w:val="21"/>
          <w:szCs w:val="21"/>
          <w:spacing w:val="-46"/>
        </w:rPr>
        <w:t xml:space="preserve"> </w:t>
      </w:r>
      <w:r>
        <w:rPr>
          <w:rFonts w:ascii="KaiTi" w:hAnsi="KaiTi" w:eastAsia="KaiTi" w:cs="KaiTi"/>
          <w:sz w:val="21"/>
          <w:szCs w:val="21"/>
          <w:spacing w:val="2"/>
        </w:rPr>
        <w:t>年至22</w:t>
      </w:r>
      <w:r>
        <w:rPr>
          <w:rFonts w:ascii="KaiTi" w:hAnsi="KaiTi" w:eastAsia="KaiTi" w:cs="KaiTi"/>
          <w:sz w:val="21"/>
          <w:szCs w:val="21"/>
          <w:spacing w:val="-46"/>
        </w:rPr>
        <w:t xml:space="preserve"> </w:t>
      </w:r>
      <w:r>
        <w:rPr>
          <w:rFonts w:ascii="KaiTi" w:hAnsi="KaiTi" w:eastAsia="KaiTi" w:cs="KaiTi"/>
          <w:sz w:val="21"/>
          <w:szCs w:val="21"/>
          <w:spacing w:val="2"/>
        </w:rPr>
        <w:t>年9</w:t>
      </w:r>
      <w:r>
        <w:rPr>
          <w:rFonts w:ascii="KaiTi" w:hAnsi="KaiTi" w:eastAsia="KaiTi" w:cs="KaiTi"/>
          <w:sz w:val="21"/>
          <w:szCs w:val="21"/>
          <w:spacing w:val="-36"/>
        </w:rPr>
        <w:t xml:space="preserve"> </w:t>
      </w:r>
      <w:r>
        <w:rPr>
          <w:rFonts w:ascii="KaiTi" w:hAnsi="KaiTi" w:eastAsia="KaiTi" w:cs="KaiTi"/>
          <w:sz w:val="21"/>
          <w:szCs w:val="21"/>
          <w:spacing w:val="2"/>
        </w:rPr>
        <w:t>月数据</w:t>
      </w:r>
    </w:p>
    <w:p>
      <w:pPr>
        <w:spacing w:line="234" w:lineRule="auto"/>
        <w:sectPr>
          <w:pgSz w:w="11907" w:h="16839"/>
          <w:pgMar w:top="1431" w:right="1785" w:bottom="0" w:left="1785" w:header="0" w:footer="0" w:gutter="0"/>
        </w:sectPr>
        <w:rPr>
          <w:rFonts w:ascii="KaiTi" w:hAnsi="KaiTi" w:eastAsia="KaiTi" w:cs="KaiTi"/>
          <w:sz w:val="21"/>
          <w:szCs w:val="21"/>
        </w:rPr>
      </w:pPr>
    </w:p>
    <w:p>
      <w:pPr>
        <w:ind w:firstLine="222"/>
        <w:spacing w:before="144" w:line="3258" w:lineRule="exact"/>
        <w:rPr/>
      </w:pPr>
      <w:r>
        <w:rPr>
          <w:position w:val="-65"/>
        </w:rPr>
        <w:drawing>
          <wp:inline distT="0" distB="0" distL="0" distR="0">
            <wp:extent cx="5003291" cy="2068996"/>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003291" cy="2068996"/>
                    </a:xfrm>
                    <a:prstGeom prst="rect">
                      <a:avLst/>
                    </a:prstGeom>
                  </pic:spPr>
                </pic:pic>
              </a:graphicData>
            </a:graphic>
          </wp:inline>
        </w:drawing>
      </w:r>
    </w:p>
    <w:p>
      <w:pPr>
        <w:ind w:left="1701"/>
        <w:spacing w:before="101" w:line="215" w:lineRule="auto"/>
        <w:outlineLvl w:val="0"/>
        <w:rPr>
          <w:rFonts w:ascii="KaiTi" w:hAnsi="KaiTi" w:eastAsia="KaiTi" w:cs="KaiTi"/>
          <w:sz w:val="30"/>
          <w:szCs w:val="30"/>
        </w:rPr>
      </w:pPr>
      <w:r>
        <w:rPr>
          <w:rFonts w:ascii="KaiTi" w:hAnsi="KaiTi" w:eastAsia="KaiTi" w:cs="KaiTi"/>
          <w:sz w:val="30"/>
          <w:szCs w:val="30"/>
          <w:spacing w:val="-4"/>
        </w:rPr>
        <w:t>图</w:t>
      </w:r>
      <w:r>
        <w:rPr>
          <w:rFonts w:ascii="KaiTi" w:hAnsi="KaiTi" w:eastAsia="KaiTi" w:cs="KaiTi"/>
          <w:sz w:val="30"/>
          <w:szCs w:val="30"/>
          <w:spacing w:val="-50"/>
        </w:rPr>
        <w:t xml:space="preserve"> </w:t>
      </w:r>
      <w:r>
        <w:rPr>
          <w:rFonts w:ascii="KaiTi" w:hAnsi="KaiTi" w:eastAsia="KaiTi" w:cs="KaiTi"/>
          <w:sz w:val="30"/>
          <w:szCs w:val="30"/>
          <w:spacing w:val="-4"/>
        </w:rPr>
        <w:t>2</w:t>
      </w:r>
      <w:r>
        <w:rPr>
          <w:rFonts w:ascii="KaiTi" w:hAnsi="KaiTi" w:eastAsia="KaiTi" w:cs="KaiTi"/>
          <w:sz w:val="30"/>
          <w:szCs w:val="30"/>
          <w:spacing w:val="-4"/>
        </w:rPr>
        <w:t xml:space="preserve">  </w:t>
      </w:r>
      <w:r>
        <w:rPr>
          <w:rFonts w:ascii="KaiTi" w:hAnsi="KaiTi" w:eastAsia="KaiTi" w:cs="KaiTi"/>
          <w:sz w:val="30"/>
          <w:szCs w:val="30"/>
          <w:spacing w:val="-4"/>
        </w:rPr>
        <w:t>运营商在数字政府市场中标份额</w:t>
      </w:r>
    </w:p>
    <w:p>
      <w:pPr>
        <w:spacing w:line="245" w:lineRule="auto"/>
        <w:rPr>
          <w:rFonts w:ascii="Arial"/>
          <w:sz w:val="21"/>
        </w:rPr>
      </w:pPr>
      <w:r/>
    </w:p>
    <w:p>
      <w:pPr>
        <w:pStyle w:val="BodyText"/>
        <w:ind w:left="32" w:firstLine="596"/>
        <w:spacing w:before="97" w:line="260" w:lineRule="auto"/>
        <w:jc w:val="both"/>
        <w:rPr/>
      </w:pPr>
      <w:r>
        <w:rPr>
          <w:spacing w:val="-6"/>
        </w:rPr>
        <w:t>数字政府厂商的竞争力可总结为五大关键能力：企业影响力、</w:t>
      </w:r>
      <w:r>
        <w:rPr/>
        <w:t>商务拓展能力、产品技术能力、交付运维能力与生</w:t>
      </w:r>
      <w:r>
        <w:rPr>
          <w:spacing w:val="-1"/>
        </w:rPr>
        <w:t>态合作能力。</w:t>
      </w:r>
      <w:r>
        <w:rPr>
          <w:spacing w:val="-3"/>
        </w:rPr>
        <w:t>以下将从五大关键能力的建设角度对友商进行对比分析。</w:t>
      </w:r>
    </w:p>
    <w:p>
      <w:pPr>
        <w:spacing w:line="343" w:lineRule="auto"/>
        <w:rPr>
          <w:rFonts w:ascii="Arial"/>
          <w:sz w:val="21"/>
        </w:rPr>
      </w:pPr>
      <w:r/>
    </w:p>
    <w:p>
      <w:pPr>
        <w:ind w:left="675"/>
        <w:spacing w:before="101" w:line="224" w:lineRule="auto"/>
        <w:outlineLvl w:val="1"/>
        <w:rPr>
          <w:rFonts w:ascii="SimHei" w:hAnsi="SimHei" w:eastAsia="SimHei" w:cs="SimHei"/>
          <w:sz w:val="31"/>
          <w:szCs w:val="31"/>
        </w:rPr>
      </w:pPr>
      <w:r>
        <w:rPr>
          <w:rFonts w:ascii="SimHei" w:hAnsi="SimHei" w:eastAsia="SimHei" w:cs="SimHei"/>
          <w:sz w:val="31"/>
          <w:szCs w:val="31"/>
          <w:b/>
          <w:bCs/>
          <w:spacing w:val="7"/>
        </w:rPr>
        <w:t>一、友商数字政府市场关键能力建设举措对比</w:t>
      </w:r>
      <w:r>
        <w:rPr>
          <w:rFonts w:ascii="SimHei" w:hAnsi="SimHei" w:eastAsia="SimHei" w:cs="SimHei"/>
          <w:sz w:val="31"/>
          <w:szCs w:val="31"/>
          <w:b/>
          <w:bCs/>
          <w:spacing w:val="6"/>
        </w:rPr>
        <w:t>分析</w:t>
      </w:r>
    </w:p>
    <w:p>
      <w:pPr>
        <w:spacing w:line="273" w:lineRule="auto"/>
        <w:rPr>
          <w:rFonts w:ascii="Arial"/>
          <w:sz w:val="21"/>
        </w:rPr>
      </w:pPr>
      <w:r/>
    </w:p>
    <w:p>
      <w:pPr>
        <w:pStyle w:val="BodyText"/>
        <w:ind w:left="636"/>
        <w:spacing w:before="98" w:line="233" w:lineRule="auto"/>
        <w:outlineLvl w:val="2"/>
        <w:rPr/>
      </w:pPr>
      <w:r>
        <w:rPr>
          <w:rFonts w:ascii="Times New Roman" w:hAnsi="Times New Roman" w:eastAsia="Times New Roman" w:cs="Times New Roman"/>
          <w:b/>
          <w:bCs/>
          <w:spacing w:val="-5"/>
        </w:rPr>
        <w:t>1</w:t>
      </w:r>
      <w:r>
        <w:rPr>
          <w:b/>
          <w:bCs/>
          <w:spacing w:val="-5"/>
        </w:rPr>
        <w:t>．企业影响力</w:t>
      </w:r>
    </w:p>
    <w:p>
      <w:pPr>
        <w:pStyle w:val="BodyText"/>
        <w:ind w:left="26" w:right="256" w:firstLine="599"/>
        <w:spacing w:before="319" w:line="262" w:lineRule="auto"/>
        <w:rPr/>
      </w:pPr>
      <w:r>
        <w:rPr>
          <w:spacing w:val="-4"/>
        </w:rPr>
        <w:t>运营商在央企背书、企业规模、资质认证等方面能力</w:t>
      </w:r>
      <w:r>
        <w:rPr>
          <w:spacing w:val="-5"/>
        </w:rPr>
        <w:t>基本一</w:t>
      </w:r>
      <w:r>
        <w:rPr>
          <w:spacing w:val="-1"/>
        </w:rPr>
        <w:t>致，各家着重提升“行业影响力”和打造“标杆案例”。</w:t>
      </w:r>
    </w:p>
    <w:p>
      <w:pPr>
        <w:pStyle w:val="BodyText"/>
        <w:ind w:left="5" w:right="254" w:firstLine="624"/>
        <w:spacing w:before="272" w:line="259" w:lineRule="auto"/>
        <w:jc w:val="both"/>
        <w:rPr/>
      </w:pPr>
      <w:r>
        <w:rPr>
          <w:spacing w:val="4"/>
        </w:rPr>
        <w:t>为提升行业影响力，中国联通积极参与行业权威奖项</w:t>
      </w:r>
      <w:r>
        <w:rPr>
          <w:rFonts w:ascii="Times New Roman" w:hAnsi="Times New Roman" w:eastAsia="Times New Roman" w:cs="Times New Roman"/>
          <w:spacing w:val="4"/>
        </w:rPr>
        <w:t>/</w:t>
      </w:r>
      <w:r>
        <w:rPr>
          <w:spacing w:val="4"/>
        </w:rPr>
        <w:t>评选</w:t>
      </w:r>
      <w:r>
        <w:rPr>
          <w:spacing w:val="-3"/>
        </w:rPr>
        <w:t>和行业标准编制，在业内权威机构的关键能力评选中处于运</w:t>
      </w:r>
      <w:r>
        <w:rPr>
          <w:spacing w:val="-4"/>
        </w:rPr>
        <w:t>营商</w:t>
      </w:r>
      <w:r>
        <w:rPr>
          <w:spacing w:val="-3"/>
        </w:rPr>
        <w:t>行业领先地位；中国移动从国家顶层设计和行业规范入</w:t>
      </w:r>
      <w:r>
        <w:rPr>
          <w:spacing w:val="-4"/>
        </w:rPr>
        <w:t>手，参与</w:t>
      </w:r>
      <w:r>
        <w:rPr>
          <w:spacing w:val="-6"/>
        </w:rPr>
        <w:t>“国考”</w:t>
      </w:r>
      <w:r>
        <w:rPr>
          <w:rFonts w:ascii="Times New Roman" w:hAnsi="Times New Roman" w:eastAsia="Times New Roman" w:cs="Times New Roman"/>
          <w:sz w:val="18"/>
          <w:szCs w:val="18"/>
          <w:spacing w:val="-6"/>
          <w:position w:val="10"/>
        </w:rPr>
        <w:t>4</w:t>
      </w:r>
      <w:r>
        <w:rPr>
          <w:spacing w:val="-6"/>
        </w:rPr>
        <w:t>评估、国务院数字政府建设指导意见编制、技术标准与</w:t>
      </w:r>
      <w:r>
        <w:rPr>
          <w:spacing w:val="-5"/>
        </w:rPr>
        <w:t>规范制定等。</w:t>
      </w:r>
    </w:p>
    <w:p>
      <w:pPr>
        <w:pStyle w:val="BodyText"/>
        <w:ind w:left="25" w:right="255" w:firstLine="599"/>
        <w:spacing w:before="272" w:line="259" w:lineRule="auto"/>
        <w:jc w:val="both"/>
        <w:rPr/>
      </w:pPr>
      <w:r>
        <w:rPr>
          <w:spacing w:val="-1"/>
        </w:rPr>
        <w:t>在打造标杆案例项目方面，中国联通自</w:t>
      </w:r>
      <w:r>
        <w:rPr>
          <w:spacing w:val="-39"/>
        </w:rPr>
        <w:t xml:space="preserve"> </w:t>
      </w:r>
      <w:r>
        <w:rPr>
          <w:rFonts w:ascii="Times New Roman" w:hAnsi="Times New Roman" w:eastAsia="Times New Roman" w:cs="Times New Roman"/>
          <w:spacing w:val="-1"/>
        </w:rPr>
        <w:t>2017</w:t>
      </w:r>
      <w:r>
        <w:rPr>
          <w:rFonts w:ascii="Times New Roman" w:hAnsi="Times New Roman" w:eastAsia="Times New Roman" w:cs="Times New Roman"/>
          <w:spacing w:val="42"/>
          <w:w w:val="101"/>
        </w:rPr>
        <w:t xml:space="preserve"> </w:t>
      </w:r>
      <w:r>
        <w:rPr>
          <w:spacing w:val="-2"/>
        </w:rPr>
        <w:t>年起，以政企</w:t>
      </w:r>
      <w:r>
        <w:rPr>
          <w:spacing w:val="-4"/>
        </w:rPr>
        <w:t>合作方式参与广东数字政府建设，将“数字政府”作为省市区县</w:t>
      </w:r>
      <w:r>
        <w:rPr>
          <w:spacing w:val="-4"/>
        </w:rPr>
        <w:t>各级一号工程，打造标杆，全国推广。中国移动投资建设“数字</w:t>
      </w:r>
      <w:r>
        <w:rPr>
          <w:spacing w:val="-4"/>
        </w:rPr>
        <w:t>甘肃”省级标杆和“沈阳数字政府”市级标杆，在多个场景打造</w:t>
      </w:r>
      <w:r>
        <w:rPr>
          <w:spacing w:val="-9"/>
        </w:rPr>
        <w:t>案例，助力甘肃实现国考排名上升。以甘肃案例为示范牵引， 中</w:t>
      </w:r>
    </w:p>
    <w:p>
      <w:pPr>
        <w:spacing w:line="339" w:lineRule="auto"/>
        <w:rPr>
          <w:rFonts w:ascii="Arial"/>
          <w:sz w:val="21"/>
        </w:rPr>
      </w:pPr>
      <w:r>
        <w:pict>
          <v:shape id="_x0000_s4" style="position:absolute;margin-left:0.72599pt;margin-top:12.2525pt;mso-position-vertical-relative:text;mso-position-horizontal-relative:text;width:144.05pt;height:0.5pt;z-index:251659264;" fillcolor="#000000" filled="true" stroked="false" coordsize="2881,10" coordorigin="0,0" path="m0,9l2880,9l2880,0l0,0l0,9xe"/>
        </w:pict>
      </w:r>
      <w:r/>
    </w:p>
    <w:p>
      <w:pPr>
        <w:ind w:left="6" w:right="415" w:firstLine="8"/>
        <w:spacing w:before="69" w:line="256" w:lineRule="auto"/>
        <w:rPr>
          <w:rFonts w:ascii="KaiTi" w:hAnsi="KaiTi" w:eastAsia="KaiTi" w:cs="KaiTi"/>
          <w:sz w:val="21"/>
          <w:szCs w:val="21"/>
        </w:rPr>
      </w:pPr>
      <w:r>
        <w:rPr>
          <w:rFonts w:ascii="KaiTi" w:hAnsi="KaiTi" w:eastAsia="KaiTi" w:cs="KaiTi"/>
          <w:sz w:val="11"/>
          <w:szCs w:val="11"/>
          <w:position w:val="10"/>
        </w:rPr>
        <w:t>4</w:t>
      </w:r>
      <w:r>
        <w:rPr>
          <w:rFonts w:ascii="KaiTi" w:hAnsi="KaiTi" w:eastAsia="KaiTi" w:cs="KaiTi"/>
          <w:sz w:val="11"/>
          <w:szCs w:val="11"/>
          <w:position w:val="10"/>
        </w:rPr>
        <w:t xml:space="preserve">  </w:t>
      </w:r>
      <w:r>
        <w:rPr>
          <w:rFonts w:ascii="KaiTi" w:hAnsi="KaiTi" w:eastAsia="KaiTi" w:cs="KaiTi"/>
          <w:sz w:val="21"/>
          <w:szCs w:val="21"/>
        </w:rPr>
        <w:t>指由国办委托中央党校开展的年度省级政府和重点城市一体化政务服务能力（政务服务</w:t>
      </w:r>
      <w:r>
        <w:rPr>
          <w:rFonts w:ascii="KaiTi" w:hAnsi="KaiTi" w:eastAsia="KaiTi" w:cs="KaiTi"/>
          <w:sz w:val="21"/>
          <w:szCs w:val="21"/>
          <w:spacing w:val="-7"/>
        </w:rPr>
        <w:t>“好差评”）第三方调查评估。</w:t>
      </w:r>
    </w:p>
    <w:p>
      <w:pPr>
        <w:spacing w:line="256" w:lineRule="auto"/>
        <w:sectPr>
          <w:pgSz w:w="11907" w:h="16839"/>
          <w:pgMar w:top="1431" w:right="1543" w:bottom="0" w:left="1785" w:header="0" w:footer="0" w:gutter="0"/>
        </w:sectPr>
        <w:rPr>
          <w:rFonts w:ascii="KaiTi" w:hAnsi="KaiTi" w:eastAsia="KaiTi" w:cs="KaiTi"/>
          <w:sz w:val="21"/>
          <w:szCs w:val="21"/>
        </w:rPr>
      </w:pPr>
    </w:p>
    <w:p>
      <w:pPr>
        <w:pStyle w:val="BodyText"/>
        <w:ind w:left="27"/>
        <w:spacing w:before="86" w:line="233" w:lineRule="auto"/>
        <w:rPr/>
      </w:pPr>
      <w:r>
        <w:rPr>
          <w:spacing w:val="-3"/>
        </w:rPr>
        <w:t>移动</w:t>
      </w:r>
      <w:r>
        <w:rPr>
          <w:spacing w:val="-61"/>
        </w:rPr>
        <w:t xml:space="preserve"> </w:t>
      </w:r>
      <w:r>
        <w:rPr>
          <w:rFonts w:ascii="Times New Roman" w:hAnsi="Times New Roman" w:eastAsia="Times New Roman" w:cs="Times New Roman"/>
          <w:spacing w:val="-3"/>
        </w:rPr>
        <w:t>2022 </w:t>
      </w:r>
      <w:r>
        <w:rPr>
          <w:spacing w:val="-3"/>
        </w:rPr>
        <w:t>上半年新增数字政府项目达</w:t>
      </w:r>
      <w:r>
        <w:rPr>
          <w:spacing w:val="-40"/>
        </w:rPr>
        <w:t xml:space="preserve"> </w:t>
      </w:r>
      <w:r>
        <w:rPr>
          <w:rFonts w:ascii="Times New Roman" w:hAnsi="Times New Roman" w:eastAsia="Times New Roman" w:cs="Times New Roman"/>
          <w:spacing w:val="-3"/>
        </w:rPr>
        <w:t>146 </w:t>
      </w:r>
      <w:r>
        <w:rPr>
          <w:spacing w:val="-3"/>
        </w:rPr>
        <w:t>个。</w:t>
      </w:r>
    </w:p>
    <w:p>
      <w:pPr>
        <w:ind w:firstLine="14"/>
        <w:spacing w:before="88" w:line="4118" w:lineRule="exact"/>
        <w:rPr/>
      </w:pPr>
      <w:r>
        <w:rPr>
          <w:position w:val="-82"/>
        </w:rPr>
        <w:drawing>
          <wp:inline distT="0" distB="0" distL="0" distR="0">
            <wp:extent cx="5224271" cy="2615183"/>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5224271" cy="2615183"/>
                    </a:xfrm>
                    <a:prstGeom prst="rect">
                      <a:avLst/>
                    </a:prstGeom>
                  </pic:spPr>
                </pic:pic>
              </a:graphicData>
            </a:graphic>
          </wp:inline>
        </w:drawing>
      </w:r>
    </w:p>
    <w:p>
      <w:pPr>
        <w:spacing w:line="383" w:lineRule="auto"/>
        <w:rPr>
          <w:rFonts w:ascii="Arial"/>
          <w:sz w:val="21"/>
        </w:rPr>
      </w:pPr>
      <w:r/>
    </w:p>
    <w:p>
      <w:pPr>
        <w:pStyle w:val="BodyText"/>
        <w:ind w:left="624"/>
        <w:spacing w:before="97" w:line="233" w:lineRule="auto"/>
        <w:outlineLvl w:val="2"/>
        <w:rPr/>
      </w:pPr>
      <w:r>
        <w:rPr>
          <w:rFonts w:ascii="Times New Roman" w:hAnsi="Times New Roman" w:eastAsia="Times New Roman" w:cs="Times New Roman"/>
          <w:b/>
          <w:bCs/>
          <w:spacing w:val="-3"/>
        </w:rPr>
        <w:t>2</w:t>
      </w:r>
      <w:r>
        <w:rPr>
          <w:b/>
          <w:bCs/>
          <w:spacing w:val="-3"/>
        </w:rPr>
        <w:t>．商务拓展能力</w:t>
      </w:r>
    </w:p>
    <w:p>
      <w:pPr>
        <w:pStyle w:val="BodyText"/>
        <w:ind w:left="28" w:right="234" w:firstLine="597"/>
        <w:spacing w:before="322" w:line="260" w:lineRule="auto"/>
        <w:rPr/>
      </w:pPr>
      <w:r>
        <w:rPr>
          <w:spacing w:val="-4"/>
        </w:rPr>
        <w:t>运营商商机获取能力建设主要方向为：①顶设咨询</w:t>
      </w:r>
      <w:r>
        <w:rPr>
          <w:spacing w:val="-5"/>
        </w:rPr>
        <w:t>能力；②</w:t>
      </w:r>
      <w:r>
        <w:rPr>
          <w:spacing w:val="-5"/>
        </w:rPr>
        <w:t>客情维系抢先触达商机。</w:t>
      </w:r>
    </w:p>
    <w:p>
      <w:pPr>
        <w:pStyle w:val="BodyText"/>
        <w:ind w:left="25" w:firstLine="635"/>
        <w:spacing w:before="273" w:line="259" w:lineRule="auto"/>
        <w:jc w:val="both"/>
        <w:rPr/>
      </w:pPr>
      <w:r>
        <w:rPr>
          <w:spacing w:val="-6"/>
        </w:rPr>
        <w:t>以顶设咨询服务引领客户需求，嵌入自有能力标准，成为各</w:t>
      </w:r>
      <w:r>
        <w:rPr>
          <w:spacing w:val="-4"/>
        </w:rPr>
        <w:t>类厂商在数字政府市场拓展模式上的共同选择。为此，中国联通</w:t>
      </w:r>
      <w:r>
        <w:rPr>
          <w:spacing w:val="-6"/>
        </w:rPr>
        <w:t>在集团层面提供顶设咨询服务，省级层面增强本省政策解读能力，</w:t>
      </w:r>
      <w:r>
        <w:rPr>
          <w:spacing w:val="1"/>
        </w:rPr>
        <w:t>地市层面强化业务学习和方案宣讲能力。中国移动通过自建</w:t>
      </w:r>
      <w:r>
        <w:rPr>
          <w:rFonts w:ascii="Times New Roman" w:hAnsi="Times New Roman" w:eastAsia="Times New Roman" w:cs="Times New Roman"/>
          <w:spacing w:val="1"/>
        </w:rPr>
        <w:t>+</w:t>
      </w:r>
      <w:r>
        <w:rPr>
          <w:spacing w:val="1"/>
        </w:rPr>
        <w:t>生</w:t>
      </w:r>
      <w:r>
        <w:rPr/>
        <w:t>态方式组建顶设规划咨询队伍，承接省、市各级转型顶层设计、</w:t>
      </w:r>
      <w:r>
        <w:rPr>
          <w:spacing w:val="-8"/>
        </w:rPr>
        <w:t>基础设施规划咨询、集成方案设计，</w:t>
      </w:r>
      <w:r>
        <w:rPr>
          <w:spacing w:val="-32"/>
        </w:rPr>
        <w:t xml:space="preserve"> </w:t>
      </w:r>
      <w:r>
        <w:rPr>
          <w:spacing w:val="-8"/>
        </w:rPr>
        <w:t>在方案中优先融合自有网络</w:t>
      </w:r>
      <w:r>
        <w:rPr>
          <w:spacing w:val="-1"/>
        </w:rPr>
        <w:t>资源、云底座和平台核心应用。</w:t>
      </w:r>
    </w:p>
    <w:p>
      <w:pPr>
        <w:pStyle w:val="BodyText"/>
        <w:ind w:left="26" w:right="147" w:firstLine="602"/>
        <w:spacing w:before="275" w:line="259" w:lineRule="auto"/>
        <w:jc w:val="both"/>
        <w:rPr/>
      </w:pPr>
      <w:r>
        <w:rPr>
          <w:spacing w:val="-1"/>
        </w:rPr>
        <w:t>客情是数字政府市场重要的商机来源，友商强化客情维系，</w:t>
      </w:r>
      <w:r>
        <w:rPr>
          <w:spacing w:val="-9"/>
        </w:rPr>
        <w:t>深驻点、跟立项。以广东省为例， 联通面向政数局，由各级一把</w:t>
      </w:r>
      <w:r>
        <w:rPr>
          <w:spacing w:val="-4"/>
        </w:rPr>
        <w:t>手直接负责客情沟通，长期派驻人员获取商机信息，成立省、市</w:t>
      </w:r>
      <w:r>
        <w:rPr>
          <w:spacing w:val="-4"/>
        </w:rPr>
        <w:t>级行业军团和产互专职团队进行服务保障。移动要求各地市驻点</w:t>
      </w:r>
      <w:r>
        <w:rPr>
          <w:rFonts w:ascii="Times New Roman" w:hAnsi="Times New Roman" w:eastAsia="Times New Roman" w:cs="Times New Roman"/>
          <w:spacing w:val="-1"/>
        </w:rPr>
        <w:t>3 </w:t>
      </w:r>
      <w:r>
        <w:rPr>
          <w:spacing w:val="-1"/>
        </w:rPr>
        <w:t>个以上重要厅局，获取立项明细，参与主攻项目的预算</w:t>
      </w:r>
      <w:r>
        <w:rPr>
          <w:spacing w:val="-2"/>
        </w:rPr>
        <w:t>立项方</w:t>
      </w:r>
      <w:r>
        <w:rPr>
          <w:spacing w:val="-11"/>
        </w:rPr>
        <w:t>案制定。</w:t>
      </w:r>
    </w:p>
    <w:p>
      <w:pPr>
        <w:spacing w:line="259" w:lineRule="auto"/>
        <w:sectPr>
          <w:pgSz w:w="11907" w:h="16839"/>
          <w:pgMar w:top="1431" w:right="1565" w:bottom="0" w:left="1785" w:header="0" w:footer="0" w:gutter="0"/>
        </w:sectPr>
        <w:rPr/>
      </w:pPr>
    </w:p>
    <w:p>
      <w:pPr>
        <w:ind w:firstLine="14"/>
        <w:spacing w:before="95" w:line="9801" w:lineRule="exact"/>
        <w:rPr/>
      </w:pPr>
      <w:r>
        <w:rPr>
          <w:position w:val="-196"/>
        </w:rPr>
        <w:drawing>
          <wp:inline distT="0" distB="0" distL="0" distR="0">
            <wp:extent cx="5265420" cy="6224015"/>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5265420" cy="6224015"/>
                    </a:xfrm>
                    <a:prstGeom prst="rect">
                      <a:avLst/>
                    </a:prstGeom>
                  </pic:spPr>
                </pic:pic>
              </a:graphicData>
            </a:graphic>
          </wp:inline>
        </w:drawing>
      </w:r>
    </w:p>
    <w:p>
      <w:pPr>
        <w:spacing w:line="355" w:lineRule="auto"/>
        <w:rPr>
          <w:rFonts w:ascii="Arial"/>
          <w:sz w:val="21"/>
        </w:rPr>
      </w:pPr>
      <w:r/>
    </w:p>
    <w:p>
      <w:pPr>
        <w:pStyle w:val="BodyText"/>
        <w:ind w:left="621"/>
        <w:spacing w:before="98" w:line="233" w:lineRule="auto"/>
        <w:outlineLvl w:val="2"/>
        <w:rPr/>
      </w:pPr>
      <w:r>
        <w:rPr>
          <w:rFonts w:ascii="Times New Roman" w:hAnsi="Times New Roman" w:eastAsia="Times New Roman" w:cs="Times New Roman"/>
          <w:b/>
          <w:bCs/>
          <w:spacing w:val="-3"/>
        </w:rPr>
        <w:t>3</w:t>
      </w:r>
      <w:r>
        <w:rPr>
          <w:b/>
          <w:bCs/>
          <w:spacing w:val="-3"/>
        </w:rPr>
        <w:t>．产品技术能力</w:t>
      </w:r>
    </w:p>
    <w:p>
      <w:pPr>
        <w:pStyle w:val="BodyText"/>
        <w:ind w:left="26" w:firstLine="607"/>
        <w:spacing w:before="321" w:line="263" w:lineRule="auto"/>
        <w:jc w:val="both"/>
        <w:rPr/>
      </w:pPr>
      <w:r>
        <w:rPr>
          <w:spacing w:val="-5"/>
        </w:rPr>
        <w:t>强化自主产品研发能力成为运营商的共性认识。中国联通长</w:t>
      </w:r>
      <w:r>
        <w:rPr>
          <w:spacing w:val="-10"/>
        </w:rPr>
        <w:t>期重视自研能力建设，以“围绕自研产品搭建</w:t>
      </w:r>
      <w:r>
        <w:rPr>
          <w:spacing w:val="-11"/>
        </w:rPr>
        <w:t>解决方案”为目标，</w:t>
      </w:r>
      <w:r>
        <w:rPr/>
        <w:t>打造统一数字化研发平台，重点产品集约开发，目前各省产互、</w:t>
      </w:r>
      <w:r>
        <w:rPr>
          <w:spacing w:val="-3"/>
        </w:rPr>
        <w:t>集成公司自研产品已实现</w:t>
      </w:r>
      <w:r>
        <w:rPr>
          <w:spacing w:val="-31"/>
        </w:rPr>
        <w:t xml:space="preserve"> </w:t>
      </w:r>
      <w:r>
        <w:rPr>
          <w:rFonts w:ascii="Times New Roman" w:hAnsi="Times New Roman" w:eastAsia="Times New Roman" w:cs="Times New Roman"/>
          <w:spacing w:val="-3"/>
        </w:rPr>
        <w:t>100%</w:t>
      </w:r>
      <w:r>
        <w:rPr>
          <w:spacing w:val="-3"/>
        </w:rPr>
        <w:t>覆盖。</w:t>
      </w:r>
    </w:p>
    <w:p>
      <w:pPr>
        <w:pStyle w:val="BodyText"/>
        <w:ind w:left="27" w:right="107" w:firstLine="597"/>
        <w:spacing w:before="248" w:line="261" w:lineRule="auto"/>
        <w:rPr/>
      </w:pPr>
      <w:r>
        <w:rPr>
          <w:spacing w:val="-5"/>
        </w:rPr>
        <w:t>截至</w:t>
      </w:r>
      <w:r>
        <w:rPr>
          <w:spacing w:val="-70"/>
        </w:rPr>
        <w:t xml:space="preserve"> </w:t>
      </w:r>
      <w:r>
        <w:rPr>
          <w:rFonts w:ascii="Times New Roman" w:hAnsi="Times New Roman" w:eastAsia="Times New Roman" w:cs="Times New Roman"/>
          <w:spacing w:val="-5"/>
        </w:rPr>
        <w:t>2022 </w:t>
      </w:r>
      <w:r>
        <w:rPr>
          <w:spacing w:val="-5"/>
        </w:rPr>
        <w:t>年</w:t>
      </w:r>
      <w:r>
        <w:rPr>
          <w:spacing w:val="-61"/>
        </w:rPr>
        <w:t xml:space="preserve"> </w:t>
      </w:r>
      <w:r>
        <w:rPr>
          <w:rFonts w:ascii="Times New Roman" w:hAnsi="Times New Roman" w:eastAsia="Times New Roman" w:cs="Times New Roman"/>
          <w:spacing w:val="-5"/>
        </w:rPr>
        <w:t>5</w:t>
      </w:r>
      <w:r>
        <w:rPr>
          <w:rFonts w:ascii="Times New Roman" w:hAnsi="Times New Roman" w:eastAsia="Times New Roman" w:cs="Times New Roman"/>
          <w:spacing w:val="19"/>
          <w:w w:val="101"/>
        </w:rPr>
        <w:t xml:space="preserve"> </w:t>
      </w:r>
      <w:r>
        <w:rPr>
          <w:spacing w:val="-5"/>
        </w:rPr>
        <w:t>月，联通数字政府行业自研产品中标金额</w:t>
      </w:r>
      <w:r>
        <w:rPr>
          <w:spacing w:val="-69"/>
        </w:rPr>
        <w:t xml:space="preserve"> </w:t>
      </w:r>
      <w:r>
        <w:rPr>
          <w:rFonts w:ascii="Times New Roman" w:hAnsi="Times New Roman" w:eastAsia="Times New Roman" w:cs="Times New Roman"/>
          <w:spacing w:val="-5"/>
        </w:rPr>
        <w:t>2.4</w:t>
      </w:r>
      <w:r>
        <w:rPr>
          <w:spacing w:val="-4"/>
        </w:rPr>
        <w:t>亿，同比</w:t>
      </w:r>
      <w:r>
        <w:rPr>
          <w:rFonts w:ascii="Times New Roman" w:hAnsi="Times New Roman" w:eastAsia="Times New Roman" w:cs="Times New Roman"/>
          <w:spacing w:val="-4"/>
        </w:rPr>
        <w:t>+2%</w:t>
      </w:r>
      <w:r>
        <w:rPr>
          <w:spacing w:val="-4"/>
        </w:rPr>
        <w:t>，占行业收入比</w:t>
      </w:r>
      <w:r>
        <w:rPr>
          <w:spacing w:val="-56"/>
        </w:rPr>
        <w:t xml:space="preserve"> </w:t>
      </w:r>
      <w:r>
        <w:rPr>
          <w:rFonts w:ascii="Times New Roman" w:hAnsi="Times New Roman" w:eastAsia="Times New Roman" w:cs="Times New Roman"/>
          <w:spacing w:val="-4"/>
        </w:rPr>
        <w:t>25%</w:t>
      </w:r>
      <w:r>
        <w:rPr>
          <w:spacing w:val="-4"/>
        </w:rPr>
        <w:t>。中国移动在研发方面对生态</w:t>
      </w:r>
    </w:p>
    <w:p>
      <w:pPr>
        <w:spacing w:line="261" w:lineRule="auto"/>
        <w:sectPr>
          <w:pgSz w:w="11907" w:h="16839"/>
          <w:pgMar w:top="1431" w:right="1691" w:bottom="0" w:left="1785" w:header="0" w:footer="0" w:gutter="0"/>
        </w:sectPr>
        <w:rPr/>
      </w:pPr>
    </w:p>
    <w:p>
      <w:pPr>
        <w:pStyle w:val="BodyText"/>
        <w:ind w:left="28" w:right="68"/>
        <w:spacing w:before="85" w:line="261" w:lineRule="auto"/>
        <w:rPr/>
      </w:pPr>
      <w:r>
        <w:rPr>
          <w:spacing w:val="-1"/>
        </w:rPr>
        <w:t>依赖度较高，为提升自主研发能力，中移动成立产品研发中心，</w:t>
      </w:r>
      <w:r>
        <w:rPr>
          <w:spacing w:val="-3"/>
        </w:rPr>
        <w:t>主力开展大数据、</w:t>
      </w:r>
      <w:r>
        <w:rPr>
          <w:rFonts w:ascii="Times New Roman" w:hAnsi="Times New Roman" w:eastAsia="Times New Roman" w:cs="Times New Roman"/>
          <w:spacing w:val="-3"/>
        </w:rPr>
        <w:t>AI</w:t>
      </w:r>
      <w:r>
        <w:rPr>
          <w:rFonts w:ascii="Times New Roman" w:hAnsi="Times New Roman" w:eastAsia="Times New Roman" w:cs="Times New Roman"/>
          <w:spacing w:val="19"/>
        </w:rPr>
        <w:t xml:space="preserve"> </w:t>
      </w:r>
      <w:r>
        <w:rPr>
          <w:spacing w:val="-3"/>
        </w:rPr>
        <w:t>智能分析产品的研发</w:t>
      </w:r>
      <w:r>
        <w:rPr>
          <w:spacing w:val="-4"/>
        </w:rPr>
        <w:t>和优化。</w:t>
      </w:r>
    </w:p>
    <w:p>
      <w:pPr>
        <w:pStyle w:val="BodyText"/>
        <w:ind w:left="26" w:right="152" w:firstLine="598"/>
        <w:spacing w:before="270" w:line="259" w:lineRule="auto"/>
        <w:rPr/>
      </w:pPr>
      <w:r>
        <w:rPr>
          <w:spacing w:val="-4"/>
        </w:rPr>
        <w:t>在解决方案能力建设方面，运营商均可提供云网基础、</w:t>
      </w:r>
      <w:r>
        <w:rPr>
          <w:spacing w:val="-5"/>
        </w:rPr>
        <w:t>数据</w:t>
      </w:r>
      <w:r>
        <w:rPr>
          <w:spacing w:val="-11"/>
        </w:rPr>
        <w:t>服务、应用支撑、行业应用等场景化、</w:t>
      </w:r>
      <w:r>
        <w:rPr>
          <w:spacing w:val="49"/>
        </w:rPr>
        <w:t xml:space="preserve"> </w:t>
      </w:r>
      <w:r>
        <w:rPr>
          <w:spacing w:val="-11"/>
        </w:rPr>
        <w:t>一体化解决方案，基本实</w:t>
      </w:r>
      <w:r>
        <w:rPr>
          <w:spacing w:val="-2"/>
        </w:rPr>
        <w:t>现</w:t>
      </w:r>
      <w:r>
        <w:rPr>
          <w:spacing w:val="-16"/>
        </w:rPr>
        <w:t xml:space="preserve"> </w:t>
      </w:r>
      <w:r>
        <w:rPr>
          <w:rFonts w:ascii="Times New Roman" w:hAnsi="Times New Roman" w:eastAsia="Times New Roman" w:cs="Times New Roman"/>
          <w:spacing w:val="-2"/>
        </w:rPr>
        <w:t>64</w:t>
      </w:r>
      <w:r>
        <w:rPr>
          <w:rFonts w:ascii="Times New Roman" w:hAnsi="Times New Roman" w:eastAsia="Times New Roman" w:cs="Times New Roman"/>
          <w:spacing w:val="40"/>
        </w:rPr>
        <w:t xml:space="preserve"> </w:t>
      </w:r>
      <w:r>
        <w:rPr>
          <w:spacing w:val="-2"/>
        </w:rPr>
        <w:t>委办局业务领域全覆盖。中国联通在政务云网、大数据、</w:t>
      </w:r>
      <w:r>
        <w:rPr>
          <w:spacing w:val="-8"/>
        </w:rPr>
        <w:t>安全解决方案领域积累了优势。中国移动联合生态，</w:t>
      </w:r>
      <w:r>
        <w:rPr>
          <w:spacing w:val="-35"/>
        </w:rPr>
        <w:t xml:space="preserve"> </w:t>
      </w:r>
      <w:r>
        <w:rPr>
          <w:spacing w:val="-8"/>
        </w:rPr>
        <w:t>主攻政务大</w:t>
      </w:r>
      <w:r>
        <w:rPr>
          <w:spacing w:val="-9"/>
        </w:rPr>
        <w:t>数据、政务协同、公共服务和社会管理领域， 同时强调以客户需</w:t>
      </w:r>
      <w:r>
        <w:rPr>
          <w:spacing w:val="-4"/>
        </w:rPr>
        <w:t>求为中心的产品和方案创新。</w:t>
      </w:r>
    </w:p>
    <w:p>
      <w:pPr>
        <w:ind w:firstLine="326"/>
        <w:spacing w:before="200" w:line="5159" w:lineRule="exact"/>
        <w:rPr/>
      </w:pPr>
      <w:r>
        <w:rPr>
          <w:position w:val="-103"/>
        </w:rPr>
        <w:drawing>
          <wp:inline distT="0" distB="0" distL="0" distR="0">
            <wp:extent cx="4872228" cy="3276439"/>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4872228" cy="3276439"/>
                    </a:xfrm>
                    <a:prstGeom prst="rect">
                      <a:avLst/>
                    </a:prstGeom>
                  </pic:spPr>
                </pic:pic>
              </a:graphicData>
            </a:graphic>
          </wp:inline>
        </w:drawing>
      </w:r>
    </w:p>
    <w:p>
      <w:pPr>
        <w:spacing w:line="400" w:lineRule="auto"/>
        <w:rPr>
          <w:rFonts w:ascii="Arial"/>
          <w:sz w:val="21"/>
        </w:rPr>
      </w:pPr>
      <w:r/>
    </w:p>
    <w:p>
      <w:pPr>
        <w:pStyle w:val="BodyText"/>
        <w:ind w:left="624"/>
        <w:spacing w:before="98" w:line="233" w:lineRule="auto"/>
        <w:outlineLvl w:val="2"/>
        <w:rPr/>
      </w:pPr>
      <w:r>
        <w:rPr>
          <w:rFonts w:ascii="Times New Roman" w:hAnsi="Times New Roman" w:eastAsia="Times New Roman" w:cs="Times New Roman"/>
          <w:b/>
          <w:bCs/>
          <w:spacing w:val="-3"/>
        </w:rPr>
        <w:t>4</w:t>
      </w:r>
      <w:r>
        <w:rPr>
          <w:b/>
          <w:bCs/>
          <w:spacing w:val="-3"/>
        </w:rPr>
        <w:t>．交付运维能力</w:t>
      </w:r>
    </w:p>
    <w:p>
      <w:pPr>
        <w:pStyle w:val="BodyText"/>
        <w:ind w:left="25" w:firstLine="605"/>
        <w:spacing w:before="317" w:line="259" w:lineRule="auto"/>
        <w:jc w:val="both"/>
        <w:rPr/>
      </w:pPr>
      <w:r>
        <w:rPr>
          <w:spacing w:val="-5"/>
        </w:rPr>
        <w:t>该项能力的建设重点是“本地化”，以实现按时交付和及时</w:t>
      </w:r>
      <w:r>
        <w:rPr>
          <w:spacing w:val="-2"/>
        </w:rPr>
        <w:t>服务。中国联通强调自主交付能力，提出到</w:t>
      </w:r>
      <w:r>
        <w:rPr>
          <w:spacing w:val="-60"/>
        </w:rPr>
        <w:t xml:space="preserve"> </w:t>
      </w:r>
      <w:r>
        <w:rPr>
          <w:rFonts w:ascii="Times New Roman" w:hAnsi="Times New Roman" w:eastAsia="Times New Roman" w:cs="Times New Roman"/>
          <w:spacing w:val="-2"/>
        </w:rPr>
        <w:t>2023</w:t>
      </w:r>
      <w:r>
        <w:rPr>
          <w:rFonts w:ascii="Times New Roman" w:hAnsi="Times New Roman" w:eastAsia="Times New Roman" w:cs="Times New Roman"/>
          <w:spacing w:val="21"/>
        </w:rPr>
        <w:t xml:space="preserve"> </w:t>
      </w:r>
      <w:r>
        <w:rPr>
          <w:spacing w:val="-2"/>
        </w:rPr>
        <w:t>年</w:t>
      </w:r>
      <w:r>
        <w:rPr>
          <w:spacing w:val="-61"/>
        </w:rPr>
        <w:t xml:space="preserve"> </w:t>
      </w:r>
      <w:r>
        <w:rPr>
          <w:rFonts w:ascii="Times New Roman" w:hAnsi="Times New Roman" w:eastAsia="Times New Roman" w:cs="Times New Roman"/>
          <w:spacing w:val="-2"/>
        </w:rPr>
        <w:t>ICT</w:t>
      </w:r>
      <w:r>
        <w:rPr>
          <w:rFonts w:ascii="Times New Roman" w:hAnsi="Times New Roman" w:eastAsia="Times New Roman" w:cs="Times New Roman"/>
          <w:spacing w:val="23"/>
        </w:rPr>
        <w:t xml:space="preserve"> </w:t>
      </w:r>
      <w:r>
        <w:rPr>
          <w:spacing w:val="-2"/>
        </w:rPr>
        <w:t>项目自</w:t>
      </w:r>
      <w:r>
        <w:rPr>
          <w:spacing w:val="-5"/>
        </w:rPr>
        <w:t>主实施率超</w:t>
      </w:r>
      <w:r>
        <w:rPr>
          <w:spacing w:val="-60"/>
        </w:rPr>
        <w:t xml:space="preserve"> </w:t>
      </w:r>
      <w:r>
        <w:rPr>
          <w:rFonts w:ascii="Times New Roman" w:hAnsi="Times New Roman" w:eastAsia="Times New Roman" w:cs="Times New Roman"/>
          <w:spacing w:val="-5"/>
        </w:rPr>
        <w:t>60%</w:t>
      </w:r>
      <w:r>
        <w:rPr>
          <w:spacing w:val="-5"/>
        </w:rPr>
        <w:t>的目标，依托各省产互分公司建立自主产品区域</w:t>
      </w:r>
      <w:r>
        <w:rPr/>
        <w:t>交付中心，同时建立集团</w:t>
      </w:r>
      <w:r>
        <w:rPr>
          <w:rFonts w:ascii="Times New Roman" w:hAnsi="Times New Roman" w:eastAsia="Times New Roman" w:cs="Times New Roman"/>
        </w:rPr>
        <w:t>-</w:t>
      </w:r>
      <w:r>
        <w:rPr/>
        <w:t>省</w:t>
      </w:r>
      <w:r>
        <w:rPr>
          <w:rFonts w:ascii="Times New Roman" w:hAnsi="Times New Roman" w:eastAsia="Times New Roman" w:cs="Times New Roman"/>
        </w:rPr>
        <w:t>-</w:t>
      </w:r>
      <w:r>
        <w:rPr/>
        <w:t>市</w:t>
      </w:r>
      <w:r>
        <w:rPr>
          <w:rFonts w:ascii="Times New Roman" w:hAnsi="Times New Roman" w:eastAsia="Times New Roman" w:cs="Times New Roman"/>
        </w:rPr>
        <w:t>-</w:t>
      </w:r>
      <w:r>
        <w:rPr/>
        <w:t>区县联动的多级支撑能力体系。</w:t>
      </w:r>
      <w:r>
        <w:rPr>
          <w:spacing w:val="-4"/>
        </w:rPr>
        <w:t>中国移动通过各地集成公司负责本地化交付和运维，每个项目由</w:t>
      </w:r>
      <w:r>
        <w:rPr/>
        <w:t>专属的交付经理跟进，带领自有人员或生态交付团队进行</w:t>
      </w:r>
      <w:r>
        <w:rPr>
          <w:spacing w:val="-1"/>
        </w:rPr>
        <w:t>实施。</w:t>
      </w:r>
      <w:r>
        <w:rPr>
          <w:spacing w:val="-9"/>
        </w:rPr>
        <w:t>同时在“数字甘肃”“数字沈阳”等标杆项目中还会以“特战队”</w:t>
      </w:r>
      <w:r>
        <w:rPr>
          <w:spacing w:val="-2"/>
        </w:rPr>
        <w:t>模式，联合集团内各能力单位，驻点保障项目交付和运维。</w:t>
      </w:r>
    </w:p>
    <w:p>
      <w:pPr>
        <w:spacing w:line="259" w:lineRule="auto"/>
        <w:sectPr>
          <w:pgSz w:w="11907" w:h="16839"/>
          <w:pgMar w:top="1431" w:right="1646" w:bottom="0" w:left="1785" w:header="0" w:footer="0" w:gutter="0"/>
        </w:sectPr>
        <w:rPr/>
      </w:pPr>
    </w:p>
    <w:p>
      <w:pPr>
        <w:ind w:firstLine="14"/>
        <w:spacing w:before="131" w:line="5371" w:lineRule="exact"/>
        <w:rPr/>
      </w:pPr>
      <w:r>
        <w:rPr>
          <w:position w:val="-107"/>
        </w:rPr>
        <w:drawing>
          <wp:inline distT="0" distB="0" distL="0" distR="0">
            <wp:extent cx="5274563" cy="3410712"/>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5274563" cy="3410712"/>
                    </a:xfrm>
                    <a:prstGeom prst="rect">
                      <a:avLst/>
                    </a:prstGeom>
                  </pic:spPr>
                </pic:pic>
              </a:graphicData>
            </a:graphic>
          </wp:inline>
        </w:drawing>
      </w:r>
    </w:p>
    <w:p>
      <w:pPr>
        <w:spacing w:line="380" w:lineRule="auto"/>
        <w:rPr>
          <w:rFonts w:ascii="Arial"/>
          <w:sz w:val="21"/>
        </w:rPr>
      </w:pPr>
      <w:r/>
    </w:p>
    <w:p>
      <w:pPr>
        <w:pStyle w:val="BodyText"/>
        <w:ind w:left="627"/>
        <w:spacing w:before="98" w:line="233" w:lineRule="auto"/>
        <w:outlineLvl w:val="2"/>
        <w:rPr/>
      </w:pPr>
      <w:r>
        <w:rPr>
          <w:rFonts w:ascii="Times New Roman" w:hAnsi="Times New Roman" w:eastAsia="Times New Roman" w:cs="Times New Roman"/>
          <w:b/>
          <w:bCs/>
          <w:spacing w:val="-4"/>
        </w:rPr>
        <w:t>5</w:t>
      </w:r>
      <w:r>
        <w:rPr>
          <w:b/>
          <w:bCs/>
          <w:spacing w:val="-4"/>
        </w:rPr>
        <w:t>．生态合作能力</w:t>
      </w:r>
    </w:p>
    <w:p>
      <w:pPr>
        <w:pStyle w:val="BodyText"/>
        <w:ind w:left="27" w:firstLine="626"/>
        <w:spacing w:before="321" w:line="257" w:lineRule="auto"/>
        <w:jc w:val="both"/>
        <w:rPr/>
      </w:pPr>
      <w:r>
        <w:rPr>
          <w:spacing w:val="-2"/>
        </w:rPr>
        <w:t>中国移动凭借雄厚的资金实力，建立了成熟的生态合作圈，</w:t>
      </w:r>
      <w:r>
        <w:rPr>
          <w:spacing w:val="1"/>
        </w:rPr>
        <w:t>制定了总部</w:t>
      </w:r>
      <w:r>
        <w:rPr>
          <w:rFonts w:ascii="Times New Roman" w:hAnsi="Times New Roman" w:eastAsia="Times New Roman" w:cs="Times New Roman"/>
          <w:spacing w:val="1"/>
        </w:rPr>
        <w:t>+</w:t>
      </w:r>
      <w:r>
        <w:rPr>
          <w:spacing w:val="1"/>
        </w:rPr>
        <w:t>区域两级生态图谱：总部围绕重点场景招</w:t>
      </w:r>
      <w:r>
        <w:rPr/>
        <w:t>募头部合</w:t>
      </w:r>
      <w:r>
        <w:rPr>
          <w:spacing w:val="-2"/>
        </w:rPr>
        <w:t>作伙伴，省市公司、专业公司引入区域、重点领域合作伙</w:t>
      </w:r>
      <w:r>
        <w:rPr>
          <w:spacing w:val="-3"/>
        </w:rPr>
        <w:t>伴。</w:t>
      </w:r>
    </w:p>
    <w:p>
      <w:pPr>
        <w:pStyle w:val="BodyText"/>
        <w:ind w:left="26" w:right="87" w:firstLine="598"/>
        <w:spacing w:before="285" w:line="259" w:lineRule="auto"/>
        <w:rPr/>
      </w:pPr>
      <w:r>
        <w:rPr>
          <w:spacing w:val="-1"/>
        </w:rPr>
        <w:t>在数字政府领域，中移集成公司开展</w:t>
      </w:r>
      <w:r>
        <w:rPr>
          <w:spacing w:val="-45"/>
        </w:rPr>
        <w:t xml:space="preserve"> </w:t>
      </w:r>
      <w:r>
        <w:rPr>
          <w:rFonts w:ascii="Times New Roman" w:hAnsi="Times New Roman" w:eastAsia="Times New Roman" w:cs="Times New Roman"/>
          <w:spacing w:val="-1"/>
        </w:rPr>
        <w:t>OOCP</w:t>
      </w:r>
      <w:r>
        <w:rPr>
          <w:spacing w:val="-1"/>
        </w:rPr>
        <w:t>（</w:t>
      </w:r>
      <w:r>
        <w:rPr>
          <w:rFonts w:ascii="Times New Roman" w:hAnsi="Times New Roman" w:eastAsia="Times New Roman" w:cs="Times New Roman"/>
          <w:spacing w:val="-1"/>
        </w:rPr>
        <w:t>OneC</w:t>
      </w:r>
      <w:r>
        <w:rPr>
          <w:rFonts w:ascii="Times New Roman" w:hAnsi="Times New Roman" w:eastAsia="Times New Roman" w:cs="Times New Roman"/>
          <w:spacing w:val="-2"/>
        </w:rPr>
        <w:t>ity</w:t>
      </w:r>
      <w:r>
        <w:rPr>
          <w:rFonts w:ascii="Times New Roman" w:hAnsi="Times New Roman" w:eastAsia="Times New Roman" w:cs="Times New Roman"/>
          <w:spacing w:val="32"/>
        </w:rPr>
        <w:t xml:space="preserve"> </w:t>
      </w:r>
      <w:r>
        <w:rPr>
          <w:spacing w:val="-2"/>
        </w:rPr>
        <w:t>合作</w:t>
      </w:r>
      <w:r>
        <w:rPr>
          <w:spacing w:val="-16"/>
        </w:rPr>
        <w:t>伙伴认证）计划，聚合产业链上下游，引入解决方案、软件应用、</w:t>
      </w:r>
      <w:r>
        <w:rPr>
          <w:spacing w:val="-4"/>
        </w:rPr>
        <w:t>创新孵化、市场推广各领域合作伙伴。</w:t>
      </w:r>
    </w:p>
    <w:p>
      <w:pPr>
        <w:pStyle w:val="BodyText"/>
        <w:ind w:left="27" w:right="86" w:firstLine="602"/>
        <w:spacing w:before="278" w:line="261" w:lineRule="auto"/>
        <w:jc w:val="both"/>
        <w:rPr/>
      </w:pPr>
      <w:r>
        <w:rPr>
          <w:spacing w:val="-5"/>
        </w:rPr>
        <w:t>各省公司打造本地化生态，以浙江移动为例，以总集角色汇</w:t>
      </w:r>
      <w:r>
        <w:rPr>
          <w:spacing w:val="-9"/>
        </w:rPr>
        <w:t>聚软硬件、系统集成、运营合作等各类厂商， 协助政府打造本地</w:t>
      </w:r>
      <w:r>
        <w:rPr>
          <w:spacing w:val="-3"/>
        </w:rPr>
        <w:t>化产业联盟，实现多方共赢的良性循环。</w:t>
      </w:r>
    </w:p>
    <w:p>
      <w:pPr>
        <w:spacing w:line="261" w:lineRule="auto"/>
        <w:sectPr>
          <w:pgSz w:w="11907" w:h="16839"/>
          <w:pgMar w:top="1431" w:right="1712" w:bottom="0" w:left="1785" w:header="0" w:footer="0" w:gutter="0"/>
        </w:sectPr>
        <w:rPr/>
      </w:pPr>
    </w:p>
    <w:p>
      <w:pPr>
        <w:ind w:firstLine="160"/>
        <w:spacing w:before="121" w:line="5695" w:lineRule="exact"/>
        <w:rPr/>
      </w:pPr>
      <w:r>
        <w:rPr>
          <w:position w:val="-113"/>
        </w:rPr>
        <w:drawing>
          <wp:inline distT="0" distB="0" distL="0" distR="0">
            <wp:extent cx="5088635" cy="3616452"/>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5088635" cy="3616452"/>
                    </a:xfrm>
                    <a:prstGeom prst="rect">
                      <a:avLst/>
                    </a:prstGeom>
                  </pic:spPr>
                </pic:pic>
              </a:graphicData>
            </a:graphic>
          </wp:inline>
        </w:drawing>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firstLine="14"/>
        <w:spacing w:line="3684" w:lineRule="exact"/>
        <w:rPr/>
      </w:pPr>
      <w:r>
        <w:rPr>
          <w:position w:val="-73"/>
        </w:rPr>
        <w:drawing>
          <wp:inline distT="0" distB="0" distL="0" distR="0">
            <wp:extent cx="5308091" cy="2339339"/>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5308091" cy="2339339"/>
                    </a:xfrm>
                    <a:prstGeom prst="rect">
                      <a:avLst/>
                    </a:prstGeom>
                  </pic:spPr>
                </pic:pic>
              </a:graphicData>
            </a:graphic>
          </wp:inline>
        </w:drawing>
      </w:r>
    </w:p>
    <w:p>
      <w:pPr>
        <w:ind w:left="2602"/>
        <w:spacing w:before="95" w:line="220" w:lineRule="auto"/>
        <w:outlineLvl w:val="0"/>
        <w:rPr>
          <w:rFonts w:ascii="KaiTi" w:hAnsi="KaiTi" w:eastAsia="KaiTi" w:cs="KaiTi"/>
          <w:sz w:val="30"/>
          <w:szCs w:val="30"/>
        </w:rPr>
      </w:pPr>
      <w:r>
        <w:rPr>
          <w:rFonts w:ascii="KaiTi" w:hAnsi="KaiTi" w:eastAsia="KaiTi" w:cs="KaiTi"/>
          <w:sz w:val="30"/>
          <w:szCs w:val="30"/>
          <w:spacing w:val="-5"/>
        </w:rPr>
        <w:t>图</w:t>
      </w:r>
      <w:r>
        <w:rPr>
          <w:rFonts w:ascii="KaiTi" w:hAnsi="KaiTi" w:eastAsia="KaiTi" w:cs="KaiTi"/>
          <w:sz w:val="30"/>
          <w:szCs w:val="30"/>
          <w:spacing w:val="-61"/>
        </w:rPr>
        <w:t xml:space="preserve"> </w:t>
      </w:r>
      <w:r>
        <w:rPr>
          <w:rFonts w:ascii="KaiTi" w:hAnsi="KaiTi" w:eastAsia="KaiTi" w:cs="KaiTi"/>
          <w:sz w:val="30"/>
          <w:szCs w:val="30"/>
          <w:spacing w:val="-5"/>
        </w:rPr>
        <w:t>3</w:t>
      </w:r>
      <w:r>
        <w:rPr>
          <w:rFonts w:ascii="KaiTi" w:hAnsi="KaiTi" w:eastAsia="KaiTi" w:cs="KaiTi"/>
          <w:sz w:val="30"/>
          <w:szCs w:val="30"/>
          <w:spacing w:val="-5"/>
        </w:rPr>
        <w:t xml:space="preserve">  </w:t>
      </w:r>
      <w:r>
        <w:rPr>
          <w:rFonts w:ascii="KaiTi" w:hAnsi="KaiTi" w:eastAsia="KaiTi" w:cs="KaiTi"/>
          <w:sz w:val="30"/>
          <w:szCs w:val="30"/>
          <w:spacing w:val="-5"/>
        </w:rPr>
        <w:t>浙江移动生态建设</w:t>
      </w:r>
    </w:p>
    <w:p>
      <w:pPr>
        <w:spacing w:line="406" w:lineRule="auto"/>
        <w:rPr>
          <w:rFonts w:ascii="Arial"/>
          <w:sz w:val="21"/>
        </w:rPr>
      </w:pPr>
      <w:r/>
    </w:p>
    <w:p>
      <w:pPr>
        <w:ind w:left="675"/>
        <w:spacing w:before="100" w:line="224" w:lineRule="auto"/>
        <w:outlineLvl w:val="1"/>
        <w:rPr>
          <w:rFonts w:ascii="SimHei" w:hAnsi="SimHei" w:eastAsia="SimHei" w:cs="SimHei"/>
          <w:sz w:val="31"/>
          <w:szCs w:val="31"/>
        </w:rPr>
      </w:pPr>
      <w:r>
        <w:rPr>
          <w:rFonts w:ascii="SimHei" w:hAnsi="SimHei" w:eastAsia="SimHei" w:cs="SimHei"/>
          <w:sz w:val="31"/>
          <w:szCs w:val="31"/>
          <w:b/>
          <w:bCs/>
          <w:spacing w:val="6"/>
        </w:rPr>
        <w:t>二、友商数字政府市场未来布局走向分析</w:t>
      </w:r>
    </w:p>
    <w:p>
      <w:pPr>
        <w:spacing w:line="271" w:lineRule="auto"/>
        <w:rPr>
          <w:rFonts w:ascii="Arial"/>
          <w:sz w:val="21"/>
        </w:rPr>
      </w:pPr>
      <w:r/>
    </w:p>
    <w:p>
      <w:pPr>
        <w:pStyle w:val="BodyText"/>
        <w:ind w:left="26" w:right="119" w:firstLine="628"/>
        <w:spacing w:before="97" w:line="261" w:lineRule="auto"/>
        <w:rPr/>
      </w:pPr>
      <w:r>
        <w:rPr>
          <w:spacing w:val="-19"/>
        </w:rPr>
        <w:t>中国移动坚持“总集”定位，面向政府客户提供全流程服务，</w:t>
      </w:r>
      <w:r>
        <w:rPr>
          <w:spacing w:val="-3"/>
        </w:rPr>
        <w:t>全面提升五大关键能力，实现规模拓展。</w:t>
      </w:r>
    </w:p>
    <w:p>
      <w:pPr>
        <w:pStyle w:val="BodyText"/>
        <w:ind w:left="28" w:right="54" w:firstLine="596"/>
        <w:spacing w:before="273" w:line="268" w:lineRule="auto"/>
        <w:rPr/>
      </w:pPr>
      <w:r>
        <w:rPr>
          <w:spacing w:val="-4"/>
        </w:rPr>
        <w:t>在扩大企业影响力方面，中移动强化顶层牵引，参</w:t>
      </w:r>
      <w:r>
        <w:rPr>
          <w:spacing w:val="-5"/>
        </w:rPr>
        <w:t>与政府标</w:t>
      </w:r>
      <w:r>
        <w:rPr>
          <w:spacing w:val="-3"/>
        </w:rPr>
        <w:t>准制定，下半年落地</w:t>
      </w:r>
      <w:r>
        <w:rPr>
          <w:spacing w:val="-49"/>
        </w:rPr>
        <w:t xml:space="preserve"> </w:t>
      </w:r>
      <w:r>
        <w:rPr>
          <w:rFonts w:ascii="Times New Roman" w:hAnsi="Times New Roman" w:eastAsia="Times New Roman" w:cs="Times New Roman"/>
          <w:spacing w:val="-3"/>
        </w:rPr>
        <w:t>3 </w:t>
      </w:r>
      <w:r>
        <w:rPr>
          <w:spacing w:val="-3"/>
        </w:rPr>
        <w:t>个以上省市级标杆，发挥示范作用。</w:t>
      </w:r>
    </w:p>
    <w:p>
      <w:pPr>
        <w:spacing w:line="268" w:lineRule="auto"/>
        <w:sectPr>
          <w:pgSz w:w="11907" w:h="16839"/>
          <w:pgMar w:top="1431" w:right="1747" w:bottom="0" w:left="1785" w:header="0" w:footer="0" w:gutter="0"/>
        </w:sectPr>
        <w:rPr/>
      </w:pPr>
    </w:p>
    <w:p>
      <w:pPr>
        <w:pStyle w:val="BodyText"/>
        <w:ind w:left="50" w:right="301" w:firstLine="581"/>
        <w:spacing w:before="85" w:line="259" w:lineRule="auto"/>
        <w:rPr/>
      </w:pPr>
      <w:r>
        <w:rPr>
          <w:spacing w:val="-5"/>
        </w:rPr>
        <w:t>商务拓展方面，围绕省级政府一体化服务能力总体指数靠后</w:t>
      </w:r>
      <w:r>
        <w:rPr>
          <w:spacing w:val="-13"/>
        </w:rPr>
        <w:t>的省份加强攻坚。在产品技术方面，</w:t>
      </w:r>
      <w:r>
        <w:rPr>
          <w:spacing w:val="-35"/>
        </w:rPr>
        <w:t xml:space="preserve"> </w:t>
      </w:r>
      <w:r>
        <w:rPr>
          <w:spacing w:val="-13"/>
        </w:rPr>
        <w:t>促进</w:t>
      </w:r>
      <w:r>
        <w:rPr>
          <w:spacing w:val="-72"/>
        </w:rPr>
        <w:t xml:space="preserve"> </w:t>
      </w:r>
      <w:r>
        <w:rPr>
          <w:rFonts w:ascii="Times New Roman" w:hAnsi="Times New Roman" w:eastAsia="Times New Roman" w:cs="Times New Roman"/>
          <w:spacing w:val="-13"/>
        </w:rPr>
        <w:t>AI</w:t>
      </w:r>
      <w:r>
        <w:rPr>
          <w:spacing w:val="-13"/>
        </w:rPr>
        <w:t>、大数据、</w:t>
      </w:r>
      <w:r>
        <w:rPr>
          <w:spacing w:val="-14"/>
        </w:rPr>
        <w:t>区块链、</w:t>
      </w:r>
    </w:p>
    <w:p>
      <w:pPr>
        <w:pStyle w:val="BodyText"/>
        <w:ind w:left="25" w:firstLine="7"/>
        <w:spacing w:before="1" w:line="258" w:lineRule="auto"/>
        <w:rPr/>
      </w:pPr>
      <w:r>
        <w:rPr>
          <w:spacing w:val="18"/>
        </w:rPr>
        <w:t>安全认证、精准定位等能力开放共享；对标业界前三，构建</w:t>
      </w:r>
      <w:r>
        <w:rPr>
          <w:spacing w:val="3"/>
        </w:rPr>
        <w:t xml:space="preserve"> </w:t>
      </w:r>
      <w:r>
        <w:rPr>
          <w:rFonts w:ascii="Times New Roman" w:hAnsi="Times New Roman" w:eastAsia="Times New Roman" w:cs="Times New Roman"/>
          <w:spacing w:val="-3"/>
        </w:rPr>
        <w:t>OneCity </w:t>
      </w:r>
      <w:r>
        <w:rPr>
          <w:spacing w:val="-3"/>
        </w:rPr>
        <w:t>平台能力，核心功能累计超过 </w:t>
      </w:r>
      <w:r>
        <w:rPr>
          <w:rFonts w:ascii="Times New Roman" w:hAnsi="Times New Roman" w:eastAsia="Times New Roman" w:cs="Times New Roman"/>
          <w:spacing w:val="-3"/>
        </w:rPr>
        <w:t>100</w:t>
      </w:r>
      <w:r>
        <w:rPr>
          <w:rFonts w:ascii="Times New Roman" w:hAnsi="Times New Roman" w:eastAsia="Times New Roman" w:cs="Times New Roman"/>
          <w:spacing w:val="31"/>
        </w:rPr>
        <w:t xml:space="preserve"> </w:t>
      </w:r>
      <w:r>
        <w:rPr>
          <w:spacing w:val="-3"/>
        </w:rPr>
        <w:t>项；打造场景化产品</w:t>
      </w:r>
      <w:r>
        <w:rPr/>
        <w:t xml:space="preserve"> </w:t>
      </w:r>
      <w:r>
        <w:rPr>
          <w:spacing w:val="-4"/>
        </w:rPr>
        <w:t>和解决方案，研发一网通办、智慧后勤等特色产品。健全组织保</w:t>
      </w:r>
      <w:r>
        <w:rPr>
          <w:spacing w:val="2"/>
        </w:rPr>
        <w:t xml:space="preserve"> </w:t>
      </w:r>
      <w:r>
        <w:rPr>
          <w:spacing w:val="7"/>
        </w:rPr>
        <w:t>障体系，横向强化专业公司间的协同，纵向建立“省、市、专”</w:t>
      </w:r>
      <w:r>
        <w:rPr>
          <w:spacing w:val="-3"/>
        </w:rPr>
        <w:t>三级服务支撑体系，保障本地化交付运维质量。</w:t>
      </w:r>
    </w:p>
    <w:p>
      <w:pPr>
        <w:pStyle w:val="BodyText"/>
        <w:ind w:left="32" w:right="191" w:firstLine="592"/>
        <w:spacing w:before="279" w:line="262" w:lineRule="auto"/>
        <w:rPr/>
      </w:pPr>
      <w:r>
        <w:rPr/>
        <w:t>在生态合作能力建设方面，中移动加快与科研院所、高校、</w:t>
      </w:r>
      <w:r>
        <w:rPr/>
        <w:t>具有行业成熟能力的厂商合作，补齐自身产品和行业</w:t>
      </w:r>
      <w:r>
        <w:rPr>
          <w:spacing w:val="-1"/>
        </w:rPr>
        <w:t>认知短板。</w:t>
      </w:r>
    </w:p>
    <w:p>
      <w:pPr>
        <w:pStyle w:val="BodyText"/>
        <w:ind w:left="25" w:right="301" w:firstLine="629"/>
        <w:spacing w:before="272" w:line="259" w:lineRule="auto"/>
        <w:jc w:val="both"/>
        <w:rPr/>
      </w:pPr>
      <w:r>
        <w:rPr>
          <w:spacing w:val="-5"/>
        </w:rPr>
        <w:t>中国联通聚焦自有“顶设咨询能力”和“产</w:t>
      </w:r>
      <w:r>
        <w:rPr>
          <w:spacing w:val="-6"/>
        </w:rPr>
        <w:t>品技术能力”突</w:t>
      </w:r>
      <w:r>
        <w:rPr>
          <w:spacing w:val="-4"/>
        </w:rPr>
        <w:t>破，已组建数字政府百人专家团队，全面卡位布局各省数字政府</w:t>
      </w:r>
      <w:r>
        <w:rPr>
          <w:spacing w:val="-9"/>
        </w:rPr>
        <w:t>顶层设计。在产品技术能力方面， 发挥大数据差异化优势，抢占</w:t>
      </w:r>
      <w:r>
        <w:rPr>
          <w:spacing w:val="-2"/>
        </w:rPr>
        <w:t>一网统管核心赛道，塑造数字政府“联通服务”第一品牌。</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ind w:left="39"/>
        <w:spacing w:before="99" w:line="216" w:lineRule="auto"/>
        <w:rPr>
          <w:rFonts w:ascii="KaiTi" w:hAnsi="KaiTi" w:eastAsia="KaiTi" w:cs="KaiTi"/>
          <w:sz w:val="30"/>
          <w:szCs w:val="30"/>
        </w:rPr>
      </w:pPr>
      <w:r>
        <w:rPr>
          <w:rFonts w:ascii="FangSong" w:hAnsi="FangSong" w:eastAsia="FangSong" w:cs="FangSong"/>
          <w:sz w:val="30"/>
          <w:szCs w:val="30"/>
          <w:b/>
          <w:bCs/>
          <w:spacing w:val="-1"/>
        </w:rPr>
        <w:t>作者简介：</w:t>
      </w:r>
      <w:r>
        <w:rPr>
          <w:rFonts w:ascii="KaiTi" w:hAnsi="KaiTi" w:eastAsia="KaiTi" w:cs="KaiTi"/>
          <w:sz w:val="30"/>
          <w:szCs w:val="30"/>
          <w:spacing w:val="-1"/>
        </w:rPr>
        <w:t>中国电信股份有限公司研究院/</w:t>
      </w:r>
      <w:r>
        <w:rPr>
          <w:rFonts w:ascii="KaiTi" w:hAnsi="KaiTi" w:eastAsia="KaiTi" w:cs="KaiTi"/>
          <w:sz w:val="30"/>
          <w:szCs w:val="30"/>
          <w:spacing w:val="-2"/>
        </w:rPr>
        <w:t>战略发展研究所</w:t>
      </w:r>
    </w:p>
    <w:p>
      <w:pPr>
        <w:spacing w:line="392" w:lineRule="auto"/>
        <w:rPr>
          <w:rFonts w:ascii="Arial"/>
          <w:sz w:val="21"/>
        </w:rPr>
      </w:pPr>
      <w:r/>
    </w:p>
    <w:p>
      <w:pPr>
        <w:ind w:left="607"/>
        <w:spacing w:before="92" w:line="213" w:lineRule="auto"/>
        <w:rPr>
          <w:rFonts w:ascii="KaiTi" w:hAnsi="KaiTi" w:eastAsia="KaiTi" w:cs="KaiTi"/>
          <w:sz w:val="28"/>
          <w:szCs w:val="28"/>
        </w:rPr>
      </w:pPr>
      <w:r>
        <w:rPr>
          <w:rFonts w:ascii="KaiTi" w:hAnsi="KaiTi" w:eastAsia="KaiTi" w:cs="KaiTi"/>
          <w:sz w:val="28"/>
          <w:szCs w:val="28"/>
          <w:b/>
          <w:bCs/>
          <w:spacing w:val="-3"/>
        </w:rPr>
        <w:t>陈晓佳</w:t>
      </w:r>
      <w:r>
        <w:rPr>
          <w:rFonts w:ascii="KaiTi" w:hAnsi="KaiTi" w:eastAsia="KaiTi" w:cs="KaiTi"/>
          <w:sz w:val="28"/>
          <w:szCs w:val="28"/>
          <w:spacing w:val="-3"/>
        </w:rPr>
        <w:t xml:space="preserve">  </w:t>
      </w:r>
      <w:r>
        <w:rPr>
          <w:rFonts w:ascii="KaiTi" w:hAnsi="KaiTi" w:eastAsia="KaiTi" w:cs="KaiTi"/>
          <w:sz w:val="28"/>
          <w:szCs w:val="28"/>
          <w:spacing w:val="-3"/>
        </w:rPr>
        <w:t>硕士，在运营商竞争研究领域有十多年的从业经验，</w:t>
      </w:r>
    </w:p>
    <w:p>
      <w:pPr>
        <w:ind w:left="25"/>
        <w:spacing w:before="96" w:line="216" w:lineRule="auto"/>
        <w:rPr>
          <w:rFonts w:ascii="KaiTi" w:hAnsi="KaiTi" w:eastAsia="KaiTi" w:cs="KaiTi"/>
          <w:sz w:val="28"/>
          <w:szCs w:val="28"/>
        </w:rPr>
      </w:pPr>
      <w:r>
        <w:rPr>
          <w:rFonts w:ascii="KaiTi" w:hAnsi="KaiTi" w:eastAsia="KaiTi" w:cs="KaiTi"/>
          <w:sz w:val="28"/>
          <w:szCs w:val="28"/>
          <w:spacing w:val="-6"/>
        </w:rPr>
        <w:t>近年专注产业数字化相关研究。【18022301991】</w:t>
      </w:r>
    </w:p>
    <w:p>
      <w:pPr>
        <w:spacing w:line="278" w:lineRule="auto"/>
        <w:rPr>
          <w:rFonts w:ascii="Arial"/>
          <w:sz w:val="21"/>
        </w:rPr>
      </w:pPr>
      <w:r/>
    </w:p>
    <w:p>
      <w:pPr>
        <w:ind w:left="612"/>
        <w:spacing w:before="92" w:line="213" w:lineRule="auto"/>
        <w:rPr>
          <w:rFonts w:ascii="KaiTi" w:hAnsi="KaiTi" w:eastAsia="KaiTi" w:cs="KaiTi"/>
          <w:sz w:val="28"/>
          <w:szCs w:val="28"/>
        </w:rPr>
      </w:pPr>
      <w:r>
        <w:rPr>
          <w:rFonts w:ascii="KaiTi" w:hAnsi="KaiTi" w:eastAsia="KaiTi" w:cs="KaiTi"/>
          <w:sz w:val="28"/>
          <w:szCs w:val="28"/>
          <w:b/>
          <w:bCs/>
          <w:spacing w:val="-2"/>
        </w:rPr>
        <w:t>田雨</w:t>
      </w:r>
      <w:r>
        <w:rPr>
          <w:rFonts w:ascii="KaiTi" w:hAnsi="KaiTi" w:eastAsia="KaiTi" w:cs="KaiTi"/>
          <w:sz w:val="28"/>
          <w:szCs w:val="28"/>
          <w:spacing w:val="-2"/>
        </w:rPr>
        <w:t xml:space="preserve">  </w:t>
      </w:r>
      <w:r>
        <w:rPr>
          <w:rFonts w:ascii="KaiTi" w:hAnsi="KaiTi" w:eastAsia="KaiTi" w:cs="KaiTi"/>
          <w:sz w:val="28"/>
          <w:szCs w:val="28"/>
          <w:spacing w:val="-2"/>
        </w:rPr>
        <w:t>硕士，主要从事竞争研究、客户体验研究，在数字政</w:t>
      </w:r>
    </w:p>
    <w:p>
      <w:pPr>
        <w:ind w:left="20"/>
        <w:spacing w:before="99" w:line="216" w:lineRule="auto"/>
        <w:rPr>
          <w:rFonts w:ascii="KaiTi" w:hAnsi="KaiTi" w:eastAsia="KaiTi" w:cs="KaiTi"/>
          <w:sz w:val="28"/>
          <w:szCs w:val="28"/>
        </w:rPr>
      </w:pPr>
      <w:r>
        <w:rPr>
          <w:rFonts w:ascii="KaiTi" w:hAnsi="KaiTi" w:eastAsia="KaiTi" w:cs="KaiTi"/>
          <w:sz w:val="28"/>
          <w:szCs w:val="28"/>
          <w:spacing w:val="-1"/>
        </w:rPr>
        <w:t>府、数字生活、行业数字化平台等研究方向上具</w:t>
      </w:r>
      <w:r>
        <w:rPr>
          <w:rFonts w:ascii="KaiTi" w:hAnsi="KaiTi" w:eastAsia="KaiTi" w:cs="KaiTi"/>
          <w:sz w:val="28"/>
          <w:szCs w:val="28"/>
          <w:spacing w:val="-2"/>
        </w:rPr>
        <w:t>有丰富经验。</w:t>
      </w:r>
    </w:p>
    <w:sectPr>
      <w:pgSz w:w="11907" w:h="16839"/>
      <w:pgMar w:top="1431" w:right="1498"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DengXian">
    <w:panose1 w:val="02010600030101010101"/>
    <w:charset w:val="86"/>
    <w:family w:val="auto"/>
    <w:pitch w:val="variable"/>
    <w:sig w:usb0="A00002BF" w:usb1="38CF7CFA" w:usb2="00000016" w:usb3="00000000" w:csb0="0004000F" w:csb1="00000000"/>
  </w:font>
  <w:font w:name="KaiTi">
    <w:panose1 w:val="02010609060101010101"/>
    <w:charset w:val="86"/>
    <w:family w:val="auto"/>
    <w:pitch w:val="default"/>
    <w:sig w:usb0="800002BF" w:usb1="38CF7CFA" w:usb2="00000016" w:usb3="00000000" w:csb0="00040001" w:csb1="00000000"/>
  </w:font>
  <w:font w:name="Microsoft YaHei">
    <w:panose1 w:val="020B0703020204020201"/>
    <w:charset w:val="86"/>
    <w:family w:val="auto"/>
    <w:pitch w:val="variable"/>
    <w:sig w:usb0="80000287" w:usb1="2ACF3C50" w:usb2="00000016" w:usb3="00000000" w:csb0="0004001F" w:csb1="00000000"/>
  </w:font>
  <w:font w:name="STKaiti">
    <w:panose1 w:val="02010600040101010101"/>
    <w:charset w:val="86"/>
    <w:family w:val="auto"/>
    <w:pitch w:val="variable"/>
    <w:sig w:usb0="00000287" w:usb1="080F0000" w:usb2="00000000" w:usb3="00000000" w:csb0="0004009F" w:csb1="DFD7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0"/>
      <w:szCs w:val="3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Microsoft® Word 2016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谢婷婷</dc:creator>
  <dcterms:created xsi:type="dcterms:W3CDTF">2023-03-09T15:49:06Z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2025-11-04T15:55:29</vt:filetime>
  </property>
</Properties>
</file>