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60" w:lineRule="auto"/>
        <w:jc w:val="center"/>
        <w:rPr>
          <w:sz w:val="36"/>
          <w:szCs w:val="28"/>
        </w:rPr>
      </w:pPr>
      <w:r>
        <w:rPr>
          <w:rFonts w:hint="eastAsia"/>
          <w:sz w:val="36"/>
          <w:szCs w:val="28"/>
          <w:lang w:val="en-US" w:eastAsia="zh-CN"/>
        </w:rPr>
        <w:t>可信数据库产品能力评测的分析</w:t>
      </w:r>
      <w:r>
        <w:rPr>
          <w:rFonts w:hint="eastAsia"/>
          <w:sz w:val="36"/>
          <w:szCs w:val="28"/>
        </w:rPr>
        <w:t>与启示</w:t>
      </w:r>
    </w:p>
    <w:p>
      <w:pPr>
        <w:widowControl/>
        <w:numPr>
          <w:ilvl w:val="-1"/>
          <w:numId w:val="0"/>
        </w:numPr>
        <w:spacing w:line="360" w:lineRule="auto"/>
        <w:ind w:firstLine="420"/>
        <w:jc w:val="left"/>
        <w:rPr>
          <w:rFonts w:hint="eastAsia" w:ascii="Times New Roman" w:hAnsi="Times New Roman" w:eastAsia="宋体"/>
          <w:bCs/>
          <w:sz w:val="30"/>
          <w:szCs w:val="30"/>
          <w:lang w:val="en-US" w:eastAsia="zh-CN"/>
        </w:rPr>
      </w:pPr>
      <w:r>
        <w:rPr>
          <w:rFonts w:hint="eastAsia" w:ascii="Times New Roman" w:hAnsi="Times New Roman" w:eastAsia="宋体"/>
          <w:bCs/>
          <w:sz w:val="30"/>
          <w:szCs w:val="30"/>
          <w:highlight w:val="none"/>
          <w:lang w:val="en-US" w:eastAsia="zh-CN"/>
        </w:rPr>
        <w:t>在国家战略的引领下，央国企正迈向2027年核心信创系统100%国产化替代的宏伟目标。数据库作为信创三大基础软件之一，产品正处于快速发展期。</w:t>
      </w:r>
      <w:r>
        <w:rPr>
          <w:rFonts w:hint="eastAsia" w:ascii="Times New Roman" w:hAnsi="Times New Roman" w:eastAsia="宋体"/>
          <w:bCs/>
          <w:sz w:val="30"/>
          <w:szCs w:val="30"/>
          <w:lang w:val="en-US" w:eastAsia="zh-CN"/>
        </w:rPr>
        <w:t>分析信通院牵头的可信数据库评测，对数据库产品研发和升级有重要借鉴意义。建议</w:t>
      </w:r>
      <w:r>
        <w:rPr>
          <w:rFonts w:hint="eastAsia" w:ascii="Times New Roman" w:hAnsi="Times New Roman" w:eastAsia="宋体"/>
          <w:bCs/>
          <w:sz w:val="30"/>
          <w:szCs w:val="30"/>
          <w:highlight w:val="none"/>
          <w:lang w:val="en-US" w:eastAsia="zh-CN"/>
        </w:rPr>
        <w:t>中国电信：</w:t>
      </w:r>
      <w:r>
        <w:rPr>
          <w:rFonts w:hint="eastAsia" w:ascii="Times New Roman" w:hAnsi="Times New Roman" w:eastAsia="宋体"/>
          <w:b w:val="0"/>
          <w:bCs/>
          <w:sz w:val="30"/>
          <w:szCs w:val="30"/>
          <w:highlight w:val="none"/>
          <w:lang w:val="en-US" w:eastAsia="zh-CN"/>
        </w:rPr>
        <w:t>一是完善产品体系与集成智能管理，推动与AI融合发展；二是</w:t>
      </w:r>
      <w:r>
        <w:rPr>
          <w:rFonts w:hint="eastAsia" w:ascii="Times New Roman" w:hAnsi="Times New Roman" w:eastAsia="宋体"/>
          <w:b w:val="0"/>
          <w:bCs/>
          <w:sz w:val="30"/>
          <w:szCs w:val="30"/>
          <w:highlight w:val="none"/>
        </w:rPr>
        <w:t>优化产品性能与强化安全性合规性，提升客户信任度</w:t>
      </w:r>
      <w:r>
        <w:rPr>
          <w:rFonts w:hint="eastAsia" w:ascii="Times New Roman" w:hAnsi="Times New Roman" w:eastAsia="宋体"/>
          <w:b w:val="0"/>
          <w:bCs/>
          <w:sz w:val="30"/>
          <w:szCs w:val="30"/>
          <w:highlight w:val="none"/>
          <w:lang w:eastAsia="zh-CN"/>
        </w:rPr>
        <w:t>；</w:t>
      </w:r>
      <w:r>
        <w:rPr>
          <w:rFonts w:hint="eastAsia" w:ascii="Times New Roman" w:hAnsi="Times New Roman" w:eastAsia="宋体"/>
          <w:b w:val="0"/>
          <w:bCs/>
          <w:sz w:val="30"/>
          <w:szCs w:val="30"/>
          <w:highlight w:val="none"/>
          <w:lang w:val="en-US" w:eastAsia="zh-CN"/>
        </w:rPr>
        <w:t>三是</w:t>
      </w:r>
      <w:r>
        <w:rPr>
          <w:rFonts w:hint="eastAsia" w:ascii="Times New Roman" w:hAnsi="Times New Roman" w:eastAsia="宋体"/>
          <w:b w:val="0"/>
          <w:bCs/>
          <w:sz w:val="30"/>
          <w:szCs w:val="30"/>
          <w:highlight w:val="none"/>
        </w:rPr>
        <w:t>加强开源合作与培养标准化人才，提高技术创新力。</w:t>
      </w:r>
    </w:p>
    <w:p>
      <w:pPr>
        <w:pStyle w:val="2"/>
        <w:ind w:firstLine="420"/>
        <w:rPr>
          <w:sz w:val="36"/>
          <w:szCs w:val="20"/>
        </w:rPr>
      </w:pPr>
      <w:r>
        <w:rPr>
          <w:rFonts w:hint="eastAsia"/>
          <w:sz w:val="36"/>
          <w:szCs w:val="20"/>
        </w:rPr>
        <w:t>一、</w:t>
      </w:r>
      <w:r>
        <w:rPr>
          <w:rFonts w:hint="eastAsia"/>
          <w:sz w:val="36"/>
          <w:szCs w:val="20"/>
          <w:lang w:val="en-US" w:eastAsia="zh-CN"/>
        </w:rPr>
        <w:t>可信大数据评测总体</w:t>
      </w:r>
      <w:r>
        <w:rPr>
          <w:rFonts w:hint="eastAsia"/>
          <w:sz w:val="36"/>
          <w:szCs w:val="20"/>
        </w:rPr>
        <w:t>情况</w:t>
      </w:r>
    </w:p>
    <w:p>
      <w:pPr>
        <w:pStyle w:val="3"/>
        <w:numPr>
          <w:ilvl w:val="0"/>
          <w:numId w:val="1"/>
        </w:numPr>
        <w:ind w:firstLine="420"/>
        <w:rPr>
          <w:rFonts w:hint="default" w:eastAsia="黑体"/>
          <w:lang w:val="en-US" w:eastAsia="zh-CN"/>
        </w:rPr>
      </w:pPr>
      <w:r>
        <w:rPr>
          <w:rFonts w:hint="eastAsia"/>
          <w:lang w:val="en-US" w:eastAsia="zh-CN"/>
        </w:rPr>
        <w:t>企业产品研发和用户采购的重要参考</w:t>
      </w:r>
    </w:p>
    <w:p>
      <w:pPr>
        <w:spacing w:line="360" w:lineRule="auto"/>
        <w:ind w:firstLine="420"/>
        <w:rPr>
          <w:rFonts w:hint="eastAsia" w:ascii="Times New Roman" w:hAnsi="Times New Roman" w:eastAsia="宋体"/>
          <w:b w:val="0"/>
          <w:bCs/>
          <w:sz w:val="30"/>
          <w:szCs w:val="30"/>
          <w:lang w:val="en-US" w:eastAsia="zh-CN"/>
        </w:rPr>
      </w:pPr>
      <w:r>
        <w:rPr>
          <w:rFonts w:hint="eastAsia" w:ascii="Times New Roman" w:hAnsi="Times New Roman" w:eastAsia="宋体"/>
          <w:bCs/>
          <w:sz w:val="30"/>
          <w:szCs w:val="30"/>
          <w:lang w:val="en-US" w:eastAsia="zh-CN"/>
        </w:rPr>
        <w:t>信通院于2015年6月开展第一批可信大数据评测工作，每年分为两个阶段，大数据和数据库是评测的核心方向。截至2024年6月底，共完成了18批次累计941次测试</w:t>
      </w:r>
      <w:r>
        <w:rPr>
          <w:rStyle w:val="17"/>
          <w:rFonts w:hint="eastAsia" w:ascii="Times New Roman" w:hAnsi="Times New Roman" w:eastAsia="宋体"/>
          <w:bCs/>
          <w:sz w:val="30"/>
          <w:szCs w:val="30"/>
          <w:lang w:val="en-US" w:eastAsia="zh-CN"/>
        </w:rPr>
        <w:footnoteReference w:id="0"/>
      </w:r>
      <w:r>
        <w:rPr>
          <w:rFonts w:hint="eastAsia" w:ascii="Times New Roman" w:hAnsi="Times New Roman" w:eastAsia="宋体"/>
          <w:bCs/>
          <w:sz w:val="30"/>
          <w:szCs w:val="30"/>
          <w:lang w:val="en-US" w:eastAsia="zh-CN"/>
        </w:rPr>
        <w:t>，有322家企业691款产品通过评测。这一历程不仅见证了国内大数据技术的发展和成熟，也促进了产品生态的丰富和完善。</w:t>
      </w:r>
      <w:r>
        <w:rPr>
          <w:rFonts w:hint="eastAsia" w:ascii="Times New Roman" w:hAnsi="Times New Roman" w:eastAsia="宋体"/>
          <w:b w:val="0"/>
          <w:bCs/>
          <w:sz w:val="30"/>
          <w:szCs w:val="30"/>
          <w:lang w:val="en-US" w:eastAsia="zh-CN"/>
        </w:rPr>
        <w:t>评测结果也成为企业产品研发和用户采购大数据产品的重要参考。</w:t>
      </w:r>
    </w:p>
    <w:p>
      <w:pPr>
        <w:spacing w:line="360" w:lineRule="auto"/>
      </w:pPr>
      <w:r>
        <w:drawing>
          <wp:inline distT="0" distB="0" distL="114300" distR="114300">
            <wp:extent cx="5269865" cy="2722245"/>
            <wp:effectExtent l="0" t="0" r="6985" b="190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5"/>
                    <a:stretch>
                      <a:fillRect/>
                    </a:stretch>
                  </pic:blipFill>
                  <pic:spPr>
                    <a:xfrm>
                      <a:off x="0" y="0"/>
                      <a:ext cx="5269865" cy="2722245"/>
                    </a:xfrm>
                    <a:prstGeom prst="rect">
                      <a:avLst/>
                    </a:prstGeom>
                    <a:noFill/>
                    <a:ln>
                      <a:noFill/>
                    </a:ln>
                  </pic:spPr>
                </pic:pic>
              </a:graphicData>
            </a:graphic>
          </wp:inline>
        </w:drawing>
      </w:r>
    </w:p>
    <w:p>
      <w:pPr>
        <w:spacing w:line="360" w:lineRule="auto"/>
        <w:jc w:val="center"/>
        <w:rPr>
          <w:rFonts w:hint="eastAsia" w:ascii="宋体" w:hAnsi="宋体" w:eastAsia="宋体"/>
          <w:szCs w:val="32"/>
          <w:lang w:val="en-US" w:eastAsia="zh-CN"/>
        </w:rPr>
      </w:pPr>
      <w:r>
        <w:rPr>
          <w:rFonts w:hint="eastAsia"/>
          <w:lang w:val="en-US" w:eastAsia="zh-CN"/>
        </w:rPr>
        <w:t>图1</w:t>
      </w:r>
      <w:r>
        <w:rPr>
          <w:rFonts w:hint="eastAsia" w:ascii="宋体" w:hAnsi="宋体" w:eastAsia="宋体"/>
          <w:szCs w:val="32"/>
          <w:lang w:val="en-US" w:eastAsia="zh-CN"/>
        </w:rPr>
        <w:t xml:space="preserve">  可信大数据产品类型评测通过累计次数（2024年数据截至6月底）</w:t>
      </w:r>
      <w:r>
        <w:rPr>
          <w:rStyle w:val="17"/>
          <w:rFonts w:hint="eastAsia" w:ascii="宋体" w:hAnsi="宋体" w:eastAsia="宋体"/>
          <w:szCs w:val="32"/>
          <w:lang w:val="en-US" w:eastAsia="zh-CN"/>
        </w:rPr>
        <w:footnoteReference w:id="1"/>
      </w:r>
    </w:p>
    <w:p>
      <w:pPr>
        <w:spacing w:line="360" w:lineRule="auto"/>
        <w:ind w:firstLine="420"/>
        <w:rPr>
          <w:rFonts w:hint="eastAsia" w:ascii="Times New Roman" w:hAnsi="Times New Roman" w:eastAsia="宋体"/>
          <w:b w:val="0"/>
          <w:bCs/>
          <w:sz w:val="30"/>
          <w:szCs w:val="30"/>
          <w:lang w:val="en-US" w:eastAsia="zh-CN"/>
        </w:rPr>
      </w:pPr>
      <w:r>
        <w:rPr>
          <w:rFonts w:hint="eastAsia" w:ascii="Times New Roman" w:hAnsi="Times New Roman" w:eastAsia="宋体"/>
          <w:b/>
          <w:bCs w:val="0"/>
          <w:sz w:val="30"/>
          <w:szCs w:val="30"/>
          <w:lang w:val="en-US" w:eastAsia="zh-CN"/>
        </w:rPr>
        <w:t>自去年以来，参与测评的整体的产品数量有所下降。</w:t>
      </w:r>
      <w:r>
        <w:rPr>
          <w:rFonts w:hint="eastAsia" w:ascii="Times New Roman" w:hAnsi="Times New Roman" w:eastAsia="宋体"/>
          <w:b w:val="0"/>
          <w:bCs/>
          <w:sz w:val="30"/>
          <w:szCs w:val="30"/>
          <w:lang w:val="en-US" w:eastAsia="zh-CN"/>
        </w:rPr>
        <w:t>背后原因：一是许多知名企业的核心产品已经参与过评测，获得了市场的认可。如星环科技</w:t>
      </w:r>
      <w:r>
        <w:rPr>
          <w:rFonts w:hint="eastAsia" w:ascii="Times New Roman" w:hAnsi="Times New Roman" w:eastAsia="宋体"/>
          <w:b w:val="0"/>
          <w:bCs/>
          <w:sz w:val="30"/>
          <w:szCs w:val="30"/>
          <w:highlight w:val="none"/>
          <w:lang w:val="en-US" w:eastAsia="zh-CN"/>
        </w:rPr>
        <w:t>Transwarp ArgoDB和KunDB</w:t>
      </w:r>
      <w:r>
        <w:rPr>
          <w:rFonts w:hint="eastAsia" w:ascii="Times New Roman" w:hAnsi="Times New Roman" w:eastAsia="宋体"/>
          <w:b w:val="0"/>
          <w:bCs/>
          <w:sz w:val="30"/>
          <w:szCs w:val="30"/>
          <w:lang w:val="en-US" w:eastAsia="zh-CN"/>
        </w:rPr>
        <w:t>。二是产品评测证书没有期限限制，而且评测本身是非强制性。企业可根据自身产品研发阶段和市场需求，自主决定是否多次参与评测。</w:t>
      </w:r>
    </w:p>
    <w:p>
      <w:pPr>
        <w:spacing w:line="360" w:lineRule="auto"/>
        <w:ind w:firstLine="420"/>
        <w:rPr>
          <w:rFonts w:hint="default" w:ascii="Times New Roman" w:hAnsi="Times New Roman" w:eastAsia="宋体"/>
          <w:b/>
          <w:bCs w:val="0"/>
          <w:sz w:val="30"/>
          <w:szCs w:val="30"/>
          <w:lang w:val="en-US" w:eastAsia="zh-CN"/>
        </w:rPr>
      </w:pPr>
      <w:r>
        <w:rPr>
          <w:rFonts w:hint="eastAsia" w:ascii="Times New Roman" w:hAnsi="Times New Roman" w:eastAsia="宋体"/>
          <w:b/>
          <w:bCs w:val="0"/>
          <w:sz w:val="30"/>
          <w:szCs w:val="30"/>
          <w:lang w:val="en-US" w:eastAsia="zh-CN"/>
        </w:rPr>
        <w:t>重点行业的数据库国产替代进程有待加快。</w:t>
      </w:r>
      <w:r>
        <w:rPr>
          <w:rFonts w:hint="eastAsia" w:ascii="Times New Roman" w:hAnsi="Times New Roman" w:eastAsia="宋体"/>
          <w:b w:val="0"/>
          <w:bCs/>
          <w:sz w:val="30"/>
          <w:szCs w:val="30"/>
          <w:lang w:val="en-US" w:eastAsia="zh-CN"/>
        </w:rPr>
        <w:t>政策要求到2027年央国企全面完成核心信创系统的替代，而根据第一新声调研，</w:t>
      </w:r>
      <w:r>
        <w:rPr>
          <w:rFonts w:hint="eastAsia" w:ascii="Times New Roman" w:hAnsi="Times New Roman" w:eastAsia="宋体"/>
          <w:b/>
          <w:bCs w:val="0"/>
          <w:sz w:val="30"/>
          <w:szCs w:val="30"/>
          <w:lang w:val="en-US" w:eastAsia="zh-CN"/>
        </w:rPr>
        <w:t>医疗、制造、教育等多行业国产数据库替代率不足5%</w:t>
      </w:r>
      <w:r>
        <w:rPr>
          <w:rFonts w:hint="eastAsia" w:ascii="Times New Roman" w:hAnsi="Times New Roman" w:eastAsia="宋体"/>
          <w:b w:val="0"/>
          <w:bCs/>
          <w:sz w:val="30"/>
          <w:szCs w:val="30"/>
          <w:lang w:val="en-US" w:eastAsia="zh-CN"/>
        </w:rPr>
        <w:t>，仅金融行业非核心系统处于40%左右，能源行业不足15%。由于国产数据库的稳定性、迁移难度、运维难度等原因，八大行业整体替换率不高。信通院预测中国数据库市场规模的将持续增长，2028年达到930亿，年复合增长率12.23%。</w:t>
      </w:r>
      <w:r>
        <w:rPr>
          <w:rFonts w:hint="eastAsia" w:ascii="Times New Roman" w:hAnsi="Times New Roman" w:eastAsia="宋体"/>
          <w:b/>
          <w:bCs w:val="0"/>
          <w:sz w:val="30"/>
          <w:szCs w:val="30"/>
          <w:lang w:val="en-US" w:eastAsia="zh-CN"/>
        </w:rPr>
        <w:t>可信数据库作为为企业提供技术验证和优化的评测平台，重要性还会继续提高。</w:t>
      </w:r>
    </w:p>
    <w:p>
      <w:pPr>
        <w:pStyle w:val="3"/>
        <w:numPr>
          <w:ilvl w:val="0"/>
          <w:numId w:val="1"/>
        </w:numPr>
        <w:ind w:firstLine="420"/>
        <w:rPr>
          <w:rFonts w:hint="default"/>
          <w:lang w:val="en-US" w:eastAsia="zh-CN"/>
        </w:rPr>
      </w:pPr>
      <w:r>
        <w:rPr>
          <w:rFonts w:hint="eastAsia"/>
          <w:lang w:val="en-US" w:eastAsia="zh-CN"/>
        </w:rPr>
        <w:t>数据库技术向更智能、高效和专业方向发展</w:t>
      </w:r>
    </w:p>
    <w:p>
      <w:pPr>
        <w:spacing w:line="360" w:lineRule="auto"/>
        <w:ind w:firstLine="420"/>
        <w:rPr>
          <w:rFonts w:hint="eastAsia" w:ascii="Times New Roman" w:hAnsi="Times New Roman" w:eastAsia="宋体"/>
          <w:b/>
          <w:bCs w:val="0"/>
          <w:sz w:val="30"/>
          <w:szCs w:val="30"/>
          <w:highlight w:val="none"/>
          <w:lang w:val="en-US" w:eastAsia="zh-CN"/>
        </w:rPr>
      </w:pPr>
      <w:r>
        <w:rPr>
          <w:rFonts w:hint="eastAsia" w:ascii="Times New Roman" w:hAnsi="Times New Roman" w:eastAsia="宋体"/>
          <w:b w:val="0"/>
          <w:bCs/>
          <w:sz w:val="30"/>
          <w:szCs w:val="30"/>
          <w:highlight w:val="none"/>
          <w:lang w:val="en-US" w:eastAsia="zh-CN"/>
        </w:rPr>
        <w:t>可信数据库评测体系涵盖了供给侧和应用侧两个主要维度（图2）。供给侧主要针对数据库技术产品和数据库服务商，旨在评估其技术成熟度，性能稳定性，安全性和服务质量；应用侧主要侧重于数据库运维管理能力的评测。</w:t>
      </w:r>
    </w:p>
    <w:p>
      <w:pPr>
        <w:spacing w:line="360" w:lineRule="auto"/>
        <w:ind w:firstLine="420"/>
        <w:rPr>
          <w:rFonts w:hint="eastAsia" w:ascii="Times New Roman" w:hAnsi="Times New Roman" w:eastAsia="宋体"/>
          <w:b w:val="0"/>
          <w:bCs/>
          <w:color w:val="auto"/>
          <w:sz w:val="30"/>
          <w:szCs w:val="30"/>
          <w:highlight w:val="none"/>
          <w:lang w:val="en-US" w:eastAsia="zh-CN"/>
        </w:rPr>
      </w:pPr>
      <w:r>
        <w:rPr>
          <w:rFonts w:hint="eastAsia" w:ascii="Times New Roman" w:hAnsi="Times New Roman" w:eastAsia="宋体"/>
          <w:b/>
          <w:bCs w:val="0"/>
          <w:color w:val="auto"/>
          <w:sz w:val="30"/>
          <w:szCs w:val="30"/>
          <w:highlight w:val="none"/>
          <w:lang w:val="en-US" w:eastAsia="zh-CN"/>
        </w:rPr>
        <w:t>2024年上半年，可信数据库评测体系新增五个类型，主要与非关系型数据库和数据库AI深度融合两大方向有关。</w:t>
      </w:r>
      <w:r>
        <w:rPr>
          <w:rFonts w:hint="eastAsia" w:ascii="Times New Roman" w:hAnsi="Times New Roman" w:eastAsia="宋体"/>
          <w:b w:val="0"/>
          <w:bCs/>
          <w:color w:val="auto"/>
          <w:sz w:val="30"/>
          <w:szCs w:val="30"/>
          <w:highlight w:val="none"/>
          <w:lang w:val="en-US" w:eastAsia="zh-CN"/>
        </w:rPr>
        <w:t>这五个类型包括：基础能力专项的</w:t>
      </w:r>
      <w:r>
        <w:rPr>
          <w:rFonts w:hint="default" w:ascii="Times New Roman" w:hAnsi="Times New Roman" w:eastAsia="宋体"/>
          <w:b w:val="0"/>
          <w:bCs/>
          <w:color w:val="auto"/>
          <w:sz w:val="30"/>
          <w:szCs w:val="30"/>
          <w:highlight w:val="none"/>
          <w:lang w:val="en-US" w:eastAsia="zh-CN"/>
        </w:rPr>
        <w:t>多模数据库、基于AI大模型的数据库开发管理工具</w:t>
      </w:r>
      <w:r>
        <w:rPr>
          <w:rFonts w:hint="eastAsia" w:ascii="Times New Roman" w:hAnsi="Times New Roman" w:eastAsia="宋体"/>
          <w:b w:val="0"/>
          <w:bCs/>
          <w:color w:val="auto"/>
          <w:sz w:val="30"/>
          <w:szCs w:val="30"/>
          <w:highlight w:val="none"/>
          <w:lang w:val="en-US" w:eastAsia="zh-CN"/>
        </w:rPr>
        <w:t>和</w:t>
      </w:r>
      <w:r>
        <w:rPr>
          <w:rFonts w:hint="default" w:ascii="Times New Roman" w:hAnsi="Times New Roman" w:eastAsia="宋体"/>
          <w:b w:val="0"/>
          <w:bCs/>
          <w:color w:val="auto"/>
          <w:sz w:val="30"/>
          <w:szCs w:val="30"/>
          <w:highlight w:val="none"/>
          <w:lang w:val="en-US" w:eastAsia="zh-CN"/>
        </w:rPr>
        <w:t>数据库灾备恢复系统</w:t>
      </w:r>
      <w:r>
        <w:rPr>
          <w:rFonts w:hint="eastAsia" w:ascii="Times New Roman" w:hAnsi="Times New Roman" w:eastAsia="宋体"/>
          <w:b w:val="0"/>
          <w:bCs/>
          <w:color w:val="auto"/>
          <w:sz w:val="30"/>
          <w:szCs w:val="30"/>
          <w:highlight w:val="none"/>
          <w:lang w:val="en-US" w:eastAsia="zh-CN"/>
        </w:rPr>
        <w:t>；性能专项的</w:t>
      </w:r>
      <w:r>
        <w:rPr>
          <w:rFonts w:hint="default" w:ascii="Times New Roman" w:hAnsi="Times New Roman" w:eastAsia="宋体"/>
          <w:b w:val="0"/>
          <w:bCs/>
          <w:color w:val="auto"/>
          <w:sz w:val="30"/>
          <w:szCs w:val="30"/>
          <w:highlight w:val="none"/>
          <w:lang w:val="en-US" w:eastAsia="zh-CN"/>
        </w:rPr>
        <w:t>图数据库和时空数据库</w:t>
      </w:r>
      <w:r>
        <w:rPr>
          <w:rFonts w:hint="eastAsia" w:ascii="Times New Roman" w:hAnsi="Times New Roman" w:eastAsia="宋体"/>
          <w:b w:val="0"/>
          <w:bCs/>
          <w:color w:val="auto"/>
          <w:sz w:val="30"/>
          <w:szCs w:val="30"/>
          <w:highlight w:val="none"/>
          <w:lang w:val="en-US" w:eastAsia="zh-CN"/>
        </w:rPr>
        <w:t>。</w:t>
      </w:r>
      <w:r>
        <w:rPr>
          <w:rFonts w:hint="default" w:ascii="Times New Roman" w:hAnsi="Times New Roman" w:eastAsia="宋体"/>
          <w:b w:val="0"/>
          <w:bCs/>
          <w:color w:val="auto"/>
          <w:sz w:val="30"/>
          <w:szCs w:val="30"/>
          <w:highlight w:val="none"/>
          <w:lang w:val="en-US" w:eastAsia="zh-CN"/>
        </w:rPr>
        <w:t>首批测试通过的企业有华为云、联想、星环科技、杭州悦数、阿里云和九章云极</w:t>
      </w:r>
      <w:r>
        <w:rPr>
          <w:rFonts w:hint="eastAsia" w:ascii="Times New Roman" w:hAnsi="Times New Roman" w:eastAsia="宋体"/>
          <w:b w:val="0"/>
          <w:bCs/>
          <w:color w:val="auto"/>
          <w:sz w:val="30"/>
          <w:szCs w:val="30"/>
          <w:highlight w:val="none"/>
          <w:lang w:val="en-US" w:eastAsia="zh-CN"/>
        </w:rPr>
        <w:t>。</w:t>
      </w:r>
    </w:p>
    <w:p>
      <w:pPr>
        <w:spacing w:line="360" w:lineRule="auto"/>
        <w:ind w:firstLine="0"/>
      </w:pPr>
      <w:r>
        <w:drawing>
          <wp:inline distT="0" distB="0" distL="114300" distR="114300">
            <wp:extent cx="5271770" cy="2538730"/>
            <wp:effectExtent l="0" t="0" r="127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5271770" cy="2538730"/>
                    </a:xfrm>
                    <a:prstGeom prst="rect">
                      <a:avLst/>
                    </a:prstGeom>
                    <a:noFill/>
                    <a:ln>
                      <a:noFill/>
                    </a:ln>
                  </pic:spPr>
                </pic:pic>
              </a:graphicData>
            </a:graphic>
          </wp:inline>
        </w:drawing>
      </w:r>
    </w:p>
    <w:p>
      <w:pPr>
        <w:spacing w:line="360" w:lineRule="auto"/>
        <w:ind w:firstLine="0"/>
        <w:jc w:val="center"/>
        <w:rPr>
          <w:rFonts w:hint="default" w:ascii="宋体" w:hAnsi="宋体" w:eastAsia="宋体"/>
          <w:szCs w:val="32"/>
          <w:lang w:val="en-US" w:eastAsia="zh-CN"/>
        </w:rPr>
      </w:pPr>
      <w:r>
        <w:rPr>
          <w:rFonts w:hint="eastAsia"/>
          <w:lang w:val="en-US" w:eastAsia="zh-CN"/>
        </w:rPr>
        <w:t xml:space="preserve">图2 </w:t>
      </w:r>
      <w:r>
        <w:rPr>
          <w:rFonts w:hint="eastAsia" w:ascii="宋体" w:hAnsi="宋体" w:eastAsia="宋体"/>
          <w:szCs w:val="32"/>
          <w:lang w:val="en-US" w:eastAsia="zh-CN"/>
        </w:rPr>
        <w:t>可信数据库评测</w:t>
      </w:r>
      <w:r>
        <w:rPr>
          <w:rFonts w:hint="default" w:ascii="宋体" w:hAnsi="宋体" w:eastAsia="宋体"/>
          <w:szCs w:val="32"/>
          <w:lang w:val="en-US" w:eastAsia="zh-CN"/>
        </w:rPr>
        <w:t>体系</w:t>
      </w:r>
      <w:r>
        <w:rPr>
          <w:rStyle w:val="17"/>
          <w:rFonts w:hint="default" w:ascii="宋体" w:hAnsi="宋体" w:eastAsia="宋体"/>
          <w:szCs w:val="32"/>
          <w:lang w:val="en-US" w:eastAsia="zh-CN"/>
        </w:rPr>
        <w:footnoteReference w:id="2"/>
      </w:r>
    </w:p>
    <w:p>
      <w:pPr>
        <w:pStyle w:val="2"/>
        <w:numPr>
          <w:ilvl w:val="0"/>
          <w:numId w:val="2"/>
        </w:numPr>
        <w:ind w:firstLine="420"/>
      </w:pPr>
      <w:r>
        <w:rPr>
          <w:rFonts w:hint="eastAsia"/>
          <w:sz w:val="36"/>
          <w:szCs w:val="20"/>
          <w:lang w:val="en-US" w:eastAsia="zh-CN"/>
        </w:rPr>
        <w:t>优秀企业的数据库产品贯标分析</w:t>
      </w:r>
    </w:p>
    <w:p>
      <w:pPr>
        <w:spacing w:line="360" w:lineRule="auto"/>
        <w:ind w:firstLine="420"/>
        <w:jc w:val="left"/>
        <w:rPr>
          <w:rFonts w:hint="eastAsia" w:ascii="Times New Roman" w:hAnsi="Times New Roman" w:eastAsia="宋体"/>
          <w:bCs/>
          <w:color w:val="auto"/>
          <w:sz w:val="30"/>
          <w:szCs w:val="30"/>
          <w:highlight w:val="none"/>
          <w:lang w:val="en-US" w:eastAsia="zh-CN"/>
        </w:rPr>
      </w:pPr>
      <w:r>
        <w:rPr>
          <w:rFonts w:hint="eastAsia" w:ascii="Times New Roman" w:hAnsi="Times New Roman" w:eastAsia="宋体"/>
          <w:bCs/>
          <w:color w:val="auto"/>
          <w:sz w:val="30"/>
          <w:szCs w:val="30"/>
          <w:highlight w:val="none"/>
          <w:lang w:val="en-US" w:eastAsia="zh-CN"/>
        </w:rPr>
        <w:t>为进一步研究具体数据库产品，文章选择贯标次数较多、细分领域头部企业对标，总结这些企业的数据库产品优势和特点。</w:t>
      </w:r>
    </w:p>
    <w:p>
      <w:pPr>
        <w:jc w:val="center"/>
        <w:rPr>
          <w:rFonts w:hint="eastAsia"/>
          <w:lang w:val="en-US" w:eastAsia="zh-CN"/>
        </w:rPr>
      </w:pPr>
      <w:r>
        <w:rPr>
          <w:rFonts w:hint="eastAsia"/>
          <w:lang w:val="en-US" w:eastAsia="zh-CN"/>
        </w:rPr>
        <w:t>表1 优秀企业数据库产品贯标总览</w:t>
      </w:r>
    </w:p>
    <w:p>
      <w:pPr>
        <w:rPr>
          <w:rFonts w:hint="default"/>
          <w:lang w:val="en-US" w:eastAsia="zh-CN"/>
        </w:rPr>
      </w:pPr>
      <w:r>
        <w:drawing>
          <wp:inline distT="0" distB="0" distL="114300" distR="114300">
            <wp:extent cx="5266690" cy="3895090"/>
            <wp:effectExtent l="0" t="0" r="635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6690" cy="3895090"/>
                    </a:xfrm>
                    <a:prstGeom prst="rect">
                      <a:avLst/>
                    </a:prstGeom>
                    <a:noFill/>
                    <a:ln>
                      <a:noFill/>
                    </a:ln>
                  </pic:spPr>
                </pic:pic>
              </a:graphicData>
            </a:graphic>
          </wp:inline>
        </w:drawing>
      </w:r>
    </w:p>
    <w:p>
      <w:pPr>
        <w:pStyle w:val="3"/>
        <w:numPr>
          <w:ilvl w:val="0"/>
          <w:numId w:val="3"/>
        </w:numPr>
        <w:spacing w:before="156" w:beforeLines="50" w:after="156" w:afterLines="50"/>
        <w:ind w:firstLine="420"/>
        <w:rPr>
          <w:rFonts w:hint="default" w:eastAsia="仿宋"/>
          <w:szCs w:val="24"/>
          <w:lang w:val="en-US" w:eastAsia="zh-CN"/>
        </w:rPr>
      </w:pPr>
      <w:r>
        <w:rPr>
          <w:rFonts w:hint="eastAsia"/>
          <w:lang w:val="en-US" w:eastAsia="zh-CN"/>
        </w:rPr>
        <w:t>全面的产品体系以覆盖不同业务场景需求</w:t>
      </w:r>
    </w:p>
    <w:p>
      <w:pPr>
        <w:widowControl/>
        <w:spacing w:line="240" w:lineRule="auto"/>
        <w:ind w:firstLine="420"/>
        <w:jc w:val="left"/>
        <w:rPr>
          <w:rFonts w:hint="default" w:ascii="Times New Roman" w:hAnsi="Times New Roman" w:eastAsia="宋体"/>
          <w:b w:val="0"/>
          <w:bCs/>
          <w:sz w:val="30"/>
          <w:szCs w:val="30"/>
          <w:highlight w:val="none"/>
          <w:lang w:val="en-US" w:eastAsia="zh-CN"/>
        </w:rPr>
      </w:pPr>
      <w:bookmarkStart w:id="0" w:name="_GoBack"/>
      <w:bookmarkEnd w:id="0"/>
      <w:r>
        <w:rPr>
          <w:rFonts w:hint="eastAsia" w:ascii="Times New Roman" w:hAnsi="Times New Roman" w:eastAsia="宋体"/>
          <w:b/>
          <w:bCs w:val="0"/>
          <w:sz w:val="30"/>
          <w:szCs w:val="30"/>
          <w:highlight w:val="none"/>
          <w:lang w:val="en-US" w:eastAsia="zh-CN"/>
        </w:rPr>
        <w:t>一是多样化数据库服务。</w:t>
      </w:r>
      <w:r>
        <w:rPr>
          <w:rFonts w:hint="eastAsia" w:ascii="Times New Roman" w:hAnsi="Times New Roman" w:eastAsia="宋体"/>
          <w:b w:val="0"/>
          <w:bCs/>
          <w:sz w:val="30"/>
          <w:szCs w:val="30"/>
          <w:highlight w:val="none"/>
          <w:lang w:val="en-US" w:eastAsia="zh-CN"/>
        </w:rPr>
        <w:t>截止2024年6月，全球非关系型及混合型数据库产品数量占比为54%，而我国占比仅为36%</w:t>
      </w:r>
      <w:r>
        <w:rPr>
          <w:rStyle w:val="17"/>
          <w:rFonts w:hint="eastAsia" w:ascii="Times New Roman" w:hAnsi="Times New Roman" w:eastAsia="宋体"/>
          <w:b w:val="0"/>
          <w:bCs/>
          <w:sz w:val="30"/>
          <w:szCs w:val="30"/>
          <w:highlight w:val="none"/>
          <w:lang w:val="en-US" w:eastAsia="zh-CN"/>
        </w:rPr>
        <w:footnoteReference w:id="3"/>
      </w:r>
      <w:r>
        <w:rPr>
          <w:rFonts w:hint="eastAsia" w:ascii="Times New Roman" w:hAnsi="Times New Roman" w:eastAsia="宋体"/>
          <w:b w:val="0"/>
          <w:bCs/>
          <w:sz w:val="30"/>
          <w:szCs w:val="30"/>
          <w:highlight w:val="none"/>
          <w:lang w:val="en-US" w:eastAsia="zh-CN"/>
        </w:rPr>
        <w:t>，头部企业逐渐着力提供多样化非关系型数据库产品，以覆盖广泛的业务需求。如阿里云时序数据库TSDB、图数据库GDB等。</w:t>
      </w:r>
      <w:r>
        <w:rPr>
          <w:rFonts w:hint="eastAsia" w:ascii="Times New Roman" w:hAnsi="Times New Roman" w:eastAsia="宋体"/>
          <w:b/>
          <w:bCs w:val="0"/>
          <w:sz w:val="30"/>
          <w:szCs w:val="30"/>
          <w:highlight w:val="none"/>
          <w:lang w:val="en-US" w:eastAsia="zh-CN"/>
        </w:rPr>
        <w:t>二是完善的配套服务。</w:t>
      </w:r>
      <w:r>
        <w:rPr>
          <w:rFonts w:hint="eastAsia" w:ascii="Times New Roman" w:hAnsi="Times New Roman" w:eastAsia="宋体"/>
          <w:b w:val="0"/>
          <w:bCs/>
          <w:sz w:val="30"/>
          <w:szCs w:val="30"/>
          <w:highlight w:val="none"/>
          <w:lang w:val="en-US" w:eastAsia="zh-CN"/>
        </w:rPr>
        <w:t>数据库厂商除了数据库产品本身，还需向客户提供一站式的管理、监控和安全服务，帮助客户更高效地管理数据库资源，保障数据安全和业务连续性。如阿里云提供的数据管理DMS、数据库自治服务DAS、数据库备份DBS和数据传输服务DTS等。</w:t>
      </w:r>
      <w:r>
        <w:rPr>
          <w:rFonts w:hint="eastAsia" w:ascii="Times New Roman" w:hAnsi="Times New Roman" w:eastAsia="宋体"/>
          <w:b/>
          <w:bCs w:val="0"/>
          <w:sz w:val="30"/>
          <w:szCs w:val="30"/>
          <w:highlight w:val="none"/>
          <w:lang w:val="en-US" w:eastAsia="zh-CN"/>
        </w:rPr>
        <w:t>三是融合人工智能技术。</w:t>
      </w:r>
      <w:r>
        <w:rPr>
          <w:rFonts w:hint="eastAsia" w:ascii="Times New Roman" w:hAnsi="Times New Roman" w:eastAsia="宋体"/>
          <w:b w:val="0"/>
          <w:bCs/>
          <w:sz w:val="30"/>
          <w:szCs w:val="30"/>
          <w:highlight w:val="none"/>
          <w:lang w:val="en-US" w:eastAsia="zh-CN"/>
        </w:rPr>
        <w:t>企业正将人工智能技术融入数据库产品体系中，以提高数据库的智能化水平。如华为云</w:t>
      </w:r>
      <w:r>
        <w:rPr>
          <w:rFonts w:hint="eastAsia" w:ascii="Times New Roman" w:hAnsi="Times New Roman" w:eastAsia="宋体"/>
          <w:b w:val="0"/>
          <w:bCs/>
          <w:sz w:val="30"/>
          <w:szCs w:val="30"/>
          <w:lang w:val="en-US" w:eastAsia="zh-CN"/>
        </w:rPr>
        <w:t>GaussDB统一管控运维平台，通过AI for DB打造自治运维平台，提供性能调优、SQL优化、异常诊断和自治运维能力</w:t>
      </w:r>
      <w:r>
        <w:rPr>
          <w:rFonts w:hint="eastAsia" w:ascii="Times New Roman" w:hAnsi="Times New Roman" w:eastAsia="宋体"/>
          <w:b w:val="0"/>
          <w:bCs/>
          <w:sz w:val="30"/>
          <w:szCs w:val="30"/>
          <w:highlight w:val="none"/>
          <w:lang w:val="en-US" w:eastAsia="zh-CN"/>
        </w:rPr>
        <w:t>，显著提升数据处理的效率和准确性。</w:t>
      </w:r>
      <w:r>
        <w:rPr>
          <w:rFonts w:hint="eastAsia" w:ascii="Times New Roman" w:hAnsi="Times New Roman" w:eastAsia="宋体" w:cstheme="minorBidi"/>
          <w:bCs/>
          <w:color w:val="auto"/>
          <w:kern w:val="2"/>
          <w:sz w:val="30"/>
          <w:szCs w:val="30"/>
          <w:lang w:val="en-US" w:eastAsia="zh-CN" w:bidi="ar"/>
        </w:rPr>
        <w:t xml:space="preserve"> </w:t>
      </w:r>
    </w:p>
    <w:p>
      <w:pPr>
        <w:pStyle w:val="3"/>
        <w:keepNext w:val="0"/>
        <w:keepLines w:val="0"/>
        <w:widowControl/>
        <w:numPr>
          <w:ilvl w:val="0"/>
          <w:numId w:val="3"/>
        </w:numPr>
        <w:suppressLineNumbers w:val="0"/>
        <w:ind w:firstLine="420"/>
        <w:jc w:val="left"/>
        <w:rPr>
          <w:rFonts w:hint="eastAsia"/>
          <w:lang w:val="en-US" w:eastAsia="zh-CN"/>
        </w:rPr>
      </w:pPr>
      <w:r>
        <w:rPr>
          <w:rFonts w:hint="eastAsia"/>
          <w:lang w:val="en-US" w:eastAsia="zh-CN"/>
        </w:rPr>
        <w:t>领先的技术性能以满足服务高标准要求</w:t>
      </w:r>
    </w:p>
    <w:p>
      <w:pPr>
        <w:spacing w:line="360" w:lineRule="auto"/>
        <w:ind w:firstLine="602" w:firstLineChars="200"/>
        <w:rPr>
          <w:rFonts w:hint="default" w:ascii="Times New Roman" w:hAnsi="Times New Roman" w:eastAsia="宋体"/>
          <w:bCs/>
          <w:szCs w:val="30"/>
          <w:lang w:val="en-US" w:eastAsia="zh-CN"/>
        </w:rPr>
      </w:pPr>
      <w:r>
        <w:rPr>
          <w:rFonts w:hint="eastAsia" w:ascii="Times New Roman" w:hAnsi="Times New Roman" w:eastAsia="宋体"/>
          <w:b/>
          <w:bCs w:val="0"/>
          <w:sz w:val="30"/>
          <w:szCs w:val="30"/>
          <w:highlight w:val="none"/>
          <w:lang w:val="en-US" w:eastAsia="zh-CN"/>
        </w:rPr>
        <w:t>一是高性能与高可用性。</w:t>
      </w:r>
      <w:r>
        <w:rPr>
          <w:rFonts w:hint="eastAsia" w:ascii="Times New Roman" w:hAnsi="Times New Roman" w:eastAsia="宋体"/>
          <w:b w:val="0"/>
          <w:bCs/>
          <w:sz w:val="30"/>
          <w:szCs w:val="30"/>
          <w:lang w:val="en-US" w:eastAsia="zh-CN"/>
        </w:rPr>
        <w:t>阿里云云原生分布式数据库PolarDB、云原生多模数据库Lindorm、华为云GaussDB在CPU高负载、硬盘高负载、内存高负载、读写高负载、网络抖动、网络丢包、网络包损坏等故障扰动情况下，满足功能的连续性，维持一定性能，并在故障扰动移除后自动恢复等方面，均通过了数据库稳定性测试要求</w:t>
      </w:r>
      <w:r>
        <w:rPr>
          <w:rFonts w:hint="eastAsia" w:ascii="Times New Roman" w:hAnsi="Times New Roman" w:eastAsia="宋体"/>
          <w:b w:val="0"/>
          <w:bCs/>
          <w:sz w:val="30"/>
          <w:szCs w:val="30"/>
          <w:highlight w:val="none"/>
          <w:lang w:val="en-US" w:eastAsia="zh-CN"/>
        </w:rPr>
        <w:t>。</w:t>
      </w:r>
      <w:r>
        <w:rPr>
          <w:rFonts w:hint="eastAsia" w:ascii="Times New Roman" w:hAnsi="Times New Roman" w:eastAsia="宋体"/>
          <w:b/>
          <w:bCs w:val="0"/>
          <w:sz w:val="30"/>
          <w:szCs w:val="30"/>
          <w:lang w:val="en-US" w:eastAsia="zh-CN"/>
        </w:rPr>
        <w:t>二是安全性和合规性。</w:t>
      </w:r>
      <w:r>
        <w:rPr>
          <w:rFonts w:hint="eastAsia" w:ascii="Times New Roman" w:hAnsi="Times New Roman" w:eastAsia="宋体"/>
          <w:b w:val="0"/>
          <w:bCs/>
          <w:sz w:val="30"/>
          <w:szCs w:val="30"/>
          <w:lang w:val="en-US" w:eastAsia="zh-CN"/>
        </w:rPr>
        <w:t>金篆信科GoldenDB数据库软件通过《关系型数据库安全能力技术要求》标准中用户标识与身份鉴别能力、访问控制能力、数据存储安全能力、数据通信安全能力以及安全审计能力五大能力域的相关要求。中国移动今年3月战略投资金篆信科，双方将加强云数据库技术联合研发。</w:t>
      </w:r>
    </w:p>
    <w:p>
      <w:pPr>
        <w:pStyle w:val="3"/>
        <w:keepNext w:val="0"/>
        <w:keepLines w:val="0"/>
        <w:widowControl/>
        <w:numPr>
          <w:ilvl w:val="0"/>
          <w:numId w:val="3"/>
        </w:numPr>
        <w:suppressLineNumbers w:val="0"/>
        <w:ind w:firstLine="420"/>
        <w:jc w:val="left"/>
        <w:rPr>
          <w:rFonts w:hint="eastAsia" w:ascii="Arial" w:hAnsi="Arial" w:eastAsia="黑体" w:cs="Times New Roman"/>
          <w:sz w:val="32"/>
          <w:szCs w:val="24"/>
          <w:lang w:val="en-US" w:eastAsia="zh-CN"/>
        </w:rPr>
      </w:pPr>
      <w:r>
        <w:rPr>
          <w:rFonts w:hint="eastAsia"/>
          <w:lang w:val="en-US" w:eastAsia="zh-CN"/>
        </w:rPr>
        <w:t>卓越的开源贡献以保持产品技术领导力</w:t>
      </w:r>
    </w:p>
    <w:p>
      <w:pPr>
        <w:spacing w:line="360" w:lineRule="auto"/>
        <w:ind w:firstLine="420"/>
        <w:rPr>
          <w:rFonts w:hint="eastAsia" w:ascii="Times New Roman" w:hAnsi="Times New Roman" w:eastAsia="宋体"/>
          <w:b w:val="0"/>
          <w:bCs/>
          <w:sz w:val="30"/>
          <w:szCs w:val="30"/>
          <w:highlight w:val="none"/>
          <w:lang w:val="en-US" w:eastAsia="zh-CN"/>
        </w:rPr>
      </w:pPr>
      <w:r>
        <w:rPr>
          <w:rFonts w:hint="eastAsia" w:ascii="Times New Roman" w:hAnsi="Times New Roman" w:eastAsia="宋体"/>
          <w:b/>
          <w:bCs w:val="0"/>
          <w:sz w:val="30"/>
          <w:szCs w:val="30"/>
          <w:highlight w:val="none"/>
          <w:lang w:val="en-US" w:eastAsia="zh-CN"/>
        </w:rPr>
        <w:t>一是中国数据库产品从开源套壳走向商业，强壮实力后重新拥抱开源。</w:t>
      </w:r>
      <w:r>
        <w:rPr>
          <w:rFonts w:hint="eastAsia" w:ascii="Times New Roman" w:hAnsi="Times New Roman" w:eastAsia="宋体"/>
          <w:b w:val="0"/>
          <w:bCs/>
          <w:sz w:val="30"/>
          <w:szCs w:val="30"/>
          <w:highlight w:val="none"/>
          <w:lang w:val="en-US" w:eastAsia="zh-CN"/>
        </w:rPr>
        <w:t>中国大多数的数据库产品源于开源项目，尽管早期在核心技术和市场竞争力方面存在不足，但自2019年起，我国在开源数据库领域的投入显著增加，推出22款开源数据库产品。在墨天轮中国数据库流行度排行榜中，前三甲openGauss、OceanBase、PolarDB都是开源数据库产品。</w:t>
      </w:r>
      <w:r>
        <w:rPr>
          <w:rFonts w:hint="eastAsia" w:ascii="Times New Roman" w:hAnsi="Times New Roman" w:eastAsia="宋体"/>
          <w:b/>
          <w:bCs w:val="0"/>
          <w:sz w:val="30"/>
          <w:szCs w:val="30"/>
          <w:highlight w:val="none"/>
          <w:lang w:val="en-US" w:eastAsia="zh-CN"/>
        </w:rPr>
        <w:t>二是推动开源与商业化双轮驱动，促进产品创新和生态繁荣。</w:t>
      </w:r>
      <w:r>
        <w:rPr>
          <w:rFonts w:hint="eastAsia" w:ascii="Times New Roman" w:hAnsi="Times New Roman" w:eastAsia="宋体"/>
          <w:b w:val="0"/>
          <w:bCs/>
          <w:sz w:val="30"/>
          <w:szCs w:val="30"/>
          <w:highlight w:val="none"/>
          <w:lang w:val="en-US" w:eastAsia="zh-CN"/>
        </w:rPr>
        <w:t>一方面，通过开源模式积累用户基础，另一方面，通过提供商业化服务，为开发团队提供持续支持。商业化公司通过开源社区的快速反馈机制，加速产品开发和提升产品质量。如镜舟公司凭借开源社区的活跃度，3-4个月实现新版本的商业化应用。</w:t>
      </w:r>
      <w:r>
        <w:rPr>
          <w:rFonts w:hint="eastAsia" w:ascii="Times New Roman" w:hAnsi="Times New Roman" w:eastAsia="宋体"/>
          <w:b/>
          <w:bCs w:val="0"/>
          <w:sz w:val="30"/>
          <w:szCs w:val="30"/>
          <w:highlight w:val="none"/>
          <w:lang w:val="en-US" w:eastAsia="zh-CN"/>
        </w:rPr>
        <w:t>三是灵活运用多版本开源策略，满足不同市场的差异化需求。</w:t>
      </w:r>
      <w:r>
        <w:rPr>
          <w:rFonts w:hint="eastAsia" w:ascii="Times New Roman" w:hAnsi="Times New Roman" w:eastAsia="宋体"/>
          <w:b w:val="0"/>
          <w:bCs/>
          <w:sz w:val="30"/>
          <w:szCs w:val="30"/>
          <w:highlight w:val="none"/>
          <w:lang w:val="en-US" w:eastAsia="zh-CN"/>
        </w:rPr>
        <w:t>华为openGauss社区每年发布一到两个社区发行版，并孵化商业发行版和行业自用版，同时允许开发者在遵循木兰协议的情况下发行自己的闭源的商业产品，如中国移动CMDB、中国电信 TeleDB for openGauss 以及中国联通的CUDB。</w:t>
      </w:r>
    </w:p>
    <w:p>
      <w:pPr>
        <w:pStyle w:val="2"/>
        <w:ind w:firstLine="420"/>
        <w:rPr>
          <w:rFonts w:hint="eastAsia" w:eastAsiaTheme="minorEastAsia"/>
          <w:sz w:val="36"/>
          <w:szCs w:val="20"/>
          <w:lang w:eastAsia="zh-CN"/>
        </w:rPr>
      </w:pPr>
      <w:r>
        <w:rPr>
          <w:rFonts w:hint="eastAsia"/>
          <w:sz w:val="36"/>
          <w:szCs w:val="20"/>
        </w:rPr>
        <w:t>三、</w:t>
      </w:r>
      <w:r>
        <w:rPr>
          <w:rFonts w:hint="eastAsia"/>
          <w:sz w:val="36"/>
          <w:szCs w:val="20"/>
          <w:lang w:val="en-US" w:eastAsia="zh-CN"/>
        </w:rPr>
        <w:t>启示</w:t>
      </w:r>
    </w:p>
    <w:p>
      <w:pPr>
        <w:numPr>
          <w:ilvl w:val="0"/>
          <w:numId w:val="0"/>
        </w:numPr>
        <w:spacing w:line="240" w:lineRule="auto"/>
        <w:ind w:firstLine="600" w:firstLineChars="200"/>
        <w:rPr>
          <w:rFonts w:hint="eastAsia" w:ascii="Times New Roman" w:hAnsi="Times New Roman" w:eastAsia="宋体"/>
          <w:b w:val="0"/>
          <w:bCs/>
          <w:sz w:val="30"/>
          <w:szCs w:val="30"/>
          <w:lang w:val="en-US" w:eastAsia="zh-CN"/>
        </w:rPr>
      </w:pPr>
      <w:r>
        <w:rPr>
          <w:rFonts w:hint="eastAsia" w:ascii="Times New Roman" w:hAnsi="Times New Roman" w:eastAsia="宋体"/>
          <w:b w:val="0"/>
          <w:bCs/>
          <w:sz w:val="30"/>
          <w:szCs w:val="30"/>
          <w:lang w:val="en-US" w:eastAsia="zh-CN"/>
        </w:rPr>
        <w:t>今年7月，天翼云TeleDB数据库成功通过分布式事务型数据库基础能力和性能测试，针对电信以关系型数据库为主的产品现状，借鉴可信数据库优秀企业做法，中国电信可尝试围绕以下三个方面优化数据库产品布局：</w:t>
      </w:r>
    </w:p>
    <w:p>
      <w:pPr>
        <w:keepNext w:val="0"/>
        <w:keepLines w:val="0"/>
        <w:widowControl/>
        <w:numPr>
          <w:ilvl w:val="0"/>
          <w:numId w:val="4"/>
        </w:numPr>
        <w:suppressLineNumbers w:val="0"/>
        <w:spacing w:line="360" w:lineRule="auto"/>
        <w:jc w:val="left"/>
        <w:rPr>
          <w:rFonts w:hint="eastAsia" w:ascii="Times New Roman" w:hAnsi="Times New Roman" w:eastAsia="宋体"/>
          <w:bCs/>
          <w:sz w:val="30"/>
          <w:szCs w:val="30"/>
          <w:highlight w:val="none"/>
          <w:lang w:val="en-US" w:eastAsia="zh-CN"/>
        </w:rPr>
      </w:pPr>
      <w:r>
        <w:rPr>
          <w:rFonts w:hint="eastAsia" w:ascii="Times New Roman" w:hAnsi="Times New Roman" w:eastAsia="宋体"/>
          <w:b/>
          <w:bCs w:val="0"/>
          <w:sz w:val="30"/>
          <w:szCs w:val="30"/>
          <w:highlight w:val="none"/>
          <w:lang w:val="en-US" w:eastAsia="zh-CN"/>
        </w:rPr>
        <w:t>完善产品体系与集成智能管理，推动与AI融合发展。</w:t>
      </w:r>
    </w:p>
    <w:p>
      <w:pPr>
        <w:keepNext w:val="0"/>
        <w:keepLines w:val="0"/>
        <w:widowControl/>
        <w:numPr>
          <w:ilvl w:val="-1"/>
          <w:numId w:val="0"/>
        </w:numPr>
        <w:suppressLineNumbers w:val="0"/>
        <w:spacing w:line="360" w:lineRule="auto"/>
        <w:ind w:firstLine="420"/>
        <w:jc w:val="left"/>
        <w:rPr>
          <w:rFonts w:hint="eastAsia" w:ascii="Times New Roman" w:hAnsi="Times New Roman" w:eastAsia="宋体"/>
          <w:bCs/>
          <w:sz w:val="30"/>
          <w:szCs w:val="30"/>
          <w:highlight w:val="none"/>
          <w:lang w:val="en-US" w:eastAsia="zh-CN"/>
        </w:rPr>
      </w:pPr>
      <w:r>
        <w:rPr>
          <w:rFonts w:hint="eastAsia" w:ascii="Times New Roman" w:hAnsi="Times New Roman" w:eastAsia="宋体"/>
          <w:b/>
          <w:bCs w:val="0"/>
          <w:sz w:val="30"/>
          <w:szCs w:val="30"/>
          <w:highlight w:val="none"/>
          <w:lang w:val="en-US" w:eastAsia="zh-CN"/>
        </w:rPr>
        <w:t>一是拓展数据库产品线。</w:t>
      </w:r>
      <w:r>
        <w:rPr>
          <w:rFonts w:hint="eastAsia" w:ascii="Times New Roman" w:hAnsi="Times New Roman" w:eastAsia="宋体"/>
          <w:bCs/>
          <w:sz w:val="30"/>
          <w:szCs w:val="30"/>
          <w:highlight w:val="none"/>
          <w:lang w:val="en-US" w:eastAsia="zh-CN"/>
        </w:rPr>
        <w:t>中国电信可扩展数据库产品线，开发多样化服务，</w:t>
      </w:r>
      <w:r>
        <w:rPr>
          <w:rFonts w:hint="eastAsia" w:ascii="Times New Roman" w:hAnsi="Times New Roman" w:eastAsia="宋体"/>
          <w:b w:val="0"/>
          <w:bCs/>
          <w:sz w:val="30"/>
          <w:szCs w:val="30"/>
          <w:highlight w:val="none"/>
          <w:lang w:val="en-US" w:eastAsia="zh-CN"/>
        </w:rPr>
        <w:t>以覆盖时序数据库、图数据库和多模数据库等业务场景。如</w:t>
      </w:r>
      <w:r>
        <w:rPr>
          <w:rFonts w:hint="eastAsia" w:ascii="Times New Roman" w:hAnsi="Times New Roman" w:eastAsia="宋体"/>
          <w:b w:val="0"/>
          <w:bCs/>
          <w:sz w:val="30"/>
          <w:szCs w:val="30"/>
          <w:lang w:val="en-US" w:eastAsia="zh-CN"/>
        </w:rPr>
        <w:t>通过战略投资或合作，引入更多优质资源和技术，</w:t>
      </w:r>
      <w:r>
        <w:rPr>
          <w:rFonts w:hint="eastAsia" w:ascii="Times New Roman" w:hAnsi="Times New Roman" w:eastAsia="宋体"/>
          <w:bCs/>
          <w:sz w:val="30"/>
          <w:szCs w:val="30"/>
          <w:highlight w:val="none"/>
          <w:lang w:val="en-US" w:eastAsia="zh-CN"/>
        </w:rPr>
        <w:t>拓展数据库产品服务。同时，还可提供一站式数据库管理平台，集成数据管理、自治服务、备份和传输服务，以优化用户体验和管理效率。</w:t>
      </w:r>
      <w:r>
        <w:rPr>
          <w:rFonts w:hint="eastAsia" w:ascii="Times New Roman" w:hAnsi="Times New Roman" w:eastAsia="宋体"/>
          <w:b/>
          <w:bCs w:val="0"/>
          <w:sz w:val="30"/>
          <w:szCs w:val="30"/>
          <w:highlight w:val="none"/>
          <w:lang w:val="en-US" w:eastAsia="zh-CN"/>
        </w:rPr>
        <w:t>二是融合AI技术提升数据库智能化水平。</w:t>
      </w:r>
      <w:r>
        <w:rPr>
          <w:rFonts w:hint="eastAsia" w:ascii="Times New Roman" w:hAnsi="Times New Roman" w:eastAsia="宋体"/>
          <w:bCs/>
          <w:sz w:val="30"/>
          <w:szCs w:val="30"/>
          <w:highlight w:val="none"/>
          <w:lang w:val="en-US" w:eastAsia="zh-CN"/>
        </w:rPr>
        <w:t>中国电信可</w:t>
      </w:r>
      <w:r>
        <w:rPr>
          <w:rFonts w:hint="eastAsia" w:ascii="Times New Roman" w:hAnsi="Times New Roman" w:eastAsia="宋体"/>
          <w:b w:val="0"/>
          <w:bCs/>
          <w:sz w:val="30"/>
          <w:szCs w:val="30"/>
          <w:lang w:val="en-US" w:eastAsia="zh-CN"/>
        </w:rPr>
        <w:t>结合TeleDB的智能巡检和故障自愈机制，利用AI技术优化数据库性能，实现自动化的数据库优化、监控和安全防护，提高运维效率和系统稳定性。</w:t>
      </w:r>
    </w:p>
    <w:p>
      <w:pPr>
        <w:widowControl/>
        <w:numPr>
          <w:ilvl w:val="0"/>
          <w:numId w:val="5"/>
        </w:numPr>
        <w:spacing w:line="360" w:lineRule="auto"/>
        <w:jc w:val="left"/>
        <w:rPr>
          <w:rFonts w:hint="eastAsia" w:ascii="Times New Roman" w:hAnsi="Times New Roman" w:eastAsia="宋体"/>
          <w:b w:val="0"/>
          <w:bCs/>
          <w:sz w:val="30"/>
          <w:szCs w:val="30"/>
          <w:lang w:val="en-US" w:eastAsia="zh-CN"/>
        </w:rPr>
      </w:pPr>
      <w:r>
        <w:rPr>
          <w:rFonts w:hint="eastAsia" w:ascii="Times New Roman" w:hAnsi="Times New Roman" w:eastAsia="宋体"/>
          <w:b/>
          <w:bCs w:val="0"/>
          <w:sz w:val="30"/>
          <w:szCs w:val="30"/>
          <w:lang w:val="en-US" w:eastAsia="zh-CN"/>
        </w:rPr>
        <w:t>优化产品性能与强化安全性合规性，提升客户信任度。</w:t>
      </w:r>
    </w:p>
    <w:p>
      <w:pPr>
        <w:widowControl/>
        <w:numPr>
          <w:ilvl w:val="0"/>
          <w:numId w:val="0"/>
        </w:numPr>
        <w:spacing w:line="360" w:lineRule="auto"/>
        <w:ind w:firstLine="420"/>
        <w:jc w:val="left"/>
        <w:rPr>
          <w:rFonts w:hint="eastAsia" w:ascii="Times New Roman" w:hAnsi="Times New Roman" w:eastAsia="宋体"/>
          <w:b w:val="0"/>
          <w:bCs/>
          <w:sz w:val="30"/>
          <w:szCs w:val="30"/>
          <w:lang w:val="en-US" w:eastAsia="zh-CN"/>
        </w:rPr>
      </w:pPr>
      <w:r>
        <w:rPr>
          <w:rFonts w:hint="eastAsia" w:ascii="Times New Roman" w:hAnsi="Times New Roman" w:eastAsia="宋体"/>
          <w:b/>
          <w:bCs w:val="0"/>
          <w:sz w:val="30"/>
          <w:szCs w:val="30"/>
          <w:lang w:val="en-US" w:eastAsia="zh-CN"/>
        </w:rPr>
        <w:t>一是增强数据库性能稳定性。</w:t>
      </w:r>
      <w:r>
        <w:rPr>
          <w:rFonts w:hint="eastAsia" w:ascii="Times New Roman" w:hAnsi="Times New Roman" w:eastAsia="宋体"/>
          <w:b w:val="0"/>
          <w:bCs/>
          <w:sz w:val="30"/>
          <w:szCs w:val="30"/>
          <w:lang w:val="en-US" w:eastAsia="zh-CN"/>
        </w:rPr>
        <w:t>中国电信TeleDB分析型实例可进一步强化</w:t>
      </w:r>
      <w:r>
        <w:rPr>
          <w:rFonts w:hint="eastAsia" w:ascii="Times New Roman" w:hAnsi="Times New Roman" w:eastAsia="宋体"/>
          <w:b w:val="0"/>
          <w:bCs/>
          <w:sz w:val="30"/>
          <w:szCs w:val="30"/>
        </w:rPr>
        <w:t>高负载</w:t>
      </w:r>
      <w:r>
        <w:rPr>
          <w:rFonts w:hint="eastAsia" w:ascii="Times New Roman" w:hAnsi="Times New Roman" w:eastAsia="宋体"/>
          <w:b w:val="0"/>
          <w:bCs/>
          <w:sz w:val="30"/>
          <w:szCs w:val="30"/>
          <w:lang w:val="en-US" w:eastAsia="zh-CN"/>
        </w:rPr>
        <w:t>下的性能稳定性，确保</w:t>
      </w:r>
      <w:r>
        <w:rPr>
          <w:rFonts w:hint="eastAsia" w:ascii="Times New Roman" w:hAnsi="Times New Roman" w:eastAsia="宋体"/>
          <w:b w:val="0"/>
          <w:bCs/>
          <w:sz w:val="30"/>
          <w:szCs w:val="30"/>
        </w:rPr>
        <w:t>高负载及网络异常</w:t>
      </w:r>
      <w:r>
        <w:rPr>
          <w:rFonts w:hint="eastAsia" w:ascii="Times New Roman" w:hAnsi="Times New Roman" w:eastAsia="宋体"/>
          <w:b w:val="0"/>
          <w:bCs/>
          <w:sz w:val="30"/>
          <w:szCs w:val="30"/>
          <w:lang w:val="en-US" w:eastAsia="zh-CN"/>
        </w:rPr>
        <w:t>等故障扰动下，维持功能连续性和性能水平</w:t>
      </w:r>
      <w:r>
        <w:rPr>
          <w:rFonts w:hint="eastAsia" w:ascii="Times New Roman" w:hAnsi="Times New Roman" w:eastAsia="宋体"/>
          <w:b w:val="0"/>
          <w:bCs/>
          <w:sz w:val="30"/>
          <w:szCs w:val="30"/>
        </w:rPr>
        <w:t>，</w:t>
      </w:r>
      <w:r>
        <w:rPr>
          <w:rFonts w:hint="eastAsia" w:ascii="Times New Roman" w:hAnsi="Times New Roman" w:eastAsia="宋体"/>
          <w:b w:val="0"/>
          <w:bCs/>
          <w:sz w:val="30"/>
          <w:szCs w:val="30"/>
          <w:lang w:val="en-US" w:eastAsia="zh-CN"/>
        </w:rPr>
        <w:t>实现故障自愈和快速恢复。</w:t>
      </w:r>
      <w:r>
        <w:rPr>
          <w:rFonts w:hint="eastAsia" w:ascii="Times New Roman" w:hAnsi="Times New Roman" w:eastAsia="宋体"/>
          <w:b/>
          <w:bCs w:val="0"/>
          <w:sz w:val="30"/>
          <w:szCs w:val="30"/>
          <w:lang w:val="en-US" w:eastAsia="zh-CN"/>
        </w:rPr>
        <w:t>二是强化安全性合规性。</w:t>
      </w:r>
      <w:r>
        <w:rPr>
          <w:rFonts w:hint="eastAsia" w:ascii="Times New Roman" w:hAnsi="Times New Roman" w:eastAsia="宋体"/>
          <w:b w:val="0"/>
          <w:bCs/>
          <w:sz w:val="30"/>
          <w:szCs w:val="30"/>
          <w:lang w:val="en-US" w:eastAsia="zh-CN"/>
        </w:rPr>
        <w:t>严格遵循数据保护法规和行业标准，确保数据在存储和处理过程中的安全性和合规性，提升客户信任度。</w:t>
      </w:r>
    </w:p>
    <w:p>
      <w:pPr>
        <w:widowControl/>
        <w:numPr>
          <w:ilvl w:val="0"/>
          <w:numId w:val="5"/>
        </w:numPr>
        <w:spacing w:line="360" w:lineRule="auto"/>
        <w:ind w:firstLine="0" w:firstLineChars="0"/>
        <w:jc w:val="left"/>
        <w:rPr>
          <w:rFonts w:hint="eastAsia" w:ascii="Times New Roman" w:hAnsi="Times New Roman" w:eastAsia="宋体"/>
          <w:b w:val="0"/>
          <w:bCs/>
          <w:sz w:val="30"/>
          <w:szCs w:val="30"/>
          <w:lang w:val="en-US" w:eastAsia="zh-CN"/>
        </w:rPr>
      </w:pPr>
      <w:r>
        <w:rPr>
          <w:rFonts w:hint="eastAsia" w:ascii="Times New Roman" w:hAnsi="Times New Roman" w:eastAsia="宋体"/>
          <w:b/>
          <w:bCs w:val="0"/>
          <w:sz w:val="30"/>
          <w:szCs w:val="30"/>
          <w:highlight w:val="none"/>
          <w:lang w:val="en-US" w:eastAsia="zh-CN"/>
        </w:rPr>
        <w:t>加强开源合作与培养标准化人才，提高技术创新力。</w:t>
      </w:r>
    </w:p>
    <w:p>
      <w:pPr>
        <w:widowControl/>
        <w:numPr>
          <w:ilvl w:val="-1"/>
          <w:numId w:val="0"/>
        </w:numPr>
        <w:spacing w:line="360" w:lineRule="auto"/>
        <w:ind w:firstLine="420"/>
        <w:jc w:val="left"/>
        <w:rPr>
          <w:rFonts w:hint="default" w:ascii="Times New Roman" w:hAnsi="Times New Roman" w:eastAsia="宋体"/>
          <w:b w:val="0"/>
          <w:bCs/>
          <w:sz w:val="30"/>
          <w:szCs w:val="30"/>
          <w:lang w:val="en-US" w:eastAsia="zh-CN"/>
        </w:rPr>
      </w:pPr>
      <w:r>
        <w:rPr>
          <w:rFonts w:hint="eastAsia" w:ascii="Times New Roman" w:hAnsi="Times New Roman" w:eastAsia="宋体"/>
          <w:b/>
          <w:bCs w:val="0"/>
          <w:sz w:val="30"/>
          <w:szCs w:val="30"/>
          <w:highlight w:val="none"/>
          <w:lang w:val="en-US" w:eastAsia="zh-CN"/>
        </w:rPr>
        <w:t>一是加强与开源数据库社区合作，提升产品的迭代速度和创新能力。</w:t>
      </w:r>
      <w:r>
        <w:rPr>
          <w:rFonts w:hint="eastAsia" w:ascii="Times New Roman" w:hAnsi="Times New Roman" w:eastAsia="宋体"/>
          <w:b w:val="0"/>
          <w:bCs/>
          <w:sz w:val="30"/>
          <w:szCs w:val="30"/>
          <w:highlight w:val="none"/>
          <w:lang w:val="en-US" w:eastAsia="zh-CN"/>
        </w:rPr>
        <w:t>中国电信可积极参与开源社区，如openGauss，通过贡献代码、分享经验，提升在开源领域的技术影响力和领导力，并利用开源社区的资源和协作机制，加速技术创新和产品迭代。</w:t>
      </w:r>
      <w:r>
        <w:rPr>
          <w:rFonts w:hint="eastAsia" w:ascii="Times New Roman" w:hAnsi="Times New Roman" w:eastAsia="宋体"/>
          <w:b/>
          <w:bCs w:val="0"/>
          <w:sz w:val="30"/>
          <w:szCs w:val="30"/>
          <w:highlight w:val="none"/>
          <w:lang w:val="en-US" w:eastAsia="zh-CN"/>
        </w:rPr>
        <w:t>二是向开源社区输送人才，推动数据库技术的标准化和规范化。</w:t>
      </w:r>
      <w:r>
        <w:rPr>
          <w:rFonts w:hint="eastAsia" w:ascii="Times New Roman" w:hAnsi="Times New Roman" w:eastAsia="宋体"/>
          <w:b w:val="0"/>
          <w:bCs/>
          <w:sz w:val="30"/>
          <w:szCs w:val="30"/>
          <w:highlight w:val="none"/>
          <w:lang w:val="en-US" w:eastAsia="zh-CN"/>
        </w:rPr>
        <w:t>中国电信可积极参与国家和行业的数据库技术标准的制定和推广，提升数据库产品的互操作性和可维护性。</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pPr>
        <w:pStyle w:val="9"/>
        <w:snapToGrid w:val="0"/>
        <w:rPr>
          <w:rFonts w:hint="default" w:eastAsiaTheme="minorEastAsia"/>
          <w:lang w:val="en-US" w:eastAsia="zh-CN"/>
        </w:rPr>
      </w:pPr>
      <w:r>
        <w:rPr>
          <w:rStyle w:val="17"/>
        </w:rPr>
        <w:footnoteRef/>
      </w:r>
      <w:r>
        <w:t xml:space="preserve"> </w:t>
      </w:r>
      <w:r>
        <w:rPr>
          <w:rFonts w:hint="eastAsia"/>
          <w:lang w:val="en-US" w:eastAsia="zh-CN"/>
        </w:rPr>
        <w:t>2020年及以后数据来自中国信通院可信大数据官网，2020年之前数据来自公开披露信息</w:t>
      </w:r>
    </w:p>
  </w:footnote>
  <w:footnote w:id="1">
    <w:p>
      <w:pPr>
        <w:pStyle w:val="9"/>
        <w:snapToGrid w:val="0"/>
      </w:pPr>
      <w:r>
        <w:rPr>
          <w:rStyle w:val="17"/>
        </w:rPr>
        <w:footnoteRef/>
      </w:r>
      <w:r>
        <w:t xml:space="preserve"> </w:t>
      </w:r>
      <w:r>
        <w:rPr>
          <w:rFonts w:hint="eastAsia"/>
        </w:rPr>
        <w:t>因为大数据和数据库产品在技术特性、应用场景和业务需求方面存在显著差异，本文后续重点分析数据库产品的评测情况。</w:t>
      </w:r>
    </w:p>
  </w:footnote>
  <w:footnote w:id="2">
    <w:p>
      <w:pPr>
        <w:pStyle w:val="9"/>
        <w:snapToGrid w:val="0"/>
        <w:rPr>
          <w:rFonts w:hint="eastAsia" w:eastAsiaTheme="minorEastAsia"/>
          <w:lang w:eastAsia="zh-CN"/>
        </w:rPr>
      </w:pPr>
      <w:r>
        <w:rPr>
          <w:rStyle w:val="17"/>
        </w:rPr>
        <w:footnoteRef/>
      </w:r>
      <w:r>
        <w:t xml:space="preserve"> </w:t>
      </w:r>
      <w:r>
        <w:rPr>
          <w:rFonts w:hint="eastAsia"/>
          <w:lang w:val="en-US" w:eastAsia="zh-CN"/>
        </w:rPr>
        <w:t>信通院</w:t>
      </w:r>
      <w:r>
        <w:rPr>
          <w:rFonts w:hint="eastAsia"/>
          <w:lang w:eastAsia="zh-CN"/>
        </w:rPr>
        <w:t>《</w:t>
      </w:r>
      <w:r>
        <w:rPr>
          <w:rFonts w:hint="eastAsia"/>
        </w:rPr>
        <w:t>数据库发展研究报告(2024年)</w:t>
      </w:r>
      <w:r>
        <w:rPr>
          <w:rFonts w:hint="eastAsia"/>
          <w:lang w:eastAsia="zh-CN"/>
        </w:rPr>
        <w:t>》</w:t>
      </w:r>
    </w:p>
  </w:footnote>
  <w:footnote w:id="3">
    <w:p>
      <w:pPr>
        <w:pStyle w:val="9"/>
        <w:snapToGrid w:val="0"/>
      </w:pPr>
      <w:r>
        <w:rPr>
          <w:rStyle w:val="17"/>
        </w:rPr>
        <w:footnoteRef/>
      </w:r>
      <w:r>
        <w:t xml:space="preserve"> </w:t>
      </w:r>
      <w:r>
        <w:rPr>
          <w:rFonts w:hint="eastAsia"/>
          <w:lang w:val="en-US" w:eastAsia="zh-CN"/>
        </w:rPr>
        <w:t>信通院，</w:t>
      </w:r>
      <w:r>
        <w:rPr>
          <w:rFonts w:hint="eastAsia"/>
        </w:rPr>
        <w:t>数据库发展研究报告(2024年)</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219E4"/>
    <w:multiLevelType w:val="singleLevel"/>
    <w:tmpl w:val="9BB219E4"/>
    <w:lvl w:ilvl="0" w:tentative="0">
      <w:start w:val="1"/>
      <w:numFmt w:val="decimal"/>
      <w:suff w:val="space"/>
      <w:lvlText w:val="%1."/>
      <w:lvlJc w:val="left"/>
    </w:lvl>
  </w:abstractNum>
  <w:abstractNum w:abstractNumId="1">
    <w:nsid w:val="CB7AEFDE"/>
    <w:multiLevelType w:val="singleLevel"/>
    <w:tmpl w:val="CB7AEFDE"/>
    <w:lvl w:ilvl="0" w:tentative="0">
      <w:start w:val="2"/>
      <w:numFmt w:val="decimal"/>
      <w:suff w:val="space"/>
      <w:lvlText w:val="%1."/>
      <w:lvlJc w:val="left"/>
    </w:lvl>
  </w:abstractNum>
  <w:abstractNum w:abstractNumId="2">
    <w:nsid w:val="D51A9536"/>
    <w:multiLevelType w:val="singleLevel"/>
    <w:tmpl w:val="D51A9536"/>
    <w:lvl w:ilvl="0" w:tentative="0">
      <w:start w:val="1"/>
      <w:numFmt w:val="decimal"/>
      <w:suff w:val="space"/>
      <w:lvlText w:val="%1."/>
      <w:lvlJc w:val="left"/>
    </w:lvl>
  </w:abstractNum>
  <w:abstractNum w:abstractNumId="3">
    <w:nsid w:val="F1168593"/>
    <w:multiLevelType w:val="singleLevel"/>
    <w:tmpl w:val="F1168593"/>
    <w:lvl w:ilvl="0" w:tentative="0">
      <w:start w:val="2"/>
      <w:numFmt w:val="chineseCounting"/>
      <w:suff w:val="nothing"/>
      <w:lvlText w:val="%1、"/>
      <w:lvlJc w:val="left"/>
      <w:rPr>
        <w:rFonts w:hint="eastAsia"/>
      </w:rPr>
    </w:lvl>
  </w:abstractNum>
  <w:abstractNum w:abstractNumId="4">
    <w:nsid w:val="04BF10BC"/>
    <w:multiLevelType w:val="singleLevel"/>
    <w:tmpl w:val="04BF10BC"/>
    <w:lvl w:ilvl="0" w:tentative="0">
      <w:start w:val="1"/>
      <w:numFmt w:val="decimal"/>
      <w:suff w:val="space"/>
      <w:lvlText w:val="%1."/>
      <w:lvlJc w:val="left"/>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UxOTAwZmEyM2ZlMTEyYjg4OWM2ZDJmOGE0YzhlNmQifQ=="/>
    <w:docVar w:name="KSO_WPS_MARK_KEY" w:val="c1d38fad-e17c-4ee3-90ef-cd6649d233ee"/>
  </w:docVars>
  <w:rsids>
    <w:rsidRoot w:val="00CA2F05"/>
    <w:rsid w:val="00025742"/>
    <w:rsid w:val="00025D09"/>
    <w:rsid w:val="00043595"/>
    <w:rsid w:val="00044A2B"/>
    <w:rsid w:val="000515F6"/>
    <w:rsid w:val="00054489"/>
    <w:rsid w:val="00070DE9"/>
    <w:rsid w:val="00087E17"/>
    <w:rsid w:val="000B2716"/>
    <w:rsid w:val="000B7915"/>
    <w:rsid w:val="000D6423"/>
    <w:rsid w:val="000F3936"/>
    <w:rsid w:val="0011590D"/>
    <w:rsid w:val="0013201C"/>
    <w:rsid w:val="001339C0"/>
    <w:rsid w:val="0013423B"/>
    <w:rsid w:val="00137E12"/>
    <w:rsid w:val="001611DF"/>
    <w:rsid w:val="001702AE"/>
    <w:rsid w:val="00177654"/>
    <w:rsid w:val="00181D67"/>
    <w:rsid w:val="00185477"/>
    <w:rsid w:val="001B27B9"/>
    <w:rsid w:val="001C2BDD"/>
    <w:rsid w:val="001F4BDC"/>
    <w:rsid w:val="00204DEF"/>
    <w:rsid w:val="0020587D"/>
    <w:rsid w:val="002826B9"/>
    <w:rsid w:val="00291586"/>
    <w:rsid w:val="002932D9"/>
    <w:rsid w:val="003343A1"/>
    <w:rsid w:val="00357FDA"/>
    <w:rsid w:val="00362C82"/>
    <w:rsid w:val="003710CA"/>
    <w:rsid w:val="003746EA"/>
    <w:rsid w:val="00390AE2"/>
    <w:rsid w:val="003C40CC"/>
    <w:rsid w:val="003E0FC9"/>
    <w:rsid w:val="003F1651"/>
    <w:rsid w:val="00401A39"/>
    <w:rsid w:val="00420E3D"/>
    <w:rsid w:val="00434DD0"/>
    <w:rsid w:val="00440835"/>
    <w:rsid w:val="00466652"/>
    <w:rsid w:val="004E2190"/>
    <w:rsid w:val="004E5715"/>
    <w:rsid w:val="00547BD8"/>
    <w:rsid w:val="0057384D"/>
    <w:rsid w:val="005C09BD"/>
    <w:rsid w:val="005C4CD4"/>
    <w:rsid w:val="005D12D2"/>
    <w:rsid w:val="005F5D77"/>
    <w:rsid w:val="00607B95"/>
    <w:rsid w:val="00680267"/>
    <w:rsid w:val="00690E4A"/>
    <w:rsid w:val="006D39EA"/>
    <w:rsid w:val="006E06BD"/>
    <w:rsid w:val="0072775B"/>
    <w:rsid w:val="0074556F"/>
    <w:rsid w:val="0075718F"/>
    <w:rsid w:val="007621B8"/>
    <w:rsid w:val="00782F10"/>
    <w:rsid w:val="007A59E6"/>
    <w:rsid w:val="007C5BAA"/>
    <w:rsid w:val="00845A4F"/>
    <w:rsid w:val="008603C7"/>
    <w:rsid w:val="008706FC"/>
    <w:rsid w:val="00880934"/>
    <w:rsid w:val="0088493A"/>
    <w:rsid w:val="008878BF"/>
    <w:rsid w:val="008A3166"/>
    <w:rsid w:val="008A6976"/>
    <w:rsid w:val="00933B66"/>
    <w:rsid w:val="00962F29"/>
    <w:rsid w:val="009B0A45"/>
    <w:rsid w:val="009B0F18"/>
    <w:rsid w:val="009B7C80"/>
    <w:rsid w:val="009C3DFE"/>
    <w:rsid w:val="009F2456"/>
    <w:rsid w:val="00A14F6A"/>
    <w:rsid w:val="00A31769"/>
    <w:rsid w:val="00A325CB"/>
    <w:rsid w:val="00A33D9A"/>
    <w:rsid w:val="00A557F6"/>
    <w:rsid w:val="00AE56B8"/>
    <w:rsid w:val="00B01F7A"/>
    <w:rsid w:val="00B06C9E"/>
    <w:rsid w:val="00B47874"/>
    <w:rsid w:val="00B70742"/>
    <w:rsid w:val="00B87A79"/>
    <w:rsid w:val="00C016BB"/>
    <w:rsid w:val="00C24CD8"/>
    <w:rsid w:val="00C31F91"/>
    <w:rsid w:val="00C43440"/>
    <w:rsid w:val="00C53741"/>
    <w:rsid w:val="00C67EDE"/>
    <w:rsid w:val="00C77B83"/>
    <w:rsid w:val="00C9122A"/>
    <w:rsid w:val="00CA2F05"/>
    <w:rsid w:val="00CE3ACC"/>
    <w:rsid w:val="00CF1BC2"/>
    <w:rsid w:val="00D1764C"/>
    <w:rsid w:val="00D33708"/>
    <w:rsid w:val="00D354CE"/>
    <w:rsid w:val="00D35D15"/>
    <w:rsid w:val="00D367BA"/>
    <w:rsid w:val="00D66878"/>
    <w:rsid w:val="00D75BF5"/>
    <w:rsid w:val="00D901A2"/>
    <w:rsid w:val="00D90554"/>
    <w:rsid w:val="00DB37E3"/>
    <w:rsid w:val="00DB719C"/>
    <w:rsid w:val="00E04200"/>
    <w:rsid w:val="00E05CA7"/>
    <w:rsid w:val="00E07C66"/>
    <w:rsid w:val="00E17325"/>
    <w:rsid w:val="00E17436"/>
    <w:rsid w:val="00E51F24"/>
    <w:rsid w:val="00E5405B"/>
    <w:rsid w:val="00E54594"/>
    <w:rsid w:val="00E93607"/>
    <w:rsid w:val="00EA5F4E"/>
    <w:rsid w:val="00EB265C"/>
    <w:rsid w:val="00EB7D9F"/>
    <w:rsid w:val="00EF4B01"/>
    <w:rsid w:val="00F03E11"/>
    <w:rsid w:val="00F20FC3"/>
    <w:rsid w:val="00F35034"/>
    <w:rsid w:val="00F36DAE"/>
    <w:rsid w:val="00F4294F"/>
    <w:rsid w:val="00FA50C9"/>
    <w:rsid w:val="00FA5219"/>
    <w:rsid w:val="00FC1F7C"/>
    <w:rsid w:val="00FC6D70"/>
    <w:rsid w:val="00FC76F5"/>
    <w:rsid w:val="00FC7EA0"/>
    <w:rsid w:val="00FE30D5"/>
    <w:rsid w:val="00FE5CC8"/>
    <w:rsid w:val="017612B8"/>
    <w:rsid w:val="018268F4"/>
    <w:rsid w:val="01B464A4"/>
    <w:rsid w:val="01DD5017"/>
    <w:rsid w:val="023E0E10"/>
    <w:rsid w:val="02C44BBE"/>
    <w:rsid w:val="02FF3298"/>
    <w:rsid w:val="03306445"/>
    <w:rsid w:val="034B36B5"/>
    <w:rsid w:val="0350044F"/>
    <w:rsid w:val="0386105B"/>
    <w:rsid w:val="03A03184"/>
    <w:rsid w:val="04870EEF"/>
    <w:rsid w:val="04AD0A3B"/>
    <w:rsid w:val="04AD1909"/>
    <w:rsid w:val="04E2157A"/>
    <w:rsid w:val="051E5BAB"/>
    <w:rsid w:val="0575430E"/>
    <w:rsid w:val="057E0C62"/>
    <w:rsid w:val="05933405"/>
    <w:rsid w:val="05DD6CCE"/>
    <w:rsid w:val="061E617E"/>
    <w:rsid w:val="064022F1"/>
    <w:rsid w:val="065564A8"/>
    <w:rsid w:val="068E6B01"/>
    <w:rsid w:val="06954A7B"/>
    <w:rsid w:val="06BB116A"/>
    <w:rsid w:val="076D14AB"/>
    <w:rsid w:val="0795267D"/>
    <w:rsid w:val="07AF4798"/>
    <w:rsid w:val="07CD1555"/>
    <w:rsid w:val="07F1452D"/>
    <w:rsid w:val="08881DFB"/>
    <w:rsid w:val="089D767C"/>
    <w:rsid w:val="090412D1"/>
    <w:rsid w:val="092C1177"/>
    <w:rsid w:val="093D4B5C"/>
    <w:rsid w:val="098552E8"/>
    <w:rsid w:val="09CC031A"/>
    <w:rsid w:val="09CD08E8"/>
    <w:rsid w:val="09D92F4C"/>
    <w:rsid w:val="0A1F1276"/>
    <w:rsid w:val="0A333A71"/>
    <w:rsid w:val="0A9D041D"/>
    <w:rsid w:val="0AA053F8"/>
    <w:rsid w:val="0AAC4DC3"/>
    <w:rsid w:val="0B193EED"/>
    <w:rsid w:val="0B2C30DE"/>
    <w:rsid w:val="0B48181C"/>
    <w:rsid w:val="0B4E38D5"/>
    <w:rsid w:val="0BCC56FB"/>
    <w:rsid w:val="0BEE535C"/>
    <w:rsid w:val="0C700313"/>
    <w:rsid w:val="0CB00AF8"/>
    <w:rsid w:val="0D0F4ED6"/>
    <w:rsid w:val="0D3A0435"/>
    <w:rsid w:val="0D4D3563"/>
    <w:rsid w:val="0E2963C9"/>
    <w:rsid w:val="0E2C2BD1"/>
    <w:rsid w:val="0E2E1DF2"/>
    <w:rsid w:val="0E657FD3"/>
    <w:rsid w:val="0ECC132B"/>
    <w:rsid w:val="0F28662E"/>
    <w:rsid w:val="0F5E63EF"/>
    <w:rsid w:val="0F746888"/>
    <w:rsid w:val="0F8D08F5"/>
    <w:rsid w:val="0FD02254"/>
    <w:rsid w:val="0FD2532C"/>
    <w:rsid w:val="0FE7187E"/>
    <w:rsid w:val="10095D14"/>
    <w:rsid w:val="111C5E30"/>
    <w:rsid w:val="113C3A20"/>
    <w:rsid w:val="115930ED"/>
    <w:rsid w:val="115D7160"/>
    <w:rsid w:val="11741796"/>
    <w:rsid w:val="119D2ED8"/>
    <w:rsid w:val="11AF3C0B"/>
    <w:rsid w:val="11C1651A"/>
    <w:rsid w:val="11CC1FC2"/>
    <w:rsid w:val="12254FB0"/>
    <w:rsid w:val="122A215C"/>
    <w:rsid w:val="125541C1"/>
    <w:rsid w:val="126C0647"/>
    <w:rsid w:val="12B16200"/>
    <w:rsid w:val="12E14267"/>
    <w:rsid w:val="12FA4A8B"/>
    <w:rsid w:val="13295F18"/>
    <w:rsid w:val="13E53881"/>
    <w:rsid w:val="13EF22C9"/>
    <w:rsid w:val="14285D6E"/>
    <w:rsid w:val="142D1A03"/>
    <w:rsid w:val="143D6344"/>
    <w:rsid w:val="14691987"/>
    <w:rsid w:val="14A327AC"/>
    <w:rsid w:val="14E87931"/>
    <w:rsid w:val="15F6621F"/>
    <w:rsid w:val="15F93431"/>
    <w:rsid w:val="16391602"/>
    <w:rsid w:val="1650736B"/>
    <w:rsid w:val="16AD19E8"/>
    <w:rsid w:val="16AE1D33"/>
    <w:rsid w:val="16B971D8"/>
    <w:rsid w:val="17101665"/>
    <w:rsid w:val="174131E7"/>
    <w:rsid w:val="177C6B31"/>
    <w:rsid w:val="17AB54D5"/>
    <w:rsid w:val="18314F61"/>
    <w:rsid w:val="18497A7B"/>
    <w:rsid w:val="18ED5369"/>
    <w:rsid w:val="199A3195"/>
    <w:rsid w:val="1A0147EF"/>
    <w:rsid w:val="1ACB68E1"/>
    <w:rsid w:val="1B206258"/>
    <w:rsid w:val="1B573CA5"/>
    <w:rsid w:val="1BB55F91"/>
    <w:rsid w:val="1BF55ECD"/>
    <w:rsid w:val="1C1E6EE4"/>
    <w:rsid w:val="1C641838"/>
    <w:rsid w:val="1CF57C45"/>
    <w:rsid w:val="1D1D20C9"/>
    <w:rsid w:val="1E220F0E"/>
    <w:rsid w:val="1F4D3BC3"/>
    <w:rsid w:val="1F946C89"/>
    <w:rsid w:val="1FC2787D"/>
    <w:rsid w:val="1FD92E2A"/>
    <w:rsid w:val="1FF67299"/>
    <w:rsid w:val="202A6557"/>
    <w:rsid w:val="20540072"/>
    <w:rsid w:val="207B7C23"/>
    <w:rsid w:val="20FD1D4D"/>
    <w:rsid w:val="21252E88"/>
    <w:rsid w:val="214F5755"/>
    <w:rsid w:val="21585671"/>
    <w:rsid w:val="217075BA"/>
    <w:rsid w:val="22097501"/>
    <w:rsid w:val="221A58C5"/>
    <w:rsid w:val="22BE01DF"/>
    <w:rsid w:val="238E082C"/>
    <w:rsid w:val="239A4E4F"/>
    <w:rsid w:val="23C03737"/>
    <w:rsid w:val="23CB1297"/>
    <w:rsid w:val="26125EFA"/>
    <w:rsid w:val="263F1A53"/>
    <w:rsid w:val="26606DC5"/>
    <w:rsid w:val="266461C8"/>
    <w:rsid w:val="269668A6"/>
    <w:rsid w:val="270D3C47"/>
    <w:rsid w:val="273810D9"/>
    <w:rsid w:val="276F6CE4"/>
    <w:rsid w:val="279128C0"/>
    <w:rsid w:val="27AF2621"/>
    <w:rsid w:val="27E25DE6"/>
    <w:rsid w:val="28081174"/>
    <w:rsid w:val="280B1BDA"/>
    <w:rsid w:val="28D508BE"/>
    <w:rsid w:val="28F170A5"/>
    <w:rsid w:val="29100D72"/>
    <w:rsid w:val="291E3BEC"/>
    <w:rsid w:val="291F6E18"/>
    <w:rsid w:val="298123BE"/>
    <w:rsid w:val="29B06761"/>
    <w:rsid w:val="2A1F27A5"/>
    <w:rsid w:val="2A3E1197"/>
    <w:rsid w:val="2A806D5B"/>
    <w:rsid w:val="2A810232"/>
    <w:rsid w:val="2ABE7FEF"/>
    <w:rsid w:val="2B4A69C0"/>
    <w:rsid w:val="2B867A80"/>
    <w:rsid w:val="2BB0055A"/>
    <w:rsid w:val="2C000605"/>
    <w:rsid w:val="2C5F157F"/>
    <w:rsid w:val="2CB52F4D"/>
    <w:rsid w:val="2D147AED"/>
    <w:rsid w:val="2D760CDF"/>
    <w:rsid w:val="2D772169"/>
    <w:rsid w:val="2E4275DE"/>
    <w:rsid w:val="2E866303"/>
    <w:rsid w:val="2EA323D4"/>
    <w:rsid w:val="2F3B1D5C"/>
    <w:rsid w:val="2F913E47"/>
    <w:rsid w:val="2FAB03EC"/>
    <w:rsid w:val="2FBA398D"/>
    <w:rsid w:val="2FE04952"/>
    <w:rsid w:val="2FF85707"/>
    <w:rsid w:val="30D57EA0"/>
    <w:rsid w:val="31341C3E"/>
    <w:rsid w:val="31AD27C6"/>
    <w:rsid w:val="32270449"/>
    <w:rsid w:val="3271341F"/>
    <w:rsid w:val="32CD76A0"/>
    <w:rsid w:val="32DE2D20"/>
    <w:rsid w:val="33A924C3"/>
    <w:rsid w:val="345C11DE"/>
    <w:rsid w:val="34722DCA"/>
    <w:rsid w:val="349A75F8"/>
    <w:rsid w:val="35185716"/>
    <w:rsid w:val="35D10F79"/>
    <w:rsid w:val="35E03D1C"/>
    <w:rsid w:val="36A137F0"/>
    <w:rsid w:val="36B56F56"/>
    <w:rsid w:val="37B54209"/>
    <w:rsid w:val="37E17175"/>
    <w:rsid w:val="37F9552F"/>
    <w:rsid w:val="38060621"/>
    <w:rsid w:val="381A12CF"/>
    <w:rsid w:val="38535534"/>
    <w:rsid w:val="3870704C"/>
    <w:rsid w:val="38BA6862"/>
    <w:rsid w:val="390E5779"/>
    <w:rsid w:val="393712EB"/>
    <w:rsid w:val="3939039A"/>
    <w:rsid w:val="3988377F"/>
    <w:rsid w:val="39947F9B"/>
    <w:rsid w:val="399A4F5A"/>
    <w:rsid w:val="3A022C96"/>
    <w:rsid w:val="3A091644"/>
    <w:rsid w:val="3A39715C"/>
    <w:rsid w:val="3A7604AF"/>
    <w:rsid w:val="3A905471"/>
    <w:rsid w:val="3AC85F07"/>
    <w:rsid w:val="3AE1138E"/>
    <w:rsid w:val="3AF24F9D"/>
    <w:rsid w:val="3C3E337D"/>
    <w:rsid w:val="3C4552A4"/>
    <w:rsid w:val="3C5A4444"/>
    <w:rsid w:val="3CAB2A6D"/>
    <w:rsid w:val="3CE265A5"/>
    <w:rsid w:val="3CED5D1D"/>
    <w:rsid w:val="3D290427"/>
    <w:rsid w:val="3D4B3D1F"/>
    <w:rsid w:val="3D4D3178"/>
    <w:rsid w:val="3DB57251"/>
    <w:rsid w:val="3E2A1002"/>
    <w:rsid w:val="3E96334A"/>
    <w:rsid w:val="3F490856"/>
    <w:rsid w:val="3F4A24AD"/>
    <w:rsid w:val="40820F6F"/>
    <w:rsid w:val="40DC7E18"/>
    <w:rsid w:val="4114603C"/>
    <w:rsid w:val="413864FC"/>
    <w:rsid w:val="413D04CF"/>
    <w:rsid w:val="41B36EF2"/>
    <w:rsid w:val="41F92FC1"/>
    <w:rsid w:val="41FC1298"/>
    <w:rsid w:val="425D3E24"/>
    <w:rsid w:val="42B63FDE"/>
    <w:rsid w:val="42F73E67"/>
    <w:rsid w:val="433C187A"/>
    <w:rsid w:val="43562BAD"/>
    <w:rsid w:val="436D7087"/>
    <w:rsid w:val="437E1399"/>
    <w:rsid w:val="440B052F"/>
    <w:rsid w:val="441F673C"/>
    <w:rsid w:val="44B460DE"/>
    <w:rsid w:val="44DA759D"/>
    <w:rsid w:val="44EC0221"/>
    <w:rsid w:val="45890380"/>
    <w:rsid w:val="46416AD6"/>
    <w:rsid w:val="464C7B6A"/>
    <w:rsid w:val="46974DF0"/>
    <w:rsid w:val="46A40106"/>
    <w:rsid w:val="46D80370"/>
    <w:rsid w:val="46FD528D"/>
    <w:rsid w:val="471A7C93"/>
    <w:rsid w:val="47504163"/>
    <w:rsid w:val="47737835"/>
    <w:rsid w:val="47EB050B"/>
    <w:rsid w:val="480F4440"/>
    <w:rsid w:val="48142CAD"/>
    <w:rsid w:val="48506EEF"/>
    <w:rsid w:val="485F6858"/>
    <w:rsid w:val="489B2425"/>
    <w:rsid w:val="48CA456D"/>
    <w:rsid w:val="49156D83"/>
    <w:rsid w:val="496F0BFB"/>
    <w:rsid w:val="49950A80"/>
    <w:rsid w:val="49BA1429"/>
    <w:rsid w:val="49BD23F4"/>
    <w:rsid w:val="4A290DBA"/>
    <w:rsid w:val="4B06387A"/>
    <w:rsid w:val="4B0A7451"/>
    <w:rsid w:val="4B1A19C7"/>
    <w:rsid w:val="4B864B33"/>
    <w:rsid w:val="4BC90A6B"/>
    <w:rsid w:val="4BF07FF0"/>
    <w:rsid w:val="4C344ADE"/>
    <w:rsid w:val="4C6C3691"/>
    <w:rsid w:val="4D1E093A"/>
    <w:rsid w:val="4D32215D"/>
    <w:rsid w:val="4D85403F"/>
    <w:rsid w:val="4DAF563B"/>
    <w:rsid w:val="4EB67779"/>
    <w:rsid w:val="4EC8688C"/>
    <w:rsid w:val="4EE24D40"/>
    <w:rsid w:val="4F1B67F5"/>
    <w:rsid w:val="4F516CED"/>
    <w:rsid w:val="4FB8497E"/>
    <w:rsid w:val="4FCA6DC6"/>
    <w:rsid w:val="507746C0"/>
    <w:rsid w:val="51222D13"/>
    <w:rsid w:val="51881F9F"/>
    <w:rsid w:val="51A0758E"/>
    <w:rsid w:val="51FF054E"/>
    <w:rsid w:val="52173BDE"/>
    <w:rsid w:val="5247534A"/>
    <w:rsid w:val="52B174B8"/>
    <w:rsid w:val="537760C3"/>
    <w:rsid w:val="540834C1"/>
    <w:rsid w:val="54251CFA"/>
    <w:rsid w:val="54A51975"/>
    <w:rsid w:val="54DF5749"/>
    <w:rsid w:val="54FD1CBA"/>
    <w:rsid w:val="55AF7E22"/>
    <w:rsid w:val="55C4433B"/>
    <w:rsid w:val="55E93AE3"/>
    <w:rsid w:val="562A443E"/>
    <w:rsid w:val="56931DB4"/>
    <w:rsid w:val="56BC6214"/>
    <w:rsid w:val="56EB2B5D"/>
    <w:rsid w:val="57787C67"/>
    <w:rsid w:val="57837542"/>
    <w:rsid w:val="57C51A90"/>
    <w:rsid w:val="57E00C2F"/>
    <w:rsid w:val="580F63BB"/>
    <w:rsid w:val="5841786D"/>
    <w:rsid w:val="58A81585"/>
    <w:rsid w:val="58C87E01"/>
    <w:rsid w:val="58D07ACE"/>
    <w:rsid w:val="59070E77"/>
    <w:rsid w:val="594A221A"/>
    <w:rsid w:val="5951464F"/>
    <w:rsid w:val="59686860"/>
    <w:rsid w:val="59F841F9"/>
    <w:rsid w:val="59F943F1"/>
    <w:rsid w:val="5A746265"/>
    <w:rsid w:val="5AC928C4"/>
    <w:rsid w:val="5ADF7263"/>
    <w:rsid w:val="5B99417E"/>
    <w:rsid w:val="5C695944"/>
    <w:rsid w:val="5CE92917"/>
    <w:rsid w:val="5DB53BB9"/>
    <w:rsid w:val="5DBE5856"/>
    <w:rsid w:val="5DCF1811"/>
    <w:rsid w:val="5E2815A9"/>
    <w:rsid w:val="5ECE467C"/>
    <w:rsid w:val="5ED35331"/>
    <w:rsid w:val="5F5761A1"/>
    <w:rsid w:val="5FAA189B"/>
    <w:rsid w:val="5FB6443E"/>
    <w:rsid w:val="608E3944"/>
    <w:rsid w:val="60CB55F8"/>
    <w:rsid w:val="620B01AA"/>
    <w:rsid w:val="623A4D44"/>
    <w:rsid w:val="629E3893"/>
    <w:rsid w:val="6331344C"/>
    <w:rsid w:val="63912C40"/>
    <w:rsid w:val="64134721"/>
    <w:rsid w:val="64314847"/>
    <w:rsid w:val="650C50F9"/>
    <w:rsid w:val="65D927DB"/>
    <w:rsid w:val="6603474E"/>
    <w:rsid w:val="664B7EA3"/>
    <w:rsid w:val="66844564"/>
    <w:rsid w:val="66982D7F"/>
    <w:rsid w:val="669D4D8E"/>
    <w:rsid w:val="669E30E8"/>
    <w:rsid w:val="66CE0D63"/>
    <w:rsid w:val="66E86E41"/>
    <w:rsid w:val="678941CE"/>
    <w:rsid w:val="67D63066"/>
    <w:rsid w:val="67DB41F5"/>
    <w:rsid w:val="67E800C1"/>
    <w:rsid w:val="686C6CC3"/>
    <w:rsid w:val="6874680E"/>
    <w:rsid w:val="68D143CD"/>
    <w:rsid w:val="691A0A1D"/>
    <w:rsid w:val="692A1FF1"/>
    <w:rsid w:val="693477D9"/>
    <w:rsid w:val="69714AFC"/>
    <w:rsid w:val="69AD31CA"/>
    <w:rsid w:val="69C5055B"/>
    <w:rsid w:val="6A1E760F"/>
    <w:rsid w:val="6A22020A"/>
    <w:rsid w:val="6A27153F"/>
    <w:rsid w:val="6AD42B7D"/>
    <w:rsid w:val="6AE306AA"/>
    <w:rsid w:val="6B0174D9"/>
    <w:rsid w:val="6B3616ED"/>
    <w:rsid w:val="6B3A08FF"/>
    <w:rsid w:val="6B4F0589"/>
    <w:rsid w:val="6B653436"/>
    <w:rsid w:val="6B7F31B3"/>
    <w:rsid w:val="6C28061A"/>
    <w:rsid w:val="6C8B4D0D"/>
    <w:rsid w:val="6CF305CE"/>
    <w:rsid w:val="6D357A95"/>
    <w:rsid w:val="6D5B0955"/>
    <w:rsid w:val="6D99362E"/>
    <w:rsid w:val="6DB70237"/>
    <w:rsid w:val="6DCE3FE4"/>
    <w:rsid w:val="6E254358"/>
    <w:rsid w:val="6E4B6C92"/>
    <w:rsid w:val="6E5C7A41"/>
    <w:rsid w:val="6E6B7058"/>
    <w:rsid w:val="6EC86534"/>
    <w:rsid w:val="6F1918D1"/>
    <w:rsid w:val="6F2B7DCC"/>
    <w:rsid w:val="6FE50ADF"/>
    <w:rsid w:val="701E411B"/>
    <w:rsid w:val="70685AE9"/>
    <w:rsid w:val="70A551DB"/>
    <w:rsid w:val="71455525"/>
    <w:rsid w:val="7150126C"/>
    <w:rsid w:val="719224AA"/>
    <w:rsid w:val="71B66B18"/>
    <w:rsid w:val="71DD137A"/>
    <w:rsid w:val="72421119"/>
    <w:rsid w:val="726710A6"/>
    <w:rsid w:val="72AF4BFC"/>
    <w:rsid w:val="72F65B1E"/>
    <w:rsid w:val="73007F54"/>
    <w:rsid w:val="7315161C"/>
    <w:rsid w:val="73225B94"/>
    <w:rsid w:val="73A44568"/>
    <w:rsid w:val="74337345"/>
    <w:rsid w:val="74523B27"/>
    <w:rsid w:val="74634609"/>
    <w:rsid w:val="74E4310D"/>
    <w:rsid w:val="7510349A"/>
    <w:rsid w:val="75B6127C"/>
    <w:rsid w:val="75E014EA"/>
    <w:rsid w:val="76890665"/>
    <w:rsid w:val="76AB3CA3"/>
    <w:rsid w:val="76C23463"/>
    <w:rsid w:val="7715296F"/>
    <w:rsid w:val="77ED2F50"/>
    <w:rsid w:val="78202F3D"/>
    <w:rsid w:val="78AE4F5C"/>
    <w:rsid w:val="791C08A3"/>
    <w:rsid w:val="79BB6A42"/>
    <w:rsid w:val="79F44E4C"/>
    <w:rsid w:val="7BAE6B9A"/>
    <w:rsid w:val="7CFC55FB"/>
    <w:rsid w:val="7D0970B0"/>
    <w:rsid w:val="7DB31FA9"/>
    <w:rsid w:val="7DCA3EFB"/>
    <w:rsid w:val="7E1049F6"/>
    <w:rsid w:val="7E39413B"/>
    <w:rsid w:val="7EA67A37"/>
    <w:rsid w:val="7EE1621A"/>
    <w:rsid w:val="7EE60311"/>
    <w:rsid w:val="7F4640AF"/>
    <w:rsid w:val="7F8467DE"/>
    <w:rsid w:val="7FCF3C39"/>
    <w:rsid w:val="7FDF3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18"/>
    <w:unhideWhenUsed/>
    <w:qFormat/>
    <w:uiPriority w:val="0"/>
    <w:pPr>
      <w:keepNext/>
      <w:keepLines/>
      <w:spacing w:before="260" w:after="260" w:line="413" w:lineRule="auto"/>
      <w:outlineLvl w:val="1"/>
    </w:pPr>
    <w:rPr>
      <w:rFonts w:ascii="Arial" w:hAnsi="Arial" w:eastAsia="黑体" w:cs="Times New Roman"/>
      <w:b/>
      <w:sz w:val="32"/>
      <w:szCs w:val="24"/>
    </w:rPr>
  </w:style>
  <w:style w:type="paragraph" w:styleId="4">
    <w:name w:val="heading 3"/>
    <w:basedOn w:val="1"/>
    <w:next w:val="1"/>
    <w:link w:val="21"/>
    <w:semiHidden/>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alloon Text"/>
    <w:basedOn w:val="1"/>
    <w:link w:val="27"/>
    <w:semiHidden/>
    <w:unhideWhenUsed/>
    <w:qFormat/>
    <w:uiPriority w:val="99"/>
    <w:rPr>
      <w:sz w:val="18"/>
      <w:szCs w:val="18"/>
    </w:rPr>
  </w:style>
  <w:style w:type="paragraph" w:styleId="7">
    <w:name w:val="footer"/>
    <w:basedOn w:val="1"/>
    <w:link w:val="23"/>
    <w:unhideWhenUsed/>
    <w:qFormat/>
    <w:uiPriority w:val="99"/>
    <w:pPr>
      <w:tabs>
        <w:tab w:val="center" w:pos="4153"/>
        <w:tab w:val="right" w:pos="8306"/>
      </w:tabs>
      <w:snapToGrid w:val="0"/>
      <w:jc w:val="left"/>
    </w:pPr>
    <w:rPr>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semiHidden/>
    <w:unhideWhenUsed/>
    <w:qFormat/>
    <w:uiPriority w:val="99"/>
    <w:pPr>
      <w:snapToGrid w:val="0"/>
      <w:jc w:val="left"/>
    </w:pPr>
    <w:rPr>
      <w:sz w:val="18"/>
    </w:rPr>
  </w:style>
  <w:style w:type="paragraph" w:styleId="10">
    <w:name w:val="Normal (Web)"/>
    <w:basedOn w:val="1"/>
    <w:semiHidden/>
    <w:unhideWhenUsed/>
    <w:qFormat/>
    <w:uiPriority w:val="99"/>
    <w:pPr>
      <w:spacing w:beforeAutospacing="1" w:afterAutospacing="1"/>
      <w:jc w:val="left"/>
    </w:pPr>
    <w:rPr>
      <w:rFonts w:cs="Times New Roman"/>
      <w:kern w:val="0"/>
      <w:sz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Emphasis"/>
    <w:basedOn w:val="13"/>
    <w:qFormat/>
    <w:uiPriority w:val="20"/>
    <w:rPr>
      <w:i/>
    </w:rPr>
  </w:style>
  <w:style w:type="character" w:styleId="16">
    <w:name w:val="Hyperlink"/>
    <w:basedOn w:val="13"/>
    <w:semiHidden/>
    <w:unhideWhenUsed/>
    <w:qFormat/>
    <w:uiPriority w:val="99"/>
    <w:rPr>
      <w:color w:val="0000FF"/>
      <w:u w:val="single"/>
    </w:rPr>
  </w:style>
  <w:style w:type="character" w:styleId="17">
    <w:name w:val="footnote reference"/>
    <w:basedOn w:val="13"/>
    <w:qFormat/>
    <w:uiPriority w:val="99"/>
    <w:rPr>
      <w:vertAlign w:val="superscript"/>
    </w:rPr>
  </w:style>
  <w:style w:type="character" w:customStyle="1" w:styleId="18">
    <w:name w:val="标题 2 字符"/>
    <w:basedOn w:val="13"/>
    <w:link w:val="3"/>
    <w:qFormat/>
    <w:uiPriority w:val="0"/>
    <w:rPr>
      <w:rFonts w:ascii="Arial" w:hAnsi="Arial" w:eastAsia="黑体" w:cs="Times New Roman"/>
      <w:b/>
      <w:sz w:val="32"/>
      <w:szCs w:val="24"/>
    </w:rPr>
  </w:style>
  <w:style w:type="paragraph" w:styleId="19">
    <w:name w:val="No Spacing"/>
    <w:link w:val="20"/>
    <w:qFormat/>
    <w:uiPriority w:val="1"/>
    <w:rPr>
      <w:rFonts w:asciiTheme="minorHAnsi" w:hAnsiTheme="minorHAnsi" w:eastAsiaTheme="minorEastAsia" w:cstheme="minorBidi"/>
      <w:sz w:val="22"/>
      <w:szCs w:val="22"/>
      <w:lang w:val="en-US" w:eastAsia="zh-CN" w:bidi="ar-SA"/>
    </w:rPr>
  </w:style>
  <w:style w:type="character" w:customStyle="1" w:styleId="20">
    <w:name w:val="无间隔 字符"/>
    <w:basedOn w:val="13"/>
    <w:link w:val="19"/>
    <w:qFormat/>
    <w:uiPriority w:val="1"/>
    <w:rPr>
      <w:kern w:val="0"/>
      <w:sz w:val="22"/>
    </w:rPr>
  </w:style>
  <w:style w:type="character" w:customStyle="1" w:styleId="21">
    <w:name w:val="标题 3 字符"/>
    <w:basedOn w:val="13"/>
    <w:link w:val="4"/>
    <w:semiHidden/>
    <w:qFormat/>
    <w:uiPriority w:val="9"/>
    <w:rPr>
      <w:b/>
      <w:bCs/>
      <w:sz w:val="32"/>
      <w:szCs w:val="32"/>
    </w:rPr>
  </w:style>
  <w:style w:type="character" w:customStyle="1" w:styleId="22">
    <w:name w:val="页眉 字符"/>
    <w:basedOn w:val="13"/>
    <w:link w:val="8"/>
    <w:qFormat/>
    <w:uiPriority w:val="99"/>
    <w:rPr>
      <w:sz w:val="18"/>
      <w:szCs w:val="18"/>
    </w:rPr>
  </w:style>
  <w:style w:type="character" w:customStyle="1" w:styleId="23">
    <w:name w:val="页脚 字符"/>
    <w:basedOn w:val="13"/>
    <w:link w:val="7"/>
    <w:qFormat/>
    <w:uiPriority w:val="99"/>
    <w:rPr>
      <w:sz w:val="18"/>
      <w:szCs w:val="18"/>
    </w:rPr>
  </w:style>
  <w:style w:type="character" w:customStyle="1" w:styleId="24">
    <w:name w:val="font11"/>
    <w:basedOn w:val="13"/>
    <w:qFormat/>
    <w:uiPriority w:val="0"/>
    <w:rPr>
      <w:rFonts w:hint="eastAsia" w:ascii="等线" w:hAnsi="等线" w:eastAsia="等线" w:cs="等线"/>
      <w:b/>
      <w:bCs/>
      <w:color w:val="000000"/>
      <w:sz w:val="16"/>
      <w:szCs w:val="16"/>
      <w:u w:val="none"/>
    </w:rPr>
  </w:style>
  <w:style w:type="character" w:customStyle="1" w:styleId="25">
    <w:name w:val="font31"/>
    <w:basedOn w:val="13"/>
    <w:qFormat/>
    <w:uiPriority w:val="0"/>
    <w:rPr>
      <w:rFonts w:hint="eastAsia" w:ascii="等线" w:hAnsi="等线" w:eastAsia="等线" w:cs="等线"/>
      <w:color w:val="000000"/>
      <w:sz w:val="16"/>
      <w:szCs w:val="16"/>
      <w:u w:val="none"/>
    </w:rPr>
  </w:style>
  <w:style w:type="paragraph" w:styleId="26">
    <w:name w:val="List Paragraph"/>
    <w:basedOn w:val="1"/>
    <w:qFormat/>
    <w:uiPriority w:val="99"/>
    <w:pPr>
      <w:ind w:firstLine="420" w:firstLineChars="200"/>
    </w:pPr>
  </w:style>
  <w:style w:type="character" w:customStyle="1" w:styleId="27">
    <w:name w:val="批注框文本 字符"/>
    <w:basedOn w:val="13"/>
    <w:link w:val="6"/>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emf"/><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C76C0-5F38-4A2A-8D24-4C6592D80FD6}">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8</Pages>
  <Words>3022</Words>
  <Characters>3279</Characters>
  <Lines>25</Lines>
  <Paragraphs>7</Paragraphs>
  <TotalTime>24</TotalTime>
  <ScaleCrop>false</ScaleCrop>
  <LinksUpToDate>false</LinksUpToDate>
  <CharactersWithSpaces>3289</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2023-08-25T08:24:00Z</dcterms:created>
  <dc:creator>denglihua</dc:creator>
  <cp:lastModifiedBy>dengl</cp:lastModifiedBy>
  <dcterms:modified xsi:type="dcterms:W3CDTF">2024-07-29T07:20:53Z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00550FEDE8874EFDBEBA46AB2D23B684_13</vt:lpwstr>
  </property>
</Properties>
</file>