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78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后起之秀——华为全屋智能发展策略分析</w:t>
      </w:r>
    </w:p>
    <w:p>
      <w:pPr>
        <w:ind w:left="2557"/>
        <w:spacing w:before="332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6"/>
        </w:rPr>
        <w:t>文/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于明月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彭淇</w:t>
      </w:r>
      <w:r>
        <w:rPr>
          <w:rFonts w:ascii="STKaiti" w:hAnsi="STKaiti" w:eastAsia="STKaiti" w:cs="STKaiti"/>
          <w:sz w:val="30"/>
          <w:szCs w:val="30"/>
          <w:spacing w:val="24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胡雪原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left="24" w:right="102" w:firstLine="650"/>
        <w:spacing w:before="101" w:line="23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一、全屋智能领域发展迅速，竞争激烈，华为实现弯道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赶超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25" w:firstLine="601"/>
        <w:spacing w:before="9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全屋智能行业在人工智能及物联网等新技术飞速发展、政策</w:t>
      </w:r>
      <w:r>
        <w:rPr>
          <w:rFonts w:ascii="SimSun" w:hAnsi="SimSun" w:eastAsia="SimSun" w:cs="SimSun"/>
          <w:sz w:val="30"/>
          <w:szCs w:val="30"/>
          <w:spacing w:val="-1"/>
        </w:rPr>
        <w:t>环境大力扶持、居民智能化生活需求日益增长等因素的加持下，</w:t>
      </w:r>
      <w:r>
        <w:rPr>
          <w:rFonts w:ascii="SimSun" w:hAnsi="SimSun" w:eastAsia="SimSun" w:cs="SimSun"/>
          <w:sz w:val="30"/>
          <w:szCs w:val="30"/>
          <w:spacing w:val="-2"/>
        </w:rPr>
        <w:t>在近几年内经历了稳定增长的发展阶段，预计</w:t>
      </w:r>
      <w:r>
        <w:rPr>
          <w:rFonts w:ascii="SimSun" w:hAnsi="SimSun" w:eastAsia="SimSun" w:cs="SimSun"/>
          <w:sz w:val="30"/>
          <w:szCs w:val="3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2026</w:t>
      </w:r>
      <w:r>
        <w:rPr>
          <w:rFonts w:ascii="Times New Roman" w:hAnsi="Times New Roman" w:eastAsia="Times New Roman" w:cs="Times New Roman"/>
          <w:sz w:val="30"/>
          <w:szCs w:val="3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年市场规模</w:t>
      </w:r>
      <w:r>
        <w:rPr>
          <w:rFonts w:ascii="SimSun" w:hAnsi="SimSun" w:eastAsia="SimSun" w:cs="SimSun"/>
          <w:sz w:val="30"/>
          <w:szCs w:val="30"/>
          <w:spacing w:val="-1"/>
        </w:rPr>
        <w:t>有望达到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4367 </w:t>
      </w:r>
      <w:r>
        <w:rPr>
          <w:rFonts w:ascii="SimSun" w:hAnsi="SimSun" w:eastAsia="SimSun" w:cs="SimSun"/>
          <w:sz w:val="30"/>
          <w:szCs w:val="30"/>
          <w:spacing w:val="-1"/>
        </w:rPr>
        <w:t>亿元，年复合增长率为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5.38%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636"/>
        <w:spacing w:before="26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．行业竞争激烈，华为入局较晚</w:t>
      </w:r>
    </w:p>
    <w:p>
      <w:pPr>
        <w:ind w:firstLine="14"/>
        <w:spacing w:before="28" w:line="3295" w:lineRule="exact"/>
        <w:rPr/>
      </w:pPr>
      <w:r>
        <w:rPr>
          <w:position w:val="-65"/>
        </w:rPr>
        <w:drawing>
          <wp:inline distT="0" distB="0" distL="0" distR="0">
            <wp:extent cx="5274563" cy="209245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09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2"/>
        <w:spacing w:before="133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全屋智能行业玩家入局时间线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firstLine="14"/>
        <w:spacing w:before="1" w:line="3261" w:lineRule="exact"/>
        <w:rPr/>
      </w:pPr>
      <w:r>
        <w:rPr>
          <w:position w:val="-65"/>
        </w:rPr>
        <w:drawing>
          <wp:inline distT="0" distB="0" distL="0" distR="0">
            <wp:extent cx="5274563" cy="207111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0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1"/>
        <w:spacing w:before="155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华为布局全屋智能及战略升级时间线</w:t>
      </w:r>
    </w:p>
    <w:p>
      <w:pPr>
        <w:spacing w:line="216" w:lineRule="auto"/>
        <w:sectPr>
          <w:pgSz w:w="11907" w:h="16839"/>
          <w:pgMar w:top="1431" w:right="1713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2" w:right="13" w:firstLine="593"/>
        <w:spacing w:before="97" w:line="264" w:lineRule="auto"/>
        <w:jc w:val="both"/>
        <w:rPr/>
      </w:pPr>
      <w:r>
        <w:rPr>
          <w:spacing w:val="-4"/>
        </w:rPr>
        <w:t>全屋智能的庞大需求与广阔前景吸引了众多行业玩家</w:t>
      </w:r>
      <w:r>
        <w:rPr>
          <w:spacing w:val="-5"/>
        </w:rPr>
        <w:t>，以美</w:t>
      </w:r>
      <w:r>
        <w:rPr>
          <w:spacing w:val="-8"/>
        </w:rPr>
        <w:t>的、海尔为代表的传统家电企业纷纷转型升级，</w:t>
      </w:r>
      <w:r>
        <w:rPr>
          <w:spacing w:val="-38"/>
        </w:rPr>
        <w:t xml:space="preserve"> </w:t>
      </w:r>
      <w:r>
        <w:rPr>
          <w:spacing w:val="-8"/>
        </w:rPr>
        <w:t>最早入局玩</w:t>
      </w:r>
      <w:r>
        <w:rPr>
          <w:spacing w:val="-9"/>
        </w:rPr>
        <w:t>家海</w:t>
      </w:r>
      <w:r>
        <w:rPr>
          <w:spacing w:val="-2"/>
        </w:rPr>
        <w:t>尔在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2014 </w:t>
      </w:r>
      <w:r>
        <w:rPr>
          <w:spacing w:val="-2"/>
        </w:rPr>
        <w:t>年发布</w:t>
      </w:r>
      <w:r>
        <w:rPr>
          <w:spacing w:val="-7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U+</w:t>
      </w:r>
      <w:r>
        <w:rPr>
          <w:spacing w:val="-2"/>
        </w:rPr>
        <w:t>智慧生活平台率</w:t>
      </w:r>
      <w:r>
        <w:rPr>
          <w:spacing w:val="-3"/>
        </w:rPr>
        <w:t>先启动全屋智能。</w:t>
      </w:r>
    </w:p>
    <w:p>
      <w:pPr>
        <w:pStyle w:val="BodyText"/>
        <w:ind w:left="28" w:right="12" w:firstLine="614"/>
        <w:spacing w:before="253" w:line="258" w:lineRule="auto"/>
        <w:jc w:val="both"/>
        <w:rPr/>
      </w:pPr>
      <w:r>
        <w:rPr>
          <w:spacing w:val="-5"/>
        </w:rPr>
        <w:t>随后，小米、阿里等互联网企业、欧瑞博等创新型企业利用</w:t>
      </w:r>
      <w:r>
        <w:rPr>
          <w:spacing w:val="-4"/>
        </w:rPr>
        <w:t>自身技术优势，构建开放的平台生态，相继推出全屋智能解决方</w:t>
      </w:r>
      <w:r>
        <w:rPr>
          <w:spacing w:val="-6"/>
        </w:rPr>
        <w:t>案。而华为入局时间较晚，</w:t>
      </w:r>
      <w:r>
        <w:rPr>
          <w:rFonts w:ascii="Times New Roman" w:hAnsi="Times New Roman" w:eastAsia="Times New Roman" w:cs="Times New Roman"/>
          <w:spacing w:val="-6"/>
        </w:rPr>
        <w:t>2020 </w:t>
      </w:r>
      <w:r>
        <w:rPr>
          <w:spacing w:val="-6"/>
        </w:rPr>
        <w:t>年才正式发布智能家居战略及全</w:t>
      </w:r>
      <w:r>
        <w:rPr>
          <w:spacing w:val="-2"/>
        </w:rPr>
        <w:t>屋智能解决方案。</w:t>
      </w:r>
    </w:p>
    <w:p>
      <w:pPr>
        <w:pStyle w:val="BodyText"/>
        <w:ind w:left="624"/>
        <w:spacing w:before="28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．华为市场表现突出，迅速跃升为行业头部玩家</w:t>
      </w:r>
    </w:p>
    <w:p>
      <w:pPr>
        <w:pStyle w:val="BodyText"/>
        <w:ind w:left="27" w:right="12" w:firstLine="601"/>
        <w:spacing w:before="318" w:line="259" w:lineRule="auto"/>
        <w:jc w:val="both"/>
        <w:rPr/>
      </w:pPr>
      <w:r>
        <w:rPr>
          <w:spacing w:val="-1"/>
        </w:rPr>
        <w:t>用户规模方面，据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QuestMobile </w:t>
      </w:r>
      <w:r>
        <w:rPr>
          <w:spacing w:val="-1"/>
        </w:rPr>
        <w:t>数</w:t>
      </w:r>
      <w:r>
        <w:rPr>
          <w:spacing w:val="-2"/>
        </w:rPr>
        <w:t>据显示，从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2022~2023 </w:t>
      </w:r>
      <w:r>
        <w:rPr>
          <w:spacing w:val="-2"/>
        </w:rPr>
        <w:t>年</w:t>
      </w:r>
      <w:r>
        <w:rPr>
          <w:spacing w:val="-2"/>
        </w:rPr>
        <w:t>华为智能家居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75"/>
        </w:rPr>
        <w:t xml:space="preserve"> </w:t>
      </w:r>
      <w:r>
        <w:rPr>
          <w:spacing w:val="-2"/>
        </w:rPr>
        <w:t>月活跃用户规模均处于行业靠前水平，且呈</w:t>
      </w:r>
      <w:r>
        <w:rPr>
          <w:spacing w:val="-7"/>
        </w:rPr>
        <w:t>现不断增长趋势。</w:t>
      </w:r>
    </w:p>
    <w:p>
      <w:pPr>
        <w:spacing w:line="56" w:lineRule="exact"/>
        <w:rPr/>
      </w:pPr>
      <w:r/>
    </w:p>
    <w:tbl>
      <w:tblPr>
        <w:tblStyle w:val="TableNormal"/>
        <w:tblW w:w="7986" w:type="dxa"/>
        <w:tblInd w:w="160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7986"/>
      </w:tblGrid>
      <w:tr>
        <w:trPr>
          <w:trHeight w:val="500" w:hRule="atLeast"/>
        </w:trPr>
        <w:tc>
          <w:tcPr>
            <w:tcW w:w="7986" w:type="dxa"/>
            <w:vAlign w:val="top"/>
            <w:tcBorders>
              <w:bottom w:val="nil"/>
            </w:tcBorders>
          </w:tcPr>
          <w:p>
            <w:pPr>
              <w:pStyle w:val="TableText"/>
              <w:ind w:left="711"/>
              <w:spacing w:before="293" w:line="211" w:lineRule="auto"/>
              <w:rPr/>
            </w:pPr>
            <w:r>
              <w:rPr>
                <w:color w:val="404040"/>
                <w:spacing w:val="3"/>
              </w:rPr>
              <w:t>6686</w:t>
            </w:r>
          </w:p>
        </w:tc>
      </w:tr>
      <w:tr>
        <w:trPr>
          <w:trHeight w:val="1659" w:hRule="atLeast"/>
        </w:trPr>
        <w:tc>
          <w:tcPr>
            <w:tcW w:w="798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07"/>
              <w:spacing w:before="72" w:line="222" w:lineRule="auto"/>
              <w:rPr/>
            </w:pPr>
            <w:r>
              <w:rPr>
                <w:color w:val="404040"/>
                <w:spacing w:val="2"/>
              </w:rPr>
              <w:t>5497</w:t>
            </w:r>
          </w:p>
          <w:p>
            <w:pPr>
              <w:pStyle w:val="TableText"/>
              <w:ind w:left="1793"/>
              <w:spacing w:before="215" w:line="187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110997</wp:posOffset>
                  </wp:positionH>
                  <wp:positionV relativeFrom="paragraph">
                    <wp:posOffset>-138467</wp:posOffset>
                  </wp:positionV>
                  <wp:extent cx="4802123" cy="996696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2123" cy="99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2"/>
              </w:rPr>
              <w:t>3692</w:t>
            </w:r>
          </w:p>
          <w:p>
            <w:pPr>
              <w:pStyle w:val="TableText"/>
              <w:ind w:left="1441"/>
              <w:spacing w:line="157" w:lineRule="auto"/>
              <w:rPr/>
            </w:pPr>
            <w:r>
              <w:pict>
                <v:shape id="_x0000_s2" style="position:absolute;margin-left:142.644pt;margin-top:-0.214366pt;mso-position-vertical-relative:text;mso-position-horizontal-relative:text;width:17.95pt;height:12.3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2" w:lineRule="auto"/>
                          <w:rPr/>
                        </w:pPr>
                        <w:r>
                          <w:rPr>
                            <w:color w:val="404040"/>
                            <w:spacing w:val="3"/>
                          </w:rPr>
                          <w:t>2889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2"/>
              </w:rPr>
              <w:t>3154</w:t>
            </w:r>
          </w:p>
          <w:p>
            <w:pPr>
              <w:pStyle w:val="TableText"/>
              <w:ind w:left="2520"/>
              <w:spacing w:line="220" w:lineRule="auto"/>
              <w:rPr/>
            </w:pPr>
            <w:r>
              <w:rPr>
                <w:color w:val="404040"/>
                <w:spacing w:val="3"/>
              </w:rPr>
              <w:t>2431</w:t>
            </w:r>
          </w:p>
          <w:p>
            <w:pPr>
              <w:pStyle w:val="TableText"/>
              <w:ind w:left="3685"/>
              <w:spacing w:before="121" w:line="126" w:lineRule="exact"/>
              <w:rPr/>
            </w:pPr>
            <w:r>
              <w:pict>
                <v:shape id="_x0000_s4" style="position:absolute;margin-left:252.661pt;margin-top:4.25211pt;mso-position-vertical-relative:text;mso-position-horizontal-relative:text;width:13.95pt;height:12.3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2" w:lineRule="auto"/>
                          <w:rPr/>
                        </w:pPr>
                        <w:r>
                          <w:rPr>
                            <w:color w:val="404040"/>
                            <w:spacing w:val="3"/>
                          </w:rPr>
                          <w:t>998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" style="position:absolute;margin-left:196.984pt;margin-top:2.38208pt;mso-position-vertical-relative:text;mso-position-horizontal-relative:text;width:17.6pt;height:12.3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2" w:lineRule="auto"/>
                          <w:rPr/>
                        </w:pPr>
                        <w:r>
                          <w:rPr>
                            <w:color w:val="404040"/>
                            <w:spacing w:val="1"/>
                          </w:rPr>
                          <w:t>1159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237.316pt;margin-top:6.63208pt;mso-position-vertical-relative:text;mso-position-horizontal-relative:text;width:13.95pt;height:12.3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2" w:lineRule="auto"/>
                          <w:rPr/>
                        </w:pPr>
                        <w:r>
                          <w:rPr>
                            <w:color w:val="404040"/>
                            <w:spacing w:val="3"/>
                          </w:rPr>
                          <w:t>796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291.366pt;margin-top:6.94208pt;mso-position-vertical-relative:text;mso-position-horizontal-relative:text;width:29.25pt;height:12.5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5" w:lineRule="auto"/>
                          <w:rPr/>
                        </w:pPr>
                        <w:r>
                          <w:rPr>
                            <w:color w:val="404040"/>
                            <w:spacing w:val="2"/>
                          </w:rPr>
                          <w:t>768</w:t>
                        </w:r>
                        <w:r>
                          <w:rPr>
                            <w:color w:val="404040"/>
                            <w:spacing w:val="35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2"/>
                          </w:rPr>
                          <w:t>757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3"/>
                <w:position w:val="-1"/>
              </w:rPr>
              <w:t>930</w:t>
            </w:r>
          </w:p>
          <w:p>
            <w:pPr>
              <w:pStyle w:val="TableText"/>
              <w:ind w:left="6921"/>
              <w:spacing w:line="214" w:lineRule="auto"/>
              <w:rPr/>
            </w:pPr>
            <w:r>
              <w:rPr>
                <w:color w:val="404040"/>
                <w:spacing w:val="4"/>
              </w:rPr>
              <w:t>421</w:t>
            </w:r>
            <w:r>
              <w:rPr>
                <w:color w:val="404040"/>
                <w:spacing w:val="30"/>
                <w:w w:val="101"/>
              </w:rPr>
              <w:t xml:space="preserve"> </w:t>
            </w:r>
            <w:r>
              <w:rPr>
                <w:color w:val="404040"/>
                <w:spacing w:val="4"/>
              </w:rPr>
              <w:t>483</w:t>
            </w:r>
          </w:p>
        </w:tc>
      </w:tr>
      <w:tr>
        <w:trPr>
          <w:trHeight w:val="979" w:hRule="atLeast"/>
        </w:trPr>
        <w:tc>
          <w:tcPr>
            <w:tcW w:w="7986" w:type="dxa"/>
            <w:vAlign w:val="top"/>
            <w:tcBorders>
              <w:top w:val="nil"/>
            </w:tcBorders>
          </w:tcPr>
          <w:p>
            <w:pPr>
              <w:pStyle w:val="TableText"/>
              <w:ind w:left="595"/>
              <w:spacing w:before="105" w:line="189" w:lineRule="auto"/>
              <w:rPr>
                <w:sz w:val="12"/>
                <w:szCs w:val="12"/>
              </w:rPr>
            </w:pPr>
            <w:r>
              <w:pict>
                <v:shape id="_x0000_s12" style="position:absolute;margin-left:287.129pt;margin-top:1.10765pt;mso-position-vertical-relative:text;mso-position-horizontal-relative:text;width:50.65pt;height:7.9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17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1"/>
                          </w:rPr>
                          <w:t>月活跃用户数（万）</w:t>
                        </w:r>
                      </w:p>
                    </w:txbxContent>
                  </v:textbox>
                </v:shape>
              </w:pict>
            </w:r>
            <w:r>
              <w:rPr>
                <w:sz w:val="12"/>
                <w:szCs w:val="12"/>
                <w:color w:val="595959"/>
              </w:rPr>
              <w:t>米家                      萤石云            智慧生活（华为）          小度音箱                 美的美居                 天猫精灵        </w:t>
            </w:r>
            <w:r>
              <w:rPr>
                <w:sz w:val="12"/>
                <w:szCs w:val="12"/>
                <w:color w:val="595959"/>
                <w:spacing w:val="-1"/>
              </w:rPr>
              <w:t xml:space="preserve">         海尔智家</w:t>
            </w:r>
          </w:p>
          <w:p>
            <w:pPr>
              <w:pStyle w:val="TableText"/>
              <w:ind w:left="2884"/>
              <w:spacing w:before="24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position w:val="2"/>
              </w:rPr>
              <w:drawing>
                <wp:inline distT="0" distB="0" distL="0" distR="0">
                  <wp:extent cx="60960" cy="59435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60" cy="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color w:val="595959"/>
                <w:spacing w:val="12"/>
              </w:rPr>
              <w:t xml:space="preserve"> </w:t>
            </w:r>
            <w:r>
              <w:rPr>
                <w:sz w:val="16"/>
                <w:szCs w:val="16"/>
                <w:color w:val="595959"/>
                <w:spacing w:val="-2"/>
              </w:rPr>
              <w:t>2022年2月</w:t>
            </w:r>
            <w:r>
              <w:rPr>
                <w:sz w:val="16"/>
                <w:szCs w:val="16"/>
                <w:color w:val="595959"/>
                <w:spacing w:val="6"/>
              </w:rPr>
              <w:t xml:space="preserve">     </w:t>
            </w:r>
            <w:r>
              <w:rPr>
                <w:sz w:val="16"/>
                <w:szCs w:val="16"/>
                <w:position w:val="2"/>
              </w:rPr>
              <w:drawing>
                <wp:inline distT="0" distB="0" distL="0" distR="0">
                  <wp:extent cx="60959" cy="59435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9" cy="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color w:val="595959"/>
                <w:spacing w:val="5"/>
              </w:rPr>
              <w:t xml:space="preserve"> </w:t>
            </w:r>
            <w:r>
              <w:rPr>
                <w:sz w:val="16"/>
                <w:szCs w:val="16"/>
                <w:color w:val="595959"/>
                <w:spacing w:val="-2"/>
              </w:rPr>
              <w:t>2023年2月</w:t>
            </w:r>
          </w:p>
        </w:tc>
      </w:tr>
    </w:tbl>
    <w:p>
      <w:pPr>
        <w:ind w:right="12"/>
        <w:spacing w:before="209" w:line="217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（数据来源：Questmobile）</w:t>
      </w:r>
    </w:p>
    <w:p>
      <w:pPr>
        <w:ind w:left="1252"/>
        <w:spacing w:before="86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厂商智能家居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APP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月活跃用户规模排名</w:t>
      </w:r>
    </w:p>
    <w:p>
      <w:pPr>
        <w:spacing w:before="42"/>
        <w:rPr/>
      </w:pPr>
      <w:r/>
    </w:p>
    <w:tbl>
      <w:tblPr>
        <w:tblStyle w:val="TableNormal"/>
        <w:tblW w:w="6327" w:type="dxa"/>
        <w:tblInd w:w="1000" w:type="dxa"/>
        <w:shd w:val="clear" w:fill="FFFFFF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4919"/>
        <w:gridCol w:w="1408"/>
      </w:tblGrid>
      <w:tr>
        <w:trPr>
          <w:trHeight w:val="2751" w:hRule="atLeast"/>
        </w:trPr>
        <w:tc>
          <w:tcPr>
            <w:shd w:val="clear" w:fill="FFFFFF"/>
            <w:tcW w:w="4919" w:type="dxa"/>
            <w:vAlign w:val="top"/>
            <w:tcBorders>
              <w:right w:val="nil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>
              <w:pict>
                <v:shape id="_x0000_s14" style="position:absolute;margin-left:-128.776pt;margin-top:30.3015pt;mso-position-vertical-relative:top-margin-area;mso-position-horizontal-relative:right-margin-area;width:20.05pt;height:14.1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FFFFFF"/>
                            <w:spacing w:val="-2"/>
                          </w:rPr>
                          <w:t>9.1%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-170.654pt;margin-top:79.0415pt;mso-position-vertical-relative:top-margin-area;mso-position-horizontal-relative:right-margin-area;width:24.65pt;height:12.4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FFFFFF"/>
                            <w:spacing w:val="-2"/>
                          </w:rPr>
                          <w:t>62.1%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" style="position:absolute;margin-left:-106.834pt;margin-top:89.4615pt;mso-position-vertical-relative:top-margin-area;mso-position-horizontal-relative:right-margin-area;width:20pt;height:14.1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FFFFFF"/>
                            <w:spacing w:val="-3"/>
                          </w:rPr>
                          <w:t>6.1%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1347"/>
              <w:spacing w:line="1996" w:lineRule="exact"/>
              <w:rPr/>
            </w:pPr>
            <w:r>
              <w:rPr>
                <w:position w:val="-39"/>
              </w:rPr>
              <w:pict>
                <v:group id="_x0000_s20" style="mso-position-vertical-relative:line;mso-position-horizontal-relative:char;width:177.8pt;height:99.8pt;" filled="false" stroked="false" coordsize="3556,1996" coordorigin="0,0">
                  <v:shape id="_x0000_s22" style="position:absolute;left:1003;top:15;width:529;height:976;" fillcolor="#2F528F" filled="true" stroked="false" coordsize="529,976" coordorigin="0,0" path="m,m0,0c187,0,370,53,528,155l0,976l0,0xe"/>
                  <v:shape id="_x0000_s24" style="position:absolute;left:987;top:0;width:560;height:1000;" filled="false" strokecolor="#FFFFFF" strokeweight="1.56pt" coordsize="560,1000" coordorigin="0,0" path="m15,15c202,15,386,69,543,170l15,991l15,15xe">
                    <v:stroke miterlimit="10"/>
                  </v:shape>
                  <v:shape id="_x0000_s26" style="position:absolute;left:1007;top:173;width:873;height:820;" fillcolor="#3960A7" filled="true" stroked="false" coordsize="873,820" coordorigin="0,0" path="m528,0c675,94,794,227,872,383l0,820l528,0xe"/>
                  <v:shape id="_x0000_s28" style="position:absolute;left:992;top:157;width:904;height:853;" filled="false" strokecolor="#FFFFFF" strokeweight="1.56pt" coordsize="904,853" coordorigin="0,0" path="m543,15c690,110,809,242,887,398l15,836l543,15xe">
                    <v:stroke miterlimit="10"/>
                  </v:shape>
                  <v:shape id="_x0000_s30" style="position:absolute;left:1009;top:561;width:981;height:475;" fillcolor="#406DBB" filled="true" stroked="false" coordsize="981,475" coordorigin="0,0" path="m872,0c946,146,981,310,975,474l0,437l872,0xe"/>
                  <v:shape id="_x0000_s32" style="position:absolute;left:994;top:545;width:1008;height:505;" filled="false" strokecolor="#FFFFFF" strokeweight="1.56pt" coordsize="1008,505" coordorigin="0,0" path="m887,15c961,162,997,325,990,489l15,453l887,15xe">
                    <v:stroke miterlimit="10"/>
                  </v:shape>
                  <v:shape id="_x0000_s34" style="position:absolute;left:1009;top:1003;width:975;height:405;" fillcolor="#6D89CB" filled="true" stroked="false" coordsize="975,405" coordorigin="0,0" path="m975,36c970,163,940,288,888,404l0,0l975,36xe"/>
                  <v:shape id="_x0000_s36" style="position:absolute;left:994;top:987;width:1006;height:435;" filled="false" strokecolor="#FFFFFF" strokeweight="1.56pt" coordsize="1006,435" coordorigin="0,0" path="m990,52c985,179,956,304,903,419l15,15l990,52xe">
                    <v:stroke miterlimit="10"/>
                  </v:shape>
                  <v:shape id="_x0000_s38" style="position:absolute;left:1008;top:1006;width:889;height:708;" fillcolor="#9EADD8" filled="true" stroked="false" coordsize="889,708" coordorigin="0,0" path="m888,404c836,518,763,620,672,707l0,0l888,404xe"/>
                  <v:shape id="_x0000_s40" style="position:absolute;left:992;top:991;width:920;height:739;" filled="false" strokecolor="#FFFFFF" strokeweight="1.56pt" coordsize="920,739" coordorigin="0,0" path="m903,420c852,533,778,636,688,722l15,15l903,420xe">
                    <v:stroke miterlimit="10"/>
                  </v:shape>
                  <v:shape id="_x0000_s42" style="position:absolute;left:0;top:28;width:1663;height:1968;" fillcolor="#C0C9E4" filled="true" stroked="false" coordsize="1663,1968" coordorigin="0,0" path="m1663,1683c1273,2054,655,2039,284,1648c-87,1258,-71,640,318,268c500,96,740,0,991,0l991,976l1663,1683xe"/>
                  <v:shape id="_x0000_s44" style="position:absolute;left:0;top:12;width:1680;height:1983;" filled="false" strokecolor="#FFFFFF" strokeweight="1.56pt" coordsize="1680,1983" coordorigin="0,0" path="m1663,1698c1273,2070,655,2054,284,1664c-87,1273,-71,655,318,284c500,111,740,15,991,15l991,991l1663,1698xe">
                    <v:stroke miterlimit="10"/>
                  </v:shape>
                  <v:shape id="_x0000_s46" style="position:absolute;left:3443;top:129;width:96;height:96;" fillcolor="#2F528F" filled="true" stroked="false" coordsize="96,96" coordorigin="0,0" path="m0,96l95,96l95,0l0,0l0,96xe"/>
                  <v:shape id="_x0000_s48" style="position:absolute;left:3427;top:114;width:128;height:128;" filled="false" strokecolor="#FFFFFF" strokeweight="1.56pt" coordsize="128,128" coordorigin="0,0" path="m15,111l111,111l111,15l15,15l15,111xe">
                    <v:stroke miterlimit="10"/>
                  </v:shape>
                  <v:shape id="_x0000_s50" style="position:absolute;left:3443;top:458;width:96;height:96;" fillcolor="#3960A7" filled="true" stroked="false" coordsize="96,96" coordorigin="0,0" path="m0,96l95,96l95,0l0,0l0,96xe"/>
                  <v:shape id="_x0000_s52" style="position:absolute;left:3427;top:442;width:128;height:128;" filled="false" strokecolor="#FFFFFF" strokeweight="1.56pt" coordsize="128,128" coordorigin="0,0" path="m15,111l111,111l111,15l15,15l15,111xe">
                    <v:stroke miterlimit="10"/>
                  </v:shape>
                  <v:shape id="_x0000_s54" style="position:absolute;left:3443;top:789;width:96;height:93;" fillcolor="#406DBB" filled="true" stroked="false" coordsize="96,93" coordorigin="0,0" path="m0,93l95,93l95,0l0,0l0,93xe"/>
                  <v:shape id="_x0000_s56" style="position:absolute;left:3427;top:774;width:128;height:125;" filled="false" strokecolor="#FFFFFF" strokeweight="1.56pt" coordsize="128,125" coordorigin="0,0" path="m15,109l111,109l111,15l15,15l15,109xe">
                    <v:stroke miterlimit="10"/>
                  </v:shape>
                  <v:shape id="_x0000_s58" style="position:absolute;left:3443;top:1118;width:96;height:93;" fillcolor="#6D89CB" filled="true" stroked="false" coordsize="96,93" coordorigin="0,0" path="m0,93l95,93l95,0l0,0l0,93xe"/>
                  <v:shape id="_x0000_s60" style="position:absolute;left:3427;top:1103;width:128;height:125;" filled="false" strokecolor="#FFFFFF" strokeweight="1.56pt" coordsize="128,125" coordorigin="0,0" path="m15,109l111,109l111,15l15,15l15,109xe">
                    <v:stroke miterlimit="10"/>
                  </v:shape>
                  <v:shape id="_x0000_s62" style="position:absolute;left:3443;top:1447;width:96;height:93;" fillcolor="#9EADD8" filled="true" stroked="false" coordsize="96,93" coordorigin="0,0" path="m0,93l95,93l95,0l0,0l0,93xe"/>
                  <v:shape id="_x0000_s64" style="position:absolute;left:3427;top:1431;width:128;height:125;" filled="false" strokecolor="#FFFFFF" strokeweight="1.56pt" coordsize="128,125" coordorigin="0,0" path="m15,109l111,109l111,15l15,15l15,109xe">
                    <v:stroke miterlimit="10"/>
                  </v:shape>
                  <v:shape id="_x0000_s66" style="position:absolute;left:3443;top:1776;width:96;height:96;" fillcolor="#C0C9E4" filled="true" stroked="false" coordsize="96,96" coordorigin="0,0" path="m0,96l95,96l95,0l0,0l0,96xe"/>
                  <v:shape id="_x0000_s68" style="position:absolute;left:3427;top:1760;width:128;height:128;" filled="false" strokecolor="#FFFFFF" strokeweight="1.56pt" coordsize="128,128" coordorigin="0,0" path="m15,111l111,111l111,15l15,15l15,111xe">
                    <v:stroke miterlimit="10"/>
                  </v:shape>
                </v:group>
              </w:pict>
            </w:r>
          </w:p>
        </w:tc>
        <w:tc>
          <w:tcPr>
            <w:shd w:val="clear" w:fill="FFFFFF"/>
            <w:tcW w:w="1408" w:type="dxa"/>
            <w:vAlign w:val="top"/>
            <w:tcBorders>
              <w:left w:val="nil"/>
            </w:tcBorders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8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1"/>
              </w:rPr>
              <w:t>UIOT超级智慧家</w:t>
            </w:r>
          </w:p>
          <w:p>
            <w:pPr>
              <w:pStyle w:val="TableText"/>
              <w:ind w:left="17"/>
              <w:spacing w:before="10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</w:rPr>
              <w:t>睿住智能</w:t>
            </w:r>
          </w:p>
          <w:p>
            <w:pPr>
              <w:pStyle w:val="TableText"/>
              <w:ind w:left="18"/>
              <w:spacing w:before="10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1"/>
              </w:rPr>
              <w:t>华为</w:t>
            </w:r>
          </w:p>
          <w:p>
            <w:pPr>
              <w:pStyle w:val="TableText"/>
              <w:ind w:left="17"/>
              <w:spacing w:before="107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1"/>
              </w:rPr>
              <w:t>狄耐克</w:t>
            </w:r>
          </w:p>
          <w:p>
            <w:pPr>
              <w:pStyle w:val="TableText"/>
              <w:ind w:left="24"/>
              <w:spacing w:before="105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2"/>
              </w:rPr>
              <w:t>欧瑞博</w:t>
            </w:r>
          </w:p>
          <w:p>
            <w:pPr>
              <w:pStyle w:val="TableText"/>
              <w:ind w:left="17"/>
              <w:spacing w:before="105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1"/>
              </w:rPr>
              <w:t>其他</w:t>
            </w:r>
          </w:p>
        </w:tc>
      </w:tr>
    </w:tbl>
    <w:p>
      <w:pPr>
        <w:ind w:left="721"/>
        <w:spacing w:before="89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（数据来源：《2022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年中国房地产商品</w:t>
      </w:r>
      <w:r>
        <w:rPr>
          <w:rFonts w:ascii="FangSong" w:hAnsi="FangSong" w:eastAsia="FangSong" w:cs="FangSong"/>
          <w:sz w:val="24"/>
          <w:szCs w:val="24"/>
          <w:spacing w:val="-9"/>
        </w:rPr>
        <w:t>住宅精装修市场智能家居年报》）</w:t>
      </w:r>
    </w:p>
    <w:p>
      <w:pPr>
        <w:ind w:left="1065"/>
        <w:spacing w:before="87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2022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年前装精装修智能家居系统市场份额</w:t>
      </w:r>
    </w:p>
    <w:p>
      <w:pPr>
        <w:spacing w:line="215" w:lineRule="auto"/>
        <w:sectPr>
          <w:headerReference w:type="default" r:id="rId3"/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8" w:right="108" w:firstLine="605"/>
        <w:spacing w:before="97" w:line="262" w:lineRule="auto"/>
        <w:jc w:val="both"/>
        <w:rPr/>
      </w:pPr>
      <w:r>
        <w:rPr>
          <w:spacing w:val="-9"/>
        </w:rPr>
        <w:t>市场规模方面，华为全屋智能重点布局前装</w:t>
      </w:r>
      <w:r>
        <w:rPr>
          <w:spacing w:val="-10"/>
        </w:rPr>
        <w:t>市场，在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</w:t>
      </w:r>
      <w:r>
        <w:rPr>
          <w:spacing w:val="-4"/>
        </w:rPr>
        <w:t>前装精装修智能家居系统市场份额调研中，华为所占份额已提升</w:t>
      </w:r>
      <w:r>
        <w:rPr>
          <w:spacing w:val="-5"/>
        </w:rPr>
        <w:t>至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TOP3</w:t>
      </w:r>
      <w:r>
        <w:rPr>
          <w:spacing w:val="-5"/>
        </w:rPr>
        <w:t>。</w:t>
      </w:r>
    </w:p>
    <w:p>
      <w:pPr>
        <w:pStyle w:val="BodyText"/>
        <w:ind w:left="16" w:right="109" w:firstLine="634"/>
        <w:spacing w:before="262" w:line="245" w:lineRule="auto"/>
        <w:jc w:val="both"/>
        <w:rPr/>
      </w:pPr>
      <w:r>
        <w:rPr>
          <w:spacing w:val="-2"/>
        </w:rPr>
        <w:t>品牌影响力方面，据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Maigoo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2"/>
        </w:rPr>
        <w:t>前瞻产业研究院发</w:t>
      </w:r>
      <w:r>
        <w:rPr>
          <w:spacing w:val="-3"/>
        </w:rPr>
        <w:t>布的榜单显</w:t>
      </w:r>
      <w:r>
        <w:rPr>
          <w:spacing w:val="1"/>
        </w:rPr>
        <w:t>示，华为全屋智能品牌跃居第四位，仅次于米家、海尔智家 </w:t>
      </w:r>
      <w:r>
        <w:rPr>
          <w:rFonts w:ascii="Times New Roman" w:hAnsi="Times New Roman" w:eastAsia="Times New Roman" w:cs="Times New Roman"/>
          <w:spacing w:val="1"/>
        </w:rPr>
        <w:t>U-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home</w:t>
      </w:r>
      <w:r>
        <w:rPr>
          <w:spacing w:val="-3"/>
        </w:rPr>
        <w:t>、美的美居。</w:t>
      </w:r>
    </w:p>
    <w:tbl>
      <w:tblPr>
        <w:tblStyle w:val="TableNormal"/>
        <w:tblW w:w="7912" w:type="dxa"/>
        <w:tblInd w:w="203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1485"/>
        <w:gridCol w:w="6427"/>
      </w:tblGrid>
      <w:tr>
        <w:trPr>
          <w:trHeight w:val="3383" w:hRule="atLeast"/>
        </w:trPr>
        <w:tc>
          <w:tcPr>
            <w:tcW w:w="1485" w:type="dxa"/>
            <w:vAlign w:val="top"/>
            <w:tcBorders>
              <w:right w:val="nil"/>
            </w:tcBorders>
          </w:tcPr>
          <w:p>
            <w:pPr>
              <w:pStyle w:val="TableText"/>
              <w:ind w:left="1080"/>
              <w:spacing w:before="287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1"/>
              </w:rPr>
              <w:t>米家</w:t>
            </w:r>
          </w:p>
          <w:p>
            <w:pPr>
              <w:pStyle w:val="TableText"/>
              <w:ind w:left="127" w:right="77"/>
              <w:spacing w:before="70" w:line="258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</w:rPr>
              <w:t>海尔智家U-home</w:t>
            </w:r>
            <w:r>
              <w:rPr>
                <w:sz w:val="16"/>
                <w:szCs w:val="16"/>
                <w:color w:val="595959"/>
              </w:rPr>
              <w:t>美的美居</w:t>
            </w:r>
          </w:p>
          <w:p>
            <w:pPr>
              <w:pStyle w:val="TableText"/>
              <w:ind w:left="439" w:right="78"/>
              <w:spacing w:before="2" w:line="257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</w:rPr>
              <w:t>华为全屋智能</w:t>
            </w:r>
            <w:r>
              <w:rPr>
                <w:sz w:val="16"/>
                <w:szCs w:val="16"/>
                <w:color w:val="595959"/>
              </w:rPr>
              <w:t>天猫精灵</w:t>
            </w:r>
          </w:p>
          <w:p>
            <w:pPr>
              <w:pStyle w:val="TableText"/>
              <w:ind w:left="919" w:right="80" w:firstLine="161"/>
              <w:spacing w:before="1" w:line="257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1"/>
              </w:rPr>
              <w:t>小度</w:t>
            </w:r>
            <w:r>
              <w:rPr>
                <w:sz w:val="16"/>
                <w:szCs w:val="16"/>
                <w:color w:val="595959"/>
                <w:spacing w:val="-1"/>
              </w:rPr>
              <w:t>京鱼座</w:t>
            </w:r>
          </w:p>
          <w:p>
            <w:pPr>
              <w:pStyle w:val="TableText"/>
              <w:ind w:left="759" w:right="79" w:firstLine="322"/>
              <w:spacing w:before="2" w:line="264" w:lineRule="auto"/>
              <w:tabs>
                <w:tab w:val="left" w:pos="925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5959"/>
                <w:spacing w:val="-2"/>
              </w:rPr>
              <w:t>萤石</w:t>
            </w:r>
            <w:r>
              <w:rPr>
                <w:sz w:val="16"/>
                <w:szCs w:val="16"/>
                <w:color w:val="595959"/>
              </w:rPr>
              <w:tab/>
            </w:r>
            <w:r>
              <w:rPr>
                <w:sz w:val="16"/>
                <w:szCs w:val="16"/>
                <w:color w:val="595959"/>
                <w:spacing w:val="-3"/>
              </w:rPr>
              <w:t>欧瑞博</w:t>
            </w:r>
            <w:r>
              <w:rPr>
                <w:sz w:val="16"/>
                <w:szCs w:val="16"/>
                <w:color w:val="595959"/>
              </w:rPr>
              <w:t>博联智能</w:t>
            </w:r>
          </w:p>
        </w:tc>
        <w:tc>
          <w:tcPr>
            <w:tcW w:w="6427" w:type="dxa"/>
            <w:vAlign w:val="top"/>
            <w:tcBorders>
              <w:left w:val="nil"/>
            </w:tcBorders>
          </w:tcPr>
          <w:p>
            <w:pPr>
              <w:pStyle w:val="TableText"/>
              <w:ind w:firstLine="72"/>
              <w:spacing w:before="217" w:line="2950" w:lineRule="exact"/>
              <w:rPr/>
            </w:pPr>
            <w:r>
              <w:rPr>
                <w:position w:val="-58"/>
              </w:rPr>
              <w:pict>
                <v:group id="_x0000_s70" style="mso-position-vertical-relative:line;mso-position-horizontal-relative:char;width:283.75pt;height:147.5pt;" filled="false" stroked="false" coordsize="5675,2950" coordorigin="0,0">
                  <v:shape id="_x0000_s72" style="position:absolute;left:7;top:67;width:5225;height:2816;" filled="false" stroked="false" type="#_x0000_t75">
                    <v:imagedata o:title="" r:id="rId8"/>
                  </v:shape>
                  <v:shape id="_x0000_s74" style="position:absolute;left:4945;top:62;width:750;height:286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19"/>
                            <w:spacing w:before="20" w:line="212" w:lineRule="auto"/>
                            <w:jc w:val="right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2"/>
                            </w:rPr>
                            <w:t>85.3</w:t>
                          </w:r>
                        </w:p>
                        <w:p>
                          <w:pPr>
                            <w:ind w:left="398"/>
                            <w:spacing w:before="51" w:line="213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2"/>
                            </w:rPr>
                            <w:t>85.0</w:t>
                          </w:r>
                        </w:p>
                        <w:p>
                          <w:pPr>
                            <w:ind w:left="325"/>
                            <w:spacing w:before="52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2"/>
                            </w:rPr>
                            <w:t>83.8</w:t>
                          </w:r>
                        </w:p>
                        <w:p>
                          <w:pPr>
                            <w:ind w:left="300"/>
                            <w:spacing w:before="52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2"/>
                            </w:rPr>
                            <w:t>83.4</w:t>
                          </w:r>
                        </w:p>
                        <w:p>
                          <w:pPr>
                            <w:ind w:left="233"/>
                            <w:spacing w:before="52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2"/>
                            </w:rPr>
                            <w:t>82.3</w:t>
                          </w:r>
                        </w:p>
                        <w:p>
                          <w:pPr>
                            <w:ind w:left="215"/>
                            <w:spacing w:before="52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2"/>
                            </w:rPr>
                            <w:t>82.0</w:t>
                          </w:r>
                        </w:p>
                        <w:p>
                          <w:pPr>
                            <w:ind w:left="129"/>
                            <w:spacing w:before="52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2"/>
                            </w:rPr>
                            <w:t>80.6</w:t>
                          </w:r>
                        </w:p>
                        <w:p>
                          <w:pPr>
                            <w:ind w:left="87"/>
                            <w:spacing w:before="53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3"/>
                            </w:rPr>
                            <w:t>79.9</w:t>
                          </w:r>
                        </w:p>
                        <w:p>
                          <w:pPr>
                            <w:ind w:left="44"/>
                            <w:spacing w:before="52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3"/>
                            </w:rPr>
                            <w:t>79.2</w:t>
                          </w:r>
                        </w:p>
                        <w:p>
                          <w:pPr>
                            <w:ind w:left="20"/>
                            <w:spacing w:before="53" w:line="212" w:lineRule="auto"/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color w:val="404040"/>
                              <w:spacing w:val="-3"/>
                            </w:rPr>
                            <w:t>78.8</w:t>
                          </w:r>
                        </w:p>
                      </w:txbxContent>
                    </v:textbox>
                  </v:shape>
                  <v:shape id="_x0000_s76" style="position:absolute;left:0;top:0;width:15;height:2950;" filled="false" strokecolor="#D9D9D9" strokeweight="0.72pt" coordsize="15,2950" coordorigin="0,0" path="m7,0l7,2949e">
                    <v:stroke miterlimit="10"/>
                  </v:shape>
                </v:group>
              </w:pict>
            </w:r>
          </w:p>
        </w:tc>
      </w:tr>
    </w:tbl>
    <w:p>
      <w:pPr>
        <w:ind w:left="61"/>
        <w:spacing w:before="85" w:line="21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（数据来源：Maigoo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前瞻产业研究院《2022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年中国智能家居十大品牌榜单》）</w:t>
      </w:r>
    </w:p>
    <w:p>
      <w:pPr>
        <w:ind w:left="1514"/>
        <w:spacing w:before="94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2022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年中国智能家居十大品牌榜单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5" w:right="110" w:firstLine="602"/>
        <w:spacing w:before="98" w:line="259" w:lineRule="auto"/>
        <w:jc w:val="both"/>
        <w:rPr/>
      </w:pPr>
      <w:r>
        <w:rPr>
          <w:spacing w:val="-4"/>
        </w:rPr>
        <w:t>华为能在短时间内占据领先地位，和其战略布局和</w:t>
      </w:r>
      <w:r>
        <w:rPr>
          <w:spacing w:val="-5"/>
        </w:rPr>
        <w:t>定位密切</w:t>
      </w:r>
      <w:r>
        <w:rPr>
          <w:spacing w:val="-4"/>
        </w:rPr>
        <w:t>相关。华为以“连接”为核心，从将手机作为接触用户和实现控</w:t>
      </w:r>
      <w:r>
        <w:rPr>
          <w:spacing w:val="-1"/>
        </w:rPr>
        <w:t>制的第一入口逐渐向外扩充至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pad</w:t>
      </w:r>
      <w:r>
        <w:rPr>
          <w:spacing w:val="-1"/>
        </w:rPr>
        <w:t>、手表等智能设备，最后推出</w:t>
      </w:r>
      <w:r>
        <w:rPr>
          <w:spacing w:val="-4"/>
        </w:rPr>
        <w:t>基于鸿蒙智联生态的全屋智能解决方案平台，实现鸿蒙系统下的</w:t>
      </w:r>
      <w:r>
        <w:rPr>
          <w:spacing w:val="-4"/>
        </w:rPr>
        <w:t>所有智能终端设备连接，给用户带来极致的交互体验。万物互联</w:t>
      </w:r>
      <w:r>
        <w:rPr>
          <w:spacing w:val="-4"/>
        </w:rPr>
        <w:t>的平台生态让华为轻松切入投入成本与门槛更高的前装市场，迅</w:t>
      </w:r>
      <w:r>
        <w:rPr>
          <w:spacing w:val="-3"/>
        </w:rPr>
        <w:t>速打开市场局面，实现规模与口碑双提升。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二、华为实现弯道赶超深度原因剖析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2" w:firstLine="595"/>
        <w:spacing w:before="98" w:line="260" w:lineRule="auto"/>
        <w:jc w:val="both"/>
        <w:rPr/>
      </w:pPr>
      <w:r>
        <w:rPr/>
        <w:t>华为在全屋智能赛道实现弯道超车的核心优势体现在连接、</w:t>
      </w:r>
      <w:r>
        <w:rPr>
          <w:spacing w:val="-9"/>
        </w:rPr>
        <w:t>交互、生态三方面， 三方面相辅相成，相互依托，共同</w:t>
      </w:r>
      <w:r>
        <w:rPr>
          <w:spacing w:val="-10"/>
        </w:rPr>
        <w:t>助力华为</w:t>
      </w:r>
      <w:r>
        <w:rPr>
          <w:spacing w:val="-4"/>
        </w:rPr>
        <w:t>实现全屋智能行业引领者的目标。</w:t>
      </w:r>
    </w:p>
    <w:p>
      <w:pPr>
        <w:spacing w:line="260" w:lineRule="auto"/>
        <w:sectPr>
          <w:headerReference w:type="default" r:id="rId7"/>
          <w:pgSz w:w="11907" w:h="16839"/>
          <w:pgMar w:top="400" w:right="1689" w:bottom="0" w:left="1785" w:header="0" w:footer="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firstLine="14"/>
        <w:spacing w:line="3476" w:lineRule="exact"/>
        <w:rPr/>
      </w:pPr>
      <w:r>
        <w:rPr>
          <w:position w:val="-69"/>
        </w:rPr>
        <w:drawing>
          <wp:inline distT="0" distB="0" distL="0" distR="0">
            <wp:extent cx="5274563" cy="220675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2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52"/>
        <w:spacing w:before="199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6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华为发展全屋智能核心优势三方面盘点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．稳定连接构建能力底座，打造行业领先解决方案</w:t>
      </w:r>
    </w:p>
    <w:p>
      <w:pPr>
        <w:pStyle w:val="BodyText"/>
        <w:ind w:left="5" w:firstLine="622"/>
        <w:spacing w:before="316" w:line="259" w:lineRule="auto"/>
        <w:jc w:val="both"/>
        <w:rPr/>
      </w:pPr>
      <w:r>
        <w:rPr>
          <w:spacing w:val="7"/>
        </w:rPr>
        <w:t>华为在通信连接方面有着其他厂商不具备的丰富经验和深</w:t>
      </w:r>
      <w:r>
        <w:rPr>
          <w:spacing w:val="7"/>
        </w:rPr>
        <w:t>厚的技术优势，所以华为在最初思考布局全屋智能战略时就把</w:t>
      </w:r>
      <w:r>
        <w:rPr>
          <w:spacing w:val="-1"/>
        </w:rPr>
        <w:t>“连接”作为首要解决目标。通过推出 </w:t>
      </w:r>
      <w:r>
        <w:rPr>
          <w:rFonts w:ascii="Times New Roman" w:hAnsi="Times New Roman" w:eastAsia="Times New Roman" w:cs="Times New Roman"/>
          <w:spacing w:val="-1"/>
        </w:rPr>
        <w:t>HiLink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1"/>
        </w:rPr>
        <w:t>协议并开</w:t>
      </w:r>
      <w:r>
        <w:rPr>
          <w:spacing w:val="-2"/>
        </w:rPr>
        <w:t>发鸿蒙</w:t>
      </w:r>
      <w:r>
        <w:rPr>
          <w:spacing w:val="-3"/>
        </w:rPr>
        <w:t>操作系统，首先实现自身智能设备产品间的顺畅连接，</w:t>
      </w:r>
      <w:r>
        <w:rPr>
          <w:spacing w:val="-4"/>
        </w:rPr>
        <w:t>随后开放</w:t>
      </w:r>
      <w:r>
        <w:rPr>
          <w:spacing w:val="-1"/>
        </w:rPr>
        <w:t>以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HUAWEI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HiLink </w:t>
      </w:r>
      <w:r>
        <w:rPr>
          <w:spacing w:val="-1"/>
        </w:rPr>
        <w:t>为核心的技术平台，统一技术、入口和协议</w:t>
      </w:r>
      <w:r>
        <w:rPr>
          <w:spacing w:val="-3"/>
        </w:rPr>
        <w:t>标准，支持主流智能家居协议转换，实现华为产品与外</w:t>
      </w:r>
      <w:r>
        <w:rPr>
          <w:spacing w:val="-4"/>
        </w:rPr>
        <w:t>部智能设</w:t>
      </w:r>
      <w:r>
        <w:rPr>
          <w:spacing w:val="-3"/>
        </w:rPr>
        <w:t>备间的“无缝对话”，解决各类智能设备连接的物联网“最后一</w:t>
      </w:r>
      <w:r>
        <w:rPr>
          <w:spacing w:val="-10"/>
        </w:rPr>
        <w:t>公里</w:t>
      </w:r>
      <w:r>
        <w:rPr>
          <w:spacing w:val="-98"/>
        </w:rPr>
        <w:t xml:space="preserve"> </w:t>
      </w:r>
      <w:r>
        <w:rPr>
          <w:spacing w:val="-10"/>
        </w:rPr>
        <w:t>”难题。另外， 为保证设备互联互通后的连接稳定性，华为</w:t>
      </w:r>
      <w:r>
        <w:rPr>
          <w:spacing w:val="-4"/>
        </w:rPr>
        <w:t>凭借技术研发能力基础创新性地将工业级的网络能力（</w:t>
      </w:r>
      <w:r>
        <w:rPr>
          <w:rFonts w:ascii="Times New Roman" w:hAnsi="Times New Roman" w:eastAsia="Times New Roman" w:cs="Times New Roman"/>
          <w:spacing w:val="-5"/>
        </w:rPr>
        <w:t>PLC-IoT</w:t>
      </w:r>
      <w:r>
        <w:rPr>
          <w:spacing w:val="-5"/>
        </w:rPr>
        <w:t>）</w:t>
      </w:r>
      <w:r>
        <w:rPr>
          <w:spacing w:val="-3"/>
        </w:rPr>
        <w:t>下放到家庭，并双管齐下发展 </w:t>
      </w:r>
      <w:r>
        <w:rPr>
          <w:rFonts w:ascii="Times New Roman" w:hAnsi="Times New Roman" w:eastAsia="Times New Roman" w:cs="Times New Roman"/>
          <w:spacing w:val="-3"/>
        </w:rPr>
        <w:t>Wi-Fi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6+</w:t>
      </w:r>
      <w:r>
        <w:rPr>
          <w:spacing w:val="-3"/>
        </w:rPr>
        <w:t>技术，实现了有电即连、</w:t>
      </w:r>
      <w:r>
        <w:rPr/>
        <w:t>稳定可靠的有线和无线网络架构。</w:t>
      </w:r>
    </w:p>
    <w:p>
      <w:pPr>
        <w:pStyle w:val="BodyText"/>
        <w:ind w:left="25" w:right="51" w:firstLine="602"/>
        <w:spacing w:before="276" w:line="259" w:lineRule="auto"/>
        <w:jc w:val="both"/>
        <w:rPr/>
      </w:pPr>
      <w:r>
        <w:rPr>
          <w:spacing w:val="7"/>
        </w:rPr>
        <w:t>华为在连接稳定性方面的战略动作为其在全屋智能领域的</w:t>
      </w:r>
      <w:r>
        <w:rPr>
          <w:spacing w:val="-11"/>
        </w:rPr>
        <w:t>可持续发展打下了坚实基础。第一，连接是做好交互体</w:t>
      </w:r>
      <w:r>
        <w:rPr>
          <w:spacing w:val="-12"/>
        </w:rPr>
        <w:t>验的前提，</w:t>
      </w:r>
      <w:r>
        <w:rPr>
          <w:spacing w:val="-4"/>
        </w:rPr>
        <w:t>帮助华为在实现设备连接的基础上进一步拓展空间智能化，打造</w:t>
      </w:r>
      <w:r>
        <w:rPr>
          <w:spacing w:val="-9"/>
        </w:rPr>
        <w:t>人、设备、环境的无缝感知和交互， 带给用户更顺畅、人性化的</w:t>
      </w:r>
      <w:r>
        <w:rPr>
          <w:spacing w:val="-4"/>
        </w:rPr>
        <w:t>使用体验；第二，连接是扩充生态的前提，技术标准和协议的统</w:t>
      </w:r>
      <w:r>
        <w:rPr>
          <w:spacing w:val="-4"/>
        </w:rPr>
        <w:t>一降低了行业外部玩家的准入门槛，自发吸引外部玩家加入共研</w:t>
      </w:r>
      <w:r>
        <w:rPr>
          <w:spacing w:val="-4"/>
        </w:rPr>
        <w:t>共创，壮大鸿蒙生态；第三，连接是切入前装市场的前提，让华</w:t>
      </w:r>
      <w:r>
        <w:rPr>
          <w:spacing w:val="-4"/>
        </w:rPr>
        <w:t>为有能力提供面向前装和行业的整体解决方案，在进入全屋智能</w:t>
      </w:r>
      <w:r>
        <w:rPr>
          <w:spacing w:val="-4"/>
        </w:rPr>
        <w:t>赛道后迅速占有一席之地。</w:t>
      </w:r>
    </w:p>
    <w:p>
      <w:pPr>
        <w:spacing w:line="259" w:lineRule="auto"/>
        <w:sectPr>
          <w:pgSz w:w="11907" w:h="16839"/>
          <w:pgMar w:top="400" w:right="1666" w:bottom="0" w:left="1785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．提出空间交互革命，推动用户体验颠覆性升级</w:t>
      </w:r>
    </w:p>
    <w:p>
      <w:pPr>
        <w:pStyle w:val="BodyText"/>
        <w:ind w:left="26" w:firstLine="599"/>
        <w:spacing w:before="328" w:line="259" w:lineRule="auto"/>
        <w:jc w:val="both"/>
        <w:rPr/>
      </w:pPr>
      <w:r>
        <w:rPr>
          <w:spacing w:val="-4"/>
        </w:rPr>
        <w:t>相比其他厂商，华为更加重视用户的极致交互体</w:t>
      </w:r>
      <w:r>
        <w:rPr>
          <w:spacing w:val="-5"/>
        </w:rPr>
        <w:t>验打造。一</w:t>
      </w:r>
      <w:r>
        <w:rPr/>
        <w:t>方面，华为充分认识到交互体验是消费者对全屋智能是否便捷、</w:t>
      </w:r>
      <w:r>
        <w:rPr>
          <w:spacing w:val="-10"/>
        </w:rPr>
        <w:t>满意最直接的感官判断途径，因此，华为提出空</w:t>
      </w:r>
      <w:r>
        <w:rPr>
          <w:spacing w:val="-11"/>
        </w:rPr>
        <w:t>间交互革命概念，</w:t>
      </w:r>
      <w:r>
        <w:rPr>
          <w:spacing w:val="-4"/>
        </w:rPr>
        <w:t>随时随地跨空间交互、无感交互、语音交互将成为空间智能的质</w:t>
      </w:r>
      <w:r>
        <w:rPr>
          <w:spacing w:val="-10"/>
        </w:rPr>
        <w:t>变点。另一方面，华为强大的核心技术能力作为</w:t>
      </w:r>
      <w:r>
        <w:rPr>
          <w:spacing w:val="-11"/>
        </w:rPr>
        <w:t>全屋智能的底座，</w:t>
      </w:r>
      <w:r>
        <w:rPr>
          <w:spacing w:val="-4"/>
        </w:rPr>
        <w:t>通讯网络基础连接等优势让各设备、各系统间连接、操作顺畅自</w:t>
      </w:r>
      <w:r>
        <w:rPr>
          <w:spacing w:val="-3"/>
        </w:rPr>
        <w:t>然，为极致的交互体验打下坚实的基础。</w:t>
      </w:r>
    </w:p>
    <w:p>
      <w:pPr>
        <w:pStyle w:val="BodyText"/>
        <w:ind w:left="26" w:right="105" w:firstLine="599"/>
        <w:spacing w:before="277" w:line="258" w:lineRule="auto"/>
        <w:jc w:val="both"/>
        <w:rPr/>
      </w:pPr>
      <w:r>
        <w:rPr>
          <w:spacing w:val="-2"/>
        </w:rPr>
        <w:t>全屋智能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2.0</w:t>
      </w:r>
      <w:r>
        <w:rPr>
          <w:spacing w:val="-2"/>
        </w:rPr>
        <w:t>，华为将智能中控屏的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UX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体验全面升级，分</w:t>
      </w:r>
      <w:r>
        <w:rPr>
          <w:spacing w:val="-4"/>
        </w:rPr>
        <w:t>层交互逻辑实现子空间、子系统、子场景的分类收纳及针对性高</w:t>
      </w:r>
      <w:r>
        <w:rPr>
          <w:spacing w:val="-1"/>
        </w:rPr>
        <w:t>效管控；</w:t>
      </w:r>
      <w:r>
        <w:rPr>
          <w:rFonts w:ascii="Times New Roman" w:hAnsi="Times New Roman" w:eastAsia="Times New Roman" w:cs="Times New Roman"/>
          <w:spacing w:val="-1"/>
        </w:rPr>
        <w:t>3.0 </w:t>
      </w:r>
      <w:r>
        <w:rPr>
          <w:spacing w:val="-1"/>
        </w:rPr>
        <w:t>推出可墙可桌的智能中控屏，可一屏集控全屋；</w:t>
      </w:r>
      <w:r>
        <w:rPr>
          <w:rFonts w:ascii="Times New Roman" w:hAnsi="Times New Roman" w:eastAsia="Times New Roman" w:cs="Times New Roman"/>
          <w:spacing w:val="-1"/>
        </w:rPr>
        <w:t>4.0</w:t>
      </w:r>
      <w:r>
        <w:rPr>
          <w:spacing w:val="-3"/>
        </w:rPr>
        <w:t>又推出全屋智能中控屏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S2 </w:t>
      </w:r>
      <w:r>
        <w:rPr>
          <w:spacing w:val="-3"/>
        </w:rPr>
        <w:t>和智能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MINI</w:t>
      </w:r>
      <w:r>
        <w:rPr>
          <w:spacing w:val="-3"/>
        </w:rPr>
        <w:t>，中控屏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S2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3"/>
        </w:rPr>
        <w:t>能实现任意</w:t>
      </w:r>
      <w:r>
        <w:rPr>
          <w:spacing w:val="-9"/>
        </w:rPr>
        <w:t>空间、任意位置自动识别自动切换，可墙可桌可手持，智能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MINI</w:t>
      </w:r>
      <w:r>
        <w:rPr>
          <w:spacing w:val="-4"/>
        </w:rPr>
        <w:t>则能支持单向场景一键快速直达。华为的系列产品交互升级极大</w:t>
      </w:r>
      <w:r>
        <w:rPr>
          <w:spacing w:val="-4"/>
        </w:rPr>
        <w:t>提升了用户对全屋的控制效率和操控体验，华为也指出，人工智</w:t>
      </w:r>
      <w:r>
        <w:rPr>
          <w:spacing w:val="-9"/>
        </w:rPr>
        <w:t>能的出现已带来交互体验的颠覆性提升，预计到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202</w:t>
      </w:r>
      <w:r>
        <w:rPr>
          <w:rFonts w:ascii="Times New Roman" w:hAnsi="Times New Roman" w:eastAsia="Times New Roman" w:cs="Times New Roman"/>
          <w:spacing w:val="-10"/>
        </w:rPr>
        <w:t>5 </w:t>
      </w:r>
      <w:r>
        <w:rPr>
          <w:spacing w:val="-10"/>
        </w:rPr>
        <w:t>年，约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90%</w:t>
      </w:r>
      <w:r>
        <w:rPr>
          <w:spacing w:val="-2"/>
        </w:rPr>
        <w:t>的智能终端用户将从体验交互个性化、智能化的服务中获益。</w:t>
      </w:r>
    </w:p>
    <w:p>
      <w:pPr>
        <w:pStyle w:val="BodyText"/>
        <w:ind w:left="621"/>
        <w:spacing w:before="27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．搭建鸿蒙生态，赋能生态伙伴共同拓展智能化需求</w:t>
      </w:r>
    </w:p>
    <w:p>
      <w:pPr>
        <w:pStyle w:val="BodyText"/>
        <w:ind w:left="5" w:right="105" w:firstLine="620"/>
        <w:spacing w:before="317" w:line="258" w:lineRule="auto"/>
        <w:jc w:val="both"/>
        <w:rPr/>
      </w:pPr>
      <w:r>
        <w:rPr>
          <w:spacing w:val="-4"/>
        </w:rPr>
        <w:t>全屋智能时代，各大厂商越来越注重打破孤岛构建互</w:t>
      </w:r>
      <w:r>
        <w:rPr>
          <w:spacing w:val="-5"/>
        </w:rPr>
        <w:t>联互通</w:t>
      </w:r>
      <w:r>
        <w:rPr>
          <w:spacing w:val="-1"/>
        </w:rPr>
        <w:t>的智能家居生态。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1"/>
        </w:rPr>
        <w:t>年，华为将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HiLink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1"/>
        </w:rPr>
        <w:t>智能家居平台升级为</w:t>
      </w:r>
      <w:r>
        <w:rPr>
          <w:spacing w:val="-3"/>
        </w:rPr>
        <w:t>“鸿蒙智联”，依托平台与行业厂商合作打造智家生态圈，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spacing w:val="-1"/>
        </w:rPr>
        <w:t>年鸿蒙智联生态设备数量已突破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3.3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1"/>
        </w:rPr>
        <w:t>亿，超过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2"/>
        </w:rPr>
        <w:t>200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2"/>
        </w:rPr>
        <w:t>家合作伙伴</w:t>
      </w:r>
      <w:r>
        <w:rPr>
          <w:spacing w:val="-6"/>
        </w:rPr>
        <w:t>入驻，拥有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6"/>
        </w:rPr>
        <w:t>万以上开发者。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年华为开发者大会，首次提</w:t>
      </w:r>
      <w:r>
        <w:rPr>
          <w:spacing w:val="-3"/>
        </w:rPr>
        <w:t>出“鸿蒙世界”的概念，表明华为生态进入“初步成熟</w:t>
      </w:r>
      <w:r>
        <w:rPr>
          <w:spacing w:val="-4"/>
        </w:rPr>
        <w:t>期”后的</w:t>
      </w:r>
      <w:r>
        <w:rPr>
          <w:spacing w:val="-7"/>
        </w:rPr>
        <w:t>新期待。</w:t>
      </w:r>
    </w:p>
    <w:p>
      <w:pPr>
        <w:pStyle w:val="BodyText"/>
        <w:ind w:left="25" w:right="107" w:firstLine="602"/>
        <w:spacing w:before="293" w:line="259" w:lineRule="auto"/>
        <w:jc w:val="both"/>
        <w:rPr/>
      </w:pPr>
      <w:r>
        <w:rPr>
          <w:spacing w:val="-4"/>
        </w:rPr>
        <w:t>鸿蒙生态不断生长有三大驱动力：一是坚持技</w:t>
      </w:r>
      <w:r>
        <w:rPr>
          <w:spacing w:val="-5"/>
        </w:rPr>
        <w:t>术创新。鸿蒙</w:t>
      </w:r>
      <w:r>
        <w:rPr>
          <w:spacing w:val="-4"/>
        </w:rPr>
        <w:t>凭借分布式技术、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、原子化服务、通信、影像、音</w:t>
      </w:r>
      <w:r>
        <w:rPr>
          <w:spacing w:val="-5"/>
        </w:rPr>
        <w:t>视频、图形</w:t>
      </w:r>
      <w:r>
        <w:rPr>
          <w:spacing w:val="-4"/>
        </w:rPr>
        <w:t>渲染及隐私和安全框架这八大核心能力构建了技术领先的“鸿蒙</w:t>
      </w:r>
      <w:r>
        <w:rPr>
          <w:spacing w:val="-4"/>
        </w:rPr>
        <w:t>底座”；二是为生态伙伴持续提供资源和支持。鸿蒙为合作伙伴</w:t>
      </w:r>
    </w:p>
    <w:p>
      <w:pPr>
        <w:spacing w:line="259" w:lineRule="auto"/>
        <w:sectPr>
          <w:pgSz w:w="11907" w:h="16839"/>
          <w:pgMar w:top="400" w:right="1690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9" w:right="106" w:firstLine="7"/>
        <w:spacing w:before="98" w:line="258" w:lineRule="auto"/>
        <w:rPr/>
      </w:pPr>
      <w:r>
        <w:rPr>
          <w:spacing w:val="-3"/>
        </w:rPr>
        <w:t>提供方舟编译器、</w:t>
      </w:r>
      <w:r>
        <w:rPr>
          <w:rFonts w:ascii="Times New Roman" w:hAnsi="Times New Roman" w:eastAsia="Times New Roman" w:cs="Times New Roman"/>
          <w:spacing w:val="-3"/>
        </w:rPr>
        <w:t>ArkTS </w:t>
      </w:r>
      <w:r>
        <w:rPr>
          <w:spacing w:val="-3"/>
        </w:rPr>
        <w:t>开发语言等全链路自研鸿</w:t>
      </w:r>
      <w:r>
        <w:rPr>
          <w:spacing w:val="-4"/>
        </w:rPr>
        <w:t>蒙工具，解决</w:t>
      </w:r>
      <w:r>
        <w:rPr>
          <w:spacing w:val="-14"/>
        </w:rPr>
        <w:t>开发者关注的效率、性能、安全和成本问题；三是坚持研发投入。</w:t>
      </w:r>
      <w:r>
        <w:rPr>
          <w:spacing w:val="10"/>
        </w:rPr>
        <w:t>华为持续投入鸿蒙生态人才建设，联合</w:t>
      </w:r>
      <w:r>
        <w:rPr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166  </w:t>
      </w:r>
      <w:r>
        <w:rPr>
          <w:spacing w:val="10"/>
        </w:rPr>
        <w:t>所国内高效开设</w:t>
      </w:r>
      <w:r>
        <w:rPr>
          <w:rFonts w:ascii="Times New Roman" w:hAnsi="Times New Roman" w:eastAsia="Times New Roman" w:cs="Times New Roman"/>
          <w:spacing w:val="-6"/>
        </w:rPr>
        <w:t>HarmonyOS </w:t>
      </w:r>
      <w:r>
        <w:rPr>
          <w:spacing w:val="-6"/>
        </w:rPr>
        <w:t>课程，积极举办鸿蒙开发者创新大赛。基于以上三大</w:t>
      </w:r>
      <w:r>
        <w:rPr>
          <w:spacing w:val="-4"/>
        </w:rPr>
        <w:t>驱动力，鸿蒙生态打破单品和场景桎梏，让用户能够更加灵活地</w:t>
      </w:r>
      <w:r>
        <w:rPr>
          <w:spacing w:val="-4"/>
        </w:rPr>
        <w:t>选择产品和搭建智能空间，进一步延伸用户智能化需求，鸿蒙生</w:t>
      </w:r>
      <w:r>
        <w:rPr>
          <w:spacing w:val="-2"/>
        </w:rPr>
        <w:t>态未来有望形成与苹果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iOS</w:t>
      </w:r>
      <w:r>
        <w:rPr>
          <w:spacing w:val="-2"/>
        </w:rPr>
        <w:t>、谷歌安卓“三分天下”的格局。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三、运营商发展全屋智能的借鉴和思考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6" w:firstLine="657"/>
        <w:spacing w:before="98" w:line="259" w:lineRule="auto"/>
        <w:jc w:val="both"/>
        <w:rPr/>
      </w:pPr>
      <w:r>
        <w:rPr>
          <w:spacing w:val="-7"/>
        </w:rPr>
        <w:t>目前运营商全屋智能的全场景体验尚不完善，设备、场景之</w:t>
      </w:r>
      <w:r>
        <w:rPr>
          <w:spacing w:val="-4"/>
        </w:rPr>
        <w:t>间的联动不足，自有平台与外部平台的融通性不足，终端类型和</w:t>
      </w:r>
      <w:r>
        <w:rPr>
          <w:spacing w:val="-4"/>
        </w:rPr>
        <w:t>服务内容也有待进一步拓展，需要通过强化平台能力、提升场景</w:t>
      </w:r>
      <w:r>
        <w:rPr/>
        <w:t>体验、拓展生态合作来为用户提供更优质的全屋智能解决方案。</w:t>
      </w:r>
    </w:p>
    <w:p>
      <w:pPr>
        <w:pStyle w:val="BodyText"/>
        <w:ind w:left="27" w:right="116" w:firstLine="609"/>
        <w:spacing w:before="272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．以打造互联平台为核心中枢，通过统一技术标准和</w:t>
      </w:r>
      <w:r>
        <w:rPr>
          <w:b/>
          <w:bCs/>
          <w:spacing w:val="-3"/>
        </w:rPr>
        <w:t>协议</w:t>
      </w:r>
      <w:r>
        <w:rPr>
          <w:b/>
          <w:bCs/>
          <w:spacing w:val="-5"/>
        </w:rPr>
        <w:t>提升行业影响力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7" w:right="23" w:firstLine="603"/>
        <w:spacing w:before="98" w:line="259" w:lineRule="auto"/>
        <w:jc w:val="both"/>
        <w:rPr/>
      </w:pPr>
      <w:r>
        <w:rPr>
          <w:spacing w:val="-4"/>
        </w:rPr>
        <w:t>坚持以智慧家庭业务平台为核心，制定统一</w:t>
      </w:r>
      <w:r>
        <w:rPr>
          <w:spacing w:val="-5"/>
        </w:rPr>
        <w:t>的智能家居业务</w:t>
      </w:r>
      <w:r>
        <w:rPr>
          <w:spacing w:val="-1"/>
        </w:rPr>
        <w:t>协议标准和对接技术规范，实现跨厂商设备的接入和控制融合，</w:t>
      </w:r>
      <w:r>
        <w:rPr>
          <w:spacing w:val="-4"/>
        </w:rPr>
        <w:t>并进一步推动自有智能家居平台与外部厂商平台的互联互通，提</w:t>
      </w:r>
      <w:r>
        <w:rPr>
          <w:spacing w:val="-4"/>
        </w:rPr>
        <w:t>升平台协议标准的行业影响力。</w:t>
      </w:r>
    </w:p>
    <w:p>
      <w:pPr>
        <w:pStyle w:val="BodyText"/>
        <w:ind w:left="60" w:right="177" w:firstLine="563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5"/>
        </w:rPr>
        <w:t>2</w:t>
      </w:r>
      <w:r>
        <w:rPr>
          <w:b/>
          <w:bCs/>
          <w:spacing w:val="-15"/>
        </w:rPr>
        <w:t>．产业合作加强生态布局，打造全屋智能全场景交互体</w:t>
      </w:r>
      <w:r>
        <w:rPr>
          <w:b/>
          <w:bCs/>
          <w:spacing w:val="-16"/>
        </w:rPr>
        <w:t>验，</w:t>
      </w:r>
      <w:r>
        <w:rPr>
          <w:b/>
          <w:bCs/>
          <w:spacing w:val="-6"/>
        </w:rPr>
        <w:t>以家庭为中心拓展数字生活圈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5" w:right="106" w:firstLine="601"/>
        <w:spacing w:before="98" w:line="259" w:lineRule="auto"/>
        <w:jc w:val="both"/>
        <w:rPr/>
      </w:pPr>
      <w:r>
        <w:rPr>
          <w:spacing w:val="-9"/>
        </w:rPr>
        <w:t>加深在硬件终端、服务内容方面生态合作的深度和广度，</w:t>
      </w:r>
      <w:r>
        <w:rPr>
          <w:spacing w:val="-25"/>
        </w:rPr>
        <w:t xml:space="preserve"> </w:t>
      </w:r>
      <w:r>
        <w:rPr>
          <w:spacing w:val="-9"/>
        </w:rPr>
        <w:t>发</w:t>
      </w:r>
      <w:r>
        <w:rPr>
          <w:spacing w:val="-4"/>
        </w:rPr>
        <w:t>挥运营商集成平台优势，优化多类型、多品牌设备以及多场景间</w:t>
      </w:r>
      <w:r>
        <w:rPr>
          <w:spacing w:val="-2"/>
        </w:rPr>
        <w:t>的联动与转换，面向用户通过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2"/>
        </w:rPr>
        <w:t>入口支撑全屋智能全场景的</w:t>
      </w:r>
      <w:r>
        <w:rPr>
          <w:spacing w:val="-7"/>
        </w:rPr>
        <w:t>无缝交互，与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AI</w:t>
      </w:r>
      <w:r>
        <w:rPr>
          <w:spacing w:val="-7"/>
        </w:rPr>
        <w:t>、大模型等前沿技术融合助力交互体验升级。以</w:t>
      </w:r>
      <w:r>
        <w:rPr>
          <w:spacing w:val="-8"/>
        </w:rPr>
        <w:t>数字家庭为中心加强与智慧社区、智慧城市的联动，</w:t>
      </w:r>
      <w:r>
        <w:rPr>
          <w:spacing w:val="-34"/>
        </w:rPr>
        <w:t xml:space="preserve"> </w:t>
      </w:r>
      <w:r>
        <w:rPr>
          <w:spacing w:val="-8"/>
        </w:rPr>
        <w:t>进一步提升</w:t>
      </w:r>
      <w:r>
        <w:rPr>
          <w:spacing w:val="-3"/>
        </w:rPr>
        <w:t>安防、养老等场景体验，打造美好数字生活圈。</w:t>
      </w:r>
    </w:p>
    <w:p>
      <w:pPr>
        <w:spacing w:line="259" w:lineRule="auto"/>
        <w:sectPr>
          <w:pgSz w:w="11907" w:h="16839"/>
          <w:pgMar w:top="400" w:right="1691" w:bottom="0" w:left="1785" w:header="0" w:footer="0" w:gutter="0"/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175031</wp:posOffset>
            </wp:positionH>
            <wp:positionV relativeFrom="paragraph">
              <wp:posOffset>1078</wp:posOffset>
            </wp:positionV>
            <wp:extent cx="885443" cy="352806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443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73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于明月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【17701264947】</w:t>
      </w:r>
    </w:p>
    <w:p>
      <w:pPr>
        <w:ind w:left="2271" w:right="203" w:firstLine="270"/>
        <w:spacing w:before="11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二级分析师，北京邮电大学硕士，专注于数字</w:t>
      </w:r>
      <w:r>
        <w:rPr>
          <w:rFonts w:ascii="KaiTi" w:hAnsi="KaiTi" w:eastAsia="KaiTi" w:cs="KaiTi"/>
          <w:sz w:val="28"/>
          <w:szCs w:val="28"/>
          <w:spacing w:val="-3"/>
        </w:rPr>
        <w:t>生活、全屋智能、用户研究等方向研究。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267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彭淇</w:t>
      </w:r>
    </w:p>
    <w:p>
      <w:pPr>
        <w:ind w:left="2270" w:right="203" w:firstLine="275"/>
        <w:spacing w:before="118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一级分析师，暨南大学硕士，从事通信行业客</w:t>
      </w:r>
      <w:r>
        <w:rPr>
          <w:rFonts w:ascii="KaiTi" w:hAnsi="KaiTi" w:eastAsia="KaiTi" w:cs="KaiTi"/>
          <w:sz w:val="28"/>
          <w:szCs w:val="28"/>
          <w:spacing w:val="-1"/>
        </w:rPr>
        <w:t>户需求、用户体验、产品管理研究工作，近</w:t>
      </w:r>
      <w:r>
        <w:rPr>
          <w:rFonts w:ascii="KaiTi" w:hAnsi="KaiTi" w:eastAsia="KaiTi" w:cs="KaiTi"/>
          <w:sz w:val="28"/>
          <w:szCs w:val="28"/>
          <w:spacing w:val="-2"/>
        </w:rPr>
        <w:t>年来</w:t>
      </w:r>
      <w:r>
        <w:rPr>
          <w:rFonts w:ascii="KaiTi" w:hAnsi="KaiTi" w:eastAsia="KaiTi" w:cs="KaiTi"/>
          <w:sz w:val="28"/>
          <w:szCs w:val="28"/>
          <w:spacing w:val="-4"/>
        </w:rPr>
        <w:t>专注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5G、数字生活领域。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2284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胡雪原</w:t>
      </w:r>
    </w:p>
    <w:p>
      <w:pPr>
        <w:ind w:left="2545"/>
        <w:spacing w:before="116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一级分析师</w:t>
      </w:r>
    </w:p>
    <w:p>
      <w:pPr>
        <w:ind w:left="2263" w:right="203" w:firstLine="290"/>
        <w:spacing w:before="11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北京邮电大学硕士，主要从事国内外通信市场</w:t>
      </w:r>
      <w:r>
        <w:rPr>
          <w:rFonts w:ascii="KaiTi" w:hAnsi="KaiTi" w:eastAsia="KaiTi" w:cs="KaiTi"/>
          <w:sz w:val="28"/>
          <w:szCs w:val="28"/>
          <w:spacing w:val="-1"/>
        </w:rPr>
        <w:t>分析、渠道数字化与销售组织创新等研究工作。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png"/><Relationship Id="rId7" Type="http://schemas.openxmlformats.org/officeDocument/2006/relationships/header" Target="header2.xml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png"/><Relationship Id="rId3" Type="http://schemas.openxmlformats.org/officeDocument/2006/relationships/header" Target="header1.xml"/><Relationship Id="rId2" Type="http://schemas.openxmlformats.org/officeDocument/2006/relationships/image" Target="media/image2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2023-07-24T16:19:49Z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2025-11-04T15:54:39</vt:filetime>
  </property>
</Properties>
</file>