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98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国企分拆上市趋势解读及启示建议</w:t>
      </w:r>
    </w:p>
    <w:p>
      <w:pPr>
        <w:ind w:left="2180"/>
        <w:spacing w:before="333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</w:t>
      </w:r>
      <w:r>
        <w:rPr>
          <w:rFonts w:ascii="STKaiti" w:hAnsi="STKaiti" w:eastAsia="STKaiti" w:cs="STKaiti"/>
          <w:sz w:val="30"/>
          <w:szCs w:val="30"/>
          <w:spacing w:val="2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樊启明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陆静  黄敬</w:t>
      </w:r>
      <w:r>
        <w:rPr>
          <w:rFonts w:ascii="STKaiti" w:hAnsi="STKaiti" w:eastAsia="STKaiti" w:cs="STKaiti"/>
          <w:sz w:val="30"/>
          <w:szCs w:val="30"/>
          <w:spacing w:val="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杨孟杰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left="34" w:right="83" w:firstLine="594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8"/>
        </w:rPr>
        <w:t>2022</w:t>
      </w:r>
      <w:r>
        <w:rPr>
          <w:rFonts w:ascii="FangSong" w:hAnsi="FangSong" w:eastAsia="FangSong" w:cs="FangSong"/>
          <w:sz w:val="30"/>
          <w:szCs w:val="30"/>
          <w:spacing w:val="-3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年以来，国资委、证监会等部委陆续出台分拆上市工作</w:t>
      </w:r>
      <w:r>
        <w:rPr>
          <w:rFonts w:ascii="FangSong" w:hAnsi="FangSong" w:eastAsia="FangSong" w:cs="FangSong"/>
          <w:sz w:val="30"/>
          <w:szCs w:val="30"/>
          <w:spacing w:val="-4"/>
        </w:rPr>
        <w:t>方案细则，助推国有企业更多具有发展潜力、专业优</w:t>
      </w:r>
      <w:r>
        <w:rPr>
          <w:rFonts w:ascii="FangSong" w:hAnsi="FangSong" w:eastAsia="FangSong" w:cs="FangSong"/>
          <w:sz w:val="30"/>
          <w:szCs w:val="30"/>
          <w:spacing w:val="-5"/>
        </w:rPr>
        <w:t>势突出的优</w:t>
      </w:r>
      <w:r>
        <w:rPr>
          <w:rFonts w:ascii="FangSong" w:hAnsi="FangSong" w:eastAsia="FangSong" w:cs="FangSong"/>
          <w:sz w:val="30"/>
          <w:szCs w:val="30"/>
          <w:spacing w:val="-4"/>
        </w:rPr>
        <w:t>质资源对接资本市场，为国有企业加快布局战略性新兴产</w:t>
      </w:r>
      <w:r>
        <w:rPr>
          <w:rFonts w:ascii="FangSong" w:hAnsi="FangSong" w:eastAsia="FangSong" w:cs="FangSong"/>
          <w:sz w:val="30"/>
          <w:szCs w:val="30"/>
          <w:spacing w:val="-5"/>
        </w:rPr>
        <w:t>业提供</w:t>
      </w:r>
      <w:r>
        <w:rPr>
          <w:rFonts w:ascii="FangSong" w:hAnsi="FangSong" w:eastAsia="FangSong" w:cs="FangSong"/>
          <w:sz w:val="30"/>
          <w:szCs w:val="30"/>
          <w:spacing w:val="-9"/>
        </w:rPr>
        <w:t>了新方法与新选择。随着政策逐渐明朗，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中国电信</w:t>
      </w:r>
      <w:r>
        <w:rPr>
          <w:rFonts w:ascii="FangSong" w:hAnsi="FangSong" w:eastAsia="FangSong" w:cs="FangSong"/>
          <w:sz w:val="30"/>
          <w:szCs w:val="30"/>
          <w:spacing w:val="-10"/>
        </w:rPr>
        <w:t>应加强对优质</w:t>
      </w:r>
      <w:r>
        <w:rPr>
          <w:rFonts w:ascii="FangSong" w:hAnsi="FangSong" w:eastAsia="FangSong" w:cs="FangSong"/>
          <w:sz w:val="30"/>
          <w:szCs w:val="30"/>
          <w:spacing w:val="-4"/>
        </w:rPr>
        <w:t>子企业分拆上市的针对性研究，探讨实施策略与路径</w:t>
      </w:r>
      <w:r>
        <w:rPr>
          <w:rFonts w:ascii="FangSong" w:hAnsi="FangSong" w:eastAsia="FangSong" w:cs="FangSong"/>
          <w:sz w:val="30"/>
          <w:szCs w:val="30"/>
          <w:spacing w:val="-5"/>
        </w:rPr>
        <w:t>，助力做强</w:t>
      </w:r>
      <w:r>
        <w:rPr>
          <w:rFonts w:ascii="FangSong" w:hAnsi="FangSong" w:eastAsia="FangSong" w:cs="FangSong"/>
          <w:sz w:val="30"/>
          <w:szCs w:val="30"/>
          <w:spacing w:val="-3"/>
        </w:rPr>
        <w:t>做优做大企业价值、深化机制改革、推动新兴业务发展。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一、国企分拆上市背景及现状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5" w:right="88" w:firstLine="611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．分拆上市政策利好，为国企分拆上市提供重要的制度支</w:t>
      </w:r>
      <w:r>
        <w:rPr>
          <w:b/>
          <w:bCs/>
          <w:spacing w:val="-4"/>
        </w:rPr>
        <w:t>撑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6" w:firstLine="625"/>
        <w:spacing w:before="99" w:line="258" w:lineRule="auto"/>
        <w:jc w:val="both"/>
        <w:rPr/>
      </w:pPr>
      <w:r>
        <w:rPr>
          <w:spacing w:val="-5"/>
        </w:rPr>
        <w:t>随着我国资本市场改革不断深化且步伐加快，以及提高央企</w:t>
      </w:r>
      <w:r>
        <w:rPr>
          <w:spacing w:val="2"/>
        </w:rPr>
        <w:t>控股上市公司质量工作的逐步开展，</w:t>
      </w:r>
      <w:r>
        <w:rPr>
          <w:rFonts w:ascii="Times New Roman" w:hAnsi="Times New Roman" w:eastAsia="Times New Roman" w:cs="Times New Roman"/>
          <w:spacing w:val="2"/>
        </w:rPr>
        <w:t>2022 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年以来央国企分拆上</w:t>
      </w:r>
      <w:r>
        <w:rPr>
          <w:spacing w:val="-8"/>
        </w:rPr>
        <w:t>市的政策支持力度明显加大。</w:t>
      </w:r>
      <w:r>
        <w:rPr>
          <w:rFonts w:ascii="Times New Roman" w:hAnsi="Times New Roman" w:eastAsia="Times New Roman" w:cs="Times New Roman"/>
          <w:spacing w:val="-8"/>
        </w:rPr>
        <w:t>2022 </w:t>
      </w:r>
      <w:r>
        <w:rPr>
          <w:spacing w:val="-8"/>
        </w:rPr>
        <w:t>年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8"/>
        </w:rPr>
        <w:t>月，证监会公布《上市公</w:t>
      </w:r>
      <w:r>
        <w:rPr>
          <w:spacing w:val="-21"/>
        </w:rPr>
        <w:t>司分拆规则（试行）》，为上市公司的境内分拆提供了明确的指引，</w:t>
      </w:r>
      <w:r>
        <w:rPr>
          <w:spacing w:val="-6"/>
        </w:rPr>
        <w:t>结合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 </w:t>
      </w:r>
      <w:r>
        <w:rPr>
          <w:spacing w:val="-6"/>
        </w:rPr>
        <w:t>股市场体制机制日趋完善、境内拆分上市轮候时间缩短，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2"/>
        </w:rPr>
        <w:t>股市场对企业境内拆分上市的吸引力上升。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2"/>
        </w:rPr>
        <w:t>年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2"/>
        </w:rPr>
        <w:t>月</w:t>
      </w:r>
      <w:r>
        <w:rPr>
          <w:spacing w:val="-3"/>
        </w:rPr>
        <w:t>国资</w:t>
      </w:r>
      <w:r>
        <w:rPr>
          <w:spacing w:val="-9"/>
        </w:rPr>
        <w:t>委出台《提高央企控股上市公司质量工作方案》明确提出， 中央</w:t>
      </w:r>
      <w:r>
        <w:rPr>
          <w:spacing w:val="-4"/>
        </w:rPr>
        <w:t>企业集团公司要对子企业上市工作进行统筹，继续孵化更多具有</w:t>
      </w:r>
      <w:r>
        <w:rPr>
          <w:spacing w:val="-2"/>
        </w:rPr>
        <w:t>发展潜力、专业优势突出的优质资源对接资本市场。</w:t>
      </w:r>
    </w:p>
    <w:p>
      <w:pPr>
        <w:pStyle w:val="BodyText"/>
        <w:ind w:left="36" w:right="90" w:firstLine="587"/>
        <w:spacing w:before="285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．国企分拆上市步伐明显加速，强化自身控股上市平台核</w:t>
      </w:r>
      <w:r>
        <w:rPr>
          <w:b/>
          <w:bCs/>
          <w:spacing w:val="-10"/>
        </w:rPr>
        <w:t>心功能</w:t>
      </w:r>
    </w:p>
    <w:p>
      <w:pPr>
        <w:rPr>
          <w:rFonts w:ascii="Arial"/>
          <w:sz w:val="21"/>
        </w:rPr>
      </w:pPr>
      <w:r/>
    </w:p>
    <w:p>
      <w:pPr>
        <w:pStyle w:val="BodyText"/>
        <w:ind w:left="25" w:right="83" w:firstLine="617"/>
        <w:spacing w:before="98" w:line="260" w:lineRule="auto"/>
        <w:jc w:val="both"/>
        <w:rPr/>
      </w:pPr>
      <w:r>
        <w:rPr>
          <w:spacing w:val="-5"/>
        </w:rPr>
        <w:t>随着提高国企控股上市公司质量工作的推进，为了实现布局</w:t>
      </w:r>
      <w:r>
        <w:rPr>
          <w:spacing w:val="-9"/>
        </w:rPr>
        <w:t>优化和功能发挥、提升上市功能经营质量、增强核心竞争力， 国</w:t>
      </w:r>
      <w:r>
        <w:rPr>
          <w:spacing w:val="-4"/>
        </w:rPr>
        <w:t>企控股上市平台将有更强烈的意愿对旗下业务进行整合、分拆与</w:t>
      </w:r>
      <w:r>
        <w:rPr>
          <w:spacing w:val="-4"/>
        </w:rPr>
        <w:t>剥离，国企启动分拆上市进程加速，今年以来，中国交建、中国</w:t>
      </w:r>
    </w:p>
    <w:p>
      <w:pPr>
        <w:spacing w:line="260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ind w:left="25" w:firstLine="12"/>
        <w:spacing w:before="87" w:line="259" w:lineRule="auto"/>
        <w:jc w:val="both"/>
        <w:rPr/>
      </w:pPr>
      <w:r>
        <w:rPr>
          <w:spacing w:val="-10"/>
        </w:rPr>
        <w:t>能建、南方航空等均发布子公司分拆上市进度公告，</w:t>
      </w:r>
      <w:r>
        <w:rPr>
          <w:spacing w:val="73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1"/>
        </w:rPr>
        <w:t>月中国联</w:t>
      </w:r>
      <w:r>
        <w:rPr>
          <w:spacing w:val="-13"/>
        </w:rPr>
        <w:t>通发布分拆智网科技获批复公告。数据显示， 截至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6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13"/>
        </w:rPr>
        <w:t>月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5</w:t>
      </w:r>
      <w:r>
        <w:rPr>
          <w:rFonts w:ascii="Times New Roman" w:hAnsi="Times New Roman" w:eastAsia="Times New Roman" w:cs="Times New Roman"/>
          <w:spacing w:val="64"/>
          <w:w w:val="101"/>
        </w:rPr>
        <w:t xml:space="preserve"> </w:t>
      </w:r>
      <w:r>
        <w:rPr>
          <w:spacing w:val="-13"/>
        </w:rPr>
        <w:t>日，有</w:t>
      </w:r>
      <w:r>
        <w:rPr>
          <w:rFonts w:ascii="Times New Roman" w:hAnsi="Times New Roman" w:eastAsia="Times New Roman" w:cs="Times New Roman"/>
          <w:spacing w:val="-3"/>
        </w:rPr>
        <w:t>74</w:t>
      </w:r>
      <w:r>
        <w:rPr>
          <w:rFonts w:ascii="Times New Roman" w:hAnsi="Times New Roman" w:eastAsia="Times New Roman" w:cs="Times New Roman"/>
          <w:spacing w:val="64"/>
          <w:w w:val="101"/>
        </w:rPr>
        <w:t xml:space="preserve"> </w:t>
      </w:r>
      <w:r>
        <w:rPr>
          <w:spacing w:val="-3"/>
        </w:rPr>
        <w:t>家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3"/>
        </w:rPr>
        <w:t>股上市公司正推进分拆上市，其中超过五成来自国企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1</w:t>
      </w:r>
      <w:r>
        <w:rPr>
          <w:spacing w:val="-3"/>
        </w:rPr>
        <w:t>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二、国企分拆上市共性特征及成效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18" w:lineRule="auto"/>
        <w:outlineLvl w:val="3"/>
        <w:rPr/>
      </w:pPr>
      <w:r>
        <w:rPr>
          <w:b/>
          <w:bCs/>
          <w:spacing w:val="-3"/>
        </w:rPr>
        <w:t>（一）把握成长阶段的价值红利，培育战略性新兴产业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7" w:right="111" w:firstLine="609"/>
        <w:spacing w:before="98"/>
        <w:outlineLvl w:val="2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．从企业生命周期来看，</w:t>
      </w:r>
      <w:r>
        <w:rPr>
          <w:rFonts w:ascii="Times New Roman" w:hAnsi="Times New Roman" w:eastAsia="Times New Roman" w:cs="Times New Roman"/>
          <w:b/>
          <w:bCs/>
          <w:spacing w:val="-5"/>
        </w:rPr>
        <w:t>92%</w:t>
      </w:r>
      <w:r>
        <w:rPr>
          <w:b/>
          <w:bCs/>
          <w:spacing w:val="-5"/>
        </w:rPr>
        <w:t>的国企</w:t>
      </w:r>
      <w:r>
        <w:rPr>
          <w:rFonts w:ascii="Times New Roman" w:hAnsi="Times New Roman" w:eastAsia="Times New Roman" w:cs="Times New Roman"/>
          <w:b/>
          <w:bCs/>
          <w:spacing w:val="-5"/>
        </w:rPr>
        <w:t>/</w:t>
      </w:r>
      <w:r>
        <w:rPr>
          <w:b/>
          <w:bCs/>
          <w:spacing w:val="-5"/>
        </w:rPr>
        <w:t>央企选择在子公司成</w:t>
      </w:r>
      <w:r>
        <w:rPr>
          <w:b/>
          <w:bCs/>
          <w:spacing w:val="-3"/>
        </w:rPr>
        <w:t>长期分拆上市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  <w:position w:val="10"/>
        </w:rPr>
        <w:t>2</w:t>
      </w:r>
    </w:p>
    <w:p>
      <w:pPr>
        <w:rPr>
          <w:rFonts w:ascii="Arial"/>
          <w:sz w:val="21"/>
        </w:rPr>
      </w:pPr>
      <w:r/>
    </w:p>
    <w:p>
      <w:pPr>
        <w:pStyle w:val="BodyText"/>
        <w:ind w:left="14" w:right="24" w:firstLine="612"/>
        <w:spacing w:before="98" w:line="258" w:lineRule="auto"/>
        <w:jc w:val="both"/>
        <w:rPr/>
      </w:pPr>
      <w:r>
        <w:rPr>
          <w:spacing w:val="-4"/>
        </w:rPr>
        <w:t>新一轮国企改革深化提升行动的酝酿实施，以及年</w:t>
      </w:r>
      <w:r>
        <w:rPr>
          <w:spacing w:val="-5"/>
        </w:rPr>
        <w:t>内国资委</w:t>
      </w:r>
      <w:r>
        <w:rPr>
          <w:spacing w:val="-4"/>
        </w:rPr>
        <w:t>鼓励央企加大对战略性新兴产业的布局力度，已成为国企分拆上</w:t>
      </w:r>
      <w:r>
        <w:rPr>
          <w:spacing w:val="-2"/>
        </w:rPr>
        <w:t>市的重要动机所在。截至到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2023 </w:t>
      </w:r>
      <w:r>
        <w:rPr>
          <w:spacing w:val="-2"/>
        </w:rPr>
        <w:t>年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Q1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2"/>
        </w:rPr>
        <w:t>，</w:t>
      </w:r>
      <w:r>
        <w:rPr>
          <w:rFonts w:ascii="Times New Roman" w:hAnsi="Times New Roman" w:eastAsia="Times New Roman" w:cs="Times New Roman"/>
          <w:spacing w:val="-2"/>
        </w:rPr>
        <w:t>13 </w:t>
      </w:r>
      <w:r>
        <w:rPr>
          <w:spacing w:val="-2"/>
        </w:rPr>
        <w:t>家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 </w:t>
      </w:r>
      <w:r>
        <w:rPr>
          <w:spacing w:val="-2"/>
        </w:rPr>
        <w:t>拆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 </w:t>
      </w:r>
      <w:r>
        <w:rPr>
          <w:spacing w:val="-2"/>
        </w:rPr>
        <w:t>成功国企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央企的案例中，子公司近 </w:t>
      </w:r>
      <w:r>
        <w:rPr>
          <w:rFonts w:ascii="Times New Roman" w:hAnsi="Times New Roman" w:eastAsia="Times New Roman" w:cs="Times New Roman"/>
          <w:spacing w:val="-1"/>
        </w:rPr>
        <w:t>3  </w:t>
      </w:r>
      <w:r>
        <w:rPr>
          <w:spacing w:val="-1"/>
        </w:rPr>
        <w:t>年营收复合增速和行业复合增速的</w:t>
      </w:r>
      <w:r>
        <w:rPr>
          <w:spacing w:val="-3"/>
        </w:rPr>
        <w:t>均值分别为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23%</w:t>
      </w:r>
      <w:r>
        <w:rPr>
          <w:spacing w:val="-3"/>
        </w:rPr>
        <w:t>和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25%</w:t>
      </w:r>
      <w:r>
        <w:rPr>
          <w:spacing w:val="-3"/>
        </w:rPr>
        <w:t>。成长期企业其核心产品已经得到检验，</w:t>
      </w:r>
      <w:r>
        <w:rPr>
          <w:spacing w:val="-4"/>
        </w:rPr>
        <w:t>具备一定的市场份额并逐步扩大，开始探索核心产品之外关联产</w:t>
      </w:r>
      <w:r>
        <w:rPr>
          <w:spacing w:val="-3"/>
        </w:rPr>
        <w:t>品的开发，而其客户数量增多并呈现多样化。</w:t>
      </w:r>
    </w:p>
    <w:p>
      <w:pPr>
        <w:pStyle w:val="BodyText"/>
        <w:ind w:left="31" w:right="115" w:firstLine="593"/>
        <w:spacing w:before="285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．获得持续的增长空间、推动主要产品业务增长是成长期</w:t>
      </w:r>
      <w:r>
        <w:rPr>
          <w:b/>
          <w:bCs/>
          <w:spacing w:val="-4"/>
        </w:rPr>
        <w:t>企业分拆上市的核心考量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6" w:right="107" w:firstLine="598"/>
        <w:spacing w:before="98" w:line="260" w:lineRule="auto"/>
        <w:jc w:val="both"/>
        <w:rPr/>
      </w:pPr>
      <w:r>
        <w:rPr>
          <w:spacing w:val="-4"/>
        </w:rPr>
        <w:t>在这一阶段选择分拆上市可以抓住行业扩张的红利，通过独</w:t>
      </w:r>
      <w:r>
        <w:rPr>
          <w:spacing w:val="-4"/>
        </w:rPr>
        <w:t>立的上市平台进一步扩大投资、强化核心技术开发、提高规模经</w:t>
      </w:r>
      <w:r>
        <w:rPr>
          <w:spacing w:val="-9"/>
        </w:rPr>
        <w:t>济效应、抢占市场份额， 从而建立自身差异化的竞争优势，最大</w:t>
      </w:r>
      <w:r>
        <w:rPr>
          <w:spacing w:val="-1"/>
        </w:rPr>
        <w:t>限度分享行业高成长带来的超额收益。</w:t>
      </w:r>
    </w:p>
    <w:p>
      <w:pPr>
        <w:pStyle w:val="BodyText"/>
        <w:ind w:left="636"/>
        <w:spacing w:before="270" w:line="220" w:lineRule="auto"/>
        <w:outlineLvl w:val="3"/>
        <w:rPr/>
      </w:pPr>
      <w:r>
        <w:rPr>
          <w:b/>
          <w:bCs/>
          <w:spacing w:val="-6"/>
        </w:rPr>
        <w:t>（二）</w:t>
      </w:r>
      <w:r>
        <w:rPr>
          <w:spacing w:val="-74"/>
        </w:rPr>
        <w:t xml:space="preserve"> </w:t>
      </w:r>
      <w:r>
        <w:rPr>
          <w:b/>
          <w:bCs/>
          <w:spacing w:val="-6"/>
        </w:rPr>
        <w:t>打造专业化上市公司集群，有效倒逼自身改革发展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5" w:right="108" w:firstLine="604"/>
        <w:spacing w:before="98" w:line="258" w:lineRule="auto"/>
        <w:jc w:val="both"/>
        <w:rPr/>
      </w:pPr>
      <w:r>
        <w:rPr>
          <w:spacing w:val="-4"/>
        </w:rPr>
        <w:t>分拆上市已成为深化国有控股上市公司改革、</w:t>
      </w:r>
      <w:r>
        <w:rPr>
          <w:spacing w:val="-5"/>
        </w:rPr>
        <w:t>落实国企改革</w:t>
      </w:r>
      <w:r>
        <w:rPr>
          <w:spacing w:val="-2"/>
        </w:rPr>
        <w:t>三年行动方案部署的具体举措。</w:t>
      </w:r>
      <w:r>
        <w:rPr>
          <w:rFonts w:ascii="Times New Roman" w:hAnsi="Times New Roman" w:eastAsia="Times New Roman" w:cs="Times New Roman"/>
          <w:spacing w:val="-2"/>
        </w:rPr>
        <w:t>46%</w:t>
      </w:r>
      <w:r>
        <w:rPr>
          <w:spacing w:val="-2"/>
        </w:rPr>
        <w:t>的国央企以分拆上市为目的</w:t>
      </w:r>
      <w:r>
        <w:rPr>
          <w:spacing w:val="-9"/>
        </w:rPr>
        <w:t>推进国企混改、改善公司的治理结构， 实现“一业一企、一企一</w:t>
      </w:r>
      <w:r>
        <w:rPr>
          <w:spacing w:val="-4"/>
        </w:rPr>
        <w:t>业”的专业化整合，助推央国企价值重塑。如海康威视、中国铁</w:t>
      </w:r>
    </w:p>
    <w:p>
      <w:pPr>
        <w:spacing w:line="318" w:lineRule="auto"/>
        <w:rPr>
          <w:rFonts w:ascii="Arial"/>
          <w:sz w:val="21"/>
        </w:rPr>
      </w:pPr>
      <w:r>
        <w:pict>
          <v:shape id="_x0000_s2" style="position:absolute;margin-left:0.72599pt;margin-top:11.2424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30"/>
        <w:spacing w:before="69" w:line="218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6"/>
        </w:rPr>
        <w:t>1</w:t>
      </w:r>
      <w:r>
        <w:rPr>
          <w:rFonts w:ascii="Times New Roman" w:hAnsi="Times New Roman" w:eastAsia="Times New Roman" w:cs="Times New Roman"/>
          <w:sz w:val="13"/>
          <w:szCs w:val="13"/>
          <w:spacing w:val="9"/>
          <w:position w:val="6"/>
        </w:rPr>
        <w:t xml:space="preserve">   </w:t>
      </w:r>
      <w:r>
        <w:rPr>
          <w:rFonts w:ascii="FangSong" w:hAnsi="FangSong" w:eastAsia="FangSong" w:cs="FangSong"/>
          <w:sz w:val="21"/>
          <w:szCs w:val="21"/>
          <w:spacing w:val="-3"/>
        </w:rPr>
        <w:t>数据来源：证券日报</w:t>
      </w:r>
    </w:p>
    <w:p>
      <w:pPr>
        <w:ind w:left="20"/>
        <w:spacing w:before="7" w:line="235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3"/>
          <w:position w:val="10"/>
        </w:rPr>
        <w:t>2</w:t>
      </w:r>
      <w:r>
        <w:rPr>
          <w:rFonts w:ascii="DengXian" w:hAnsi="DengXian" w:eastAsia="DengXian" w:cs="DengXian"/>
          <w:sz w:val="11"/>
          <w:szCs w:val="11"/>
          <w:spacing w:val="9"/>
          <w:w w:val="101"/>
          <w:position w:val="10"/>
        </w:rPr>
        <w:t xml:space="preserve">   </w:t>
      </w:r>
      <w:r>
        <w:rPr>
          <w:rFonts w:ascii="FangSong" w:hAnsi="FangSong" w:eastAsia="FangSong" w:cs="FangSong"/>
          <w:sz w:val="21"/>
          <w:szCs w:val="21"/>
          <w:spacing w:val="-3"/>
        </w:rPr>
        <w:t>数据基于</w:t>
      </w:r>
      <w:r>
        <w:rPr>
          <w:rFonts w:ascii="FangSong" w:hAnsi="FangSong" w:eastAsia="FangSong" w:cs="FangSong"/>
          <w:sz w:val="21"/>
          <w:szCs w:val="21"/>
          <w:spacing w:val="-5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WIND</w:t>
      </w:r>
      <w:r>
        <w:rPr>
          <w:rFonts w:ascii="FangSong" w:hAnsi="FangSong" w:eastAsia="FangSong" w:cs="FangSong"/>
          <w:sz w:val="21"/>
          <w:szCs w:val="21"/>
          <w:spacing w:val="-3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等梳理</w:t>
      </w:r>
    </w:p>
    <w:p>
      <w:pPr>
        <w:spacing w:line="235" w:lineRule="auto"/>
        <w:sectPr>
          <w:pgSz w:w="11907" w:h="16839"/>
          <w:pgMar w:top="1431" w:right="1690" w:bottom="0" w:left="1785" w:header="0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>
        <w:pict>
          <v:shape id="_x0000_s4" style="position:absolute;margin-left:143.546pt;margin-top:171.461pt;mso-position-vertical-relative:page;mso-position-horizontal-relative:page;width:12.75pt;height:51.35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8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4"/>
                    </w:rPr>
                    <w:t>企业价值空间</w:t>
                  </w:r>
                </w:p>
              </w:txbxContent>
            </v:textbox>
          </v:shape>
        </w:pict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7" w:firstLine="2"/>
        <w:spacing w:before="97" w:line="249" w:lineRule="auto"/>
        <w:jc w:val="both"/>
        <w:rPr/>
      </w:pPr>
      <w:r>
        <w:rPr>
          <w:spacing w:val="-1"/>
        </w:rPr>
        <w:t>建、广电运通等龙头公司，基于分拆业务和主营业务的独立性，</w:t>
      </w:r>
      <w:r>
        <w:rPr>
          <w:spacing w:val="-4"/>
        </w:rPr>
        <w:t>重点聚焦行业核心技术、价值链高端、关键元器件等打造专精特</w:t>
      </w:r>
      <w:r>
        <w:rPr>
          <w:spacing w:val="-4"/>
        </w:rPr>
        <w:t>新“小巨人”，在资本市场形成专业化上市公司集群，提</w:t>
      </w:r>
      <w:r>
        <w:rPr>
          <w:spacing w:val="-5"/>
        </w:rPr>
        <w:t>升控股</w:t>
      </w:r>
      <w:r>
        <w:rPr>
          <w:spacing w:val="-7"/>
        </w:rPr>
        <w:t>上市公司质量。</w:t>
      </w:r>
    </w:p>
    <w:p>
      <w:pPr>
        <w:spacing w:line="249" w:lineRule="auto"/>
        <w:sectPr>
          <w:headerReference w:type="default" r:id="rId1"/>
          <w:pgSz w:w="11907" w:h="16839"/>
          <w:pgMar w:top="400" w:right="1712" w:bottom="0" w:left="1785" w:header="0" w:footer="0" w:gutter="0"/>
          <w:cols w:equalWidth="0" w:num="1">
            <w:col w:w="8408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ind w:left="1907"/>
        <w:spacing w:before="60" w:line="15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-458409</wp:posOffset>
            </wp:positionV>
            <wp:extent cx="3807930" cy="152852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7930" cy="1528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成长阶段</w:t>
      </w:r>
    </w:p>
    <w:p>
      <w:pPr>
        <w:ind w:left="3292"/>
        <w:spacing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成熟阶段</w:t>
      </w:r>
    </w:p>
    <w:p>
      <w:pPr>
        <w:ind w:left="4712"/>
        <w:spacing w:before="171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衰退阶段</w:t>
      </w:r>
    </w:p>
    <w:p>
      <w:pPr>
        <w:ind w:left="416"/>
        <w:spacing w:before="113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初创阶段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left="5113"/>
        <w:spacing w:before="69" w:line="18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企业生命周期</w:t>
      </w:r>
    </w:p>
    <w:p>
      <w:pPr>
        <w:spacing w:line="181" w:lineRule="auto"/>
        <w:sectPr>
          <w:type w:val="continuous"/>
          <w:pgSz w:w="11907" w:h="16839"/>
          <w:pgMar w:top="400" w:right="1712" w:bottom="0" w:left="1785" w:header="0" w:footer="0" w:gutter="0"/>
          <w:cols w:equalWidth="0" w:num="2">
            <w:col w:w="1371" w:space="100"/>
            <w:col w:w="6938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line="58" w:lineRule="exact"/>
        <w:rPr/>
      </w:pPr>
      <w:r/>
    </w:p>
    <w:tbl>
      <w:tblPr>
        <w:tblStyle w:val="TableNormal"/>
        <w:tblW w:w="6195" w:type="dxa"/>
        <w:tblInd w:w="1260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521"/>
        <w:gridCol w:w="1176"/>
        <w:gridCol w:w="1525"/>
        <w:gridCol w:w="1475"/>
        <w:gridCol w:w="1498"/>
      </w:tblGrid>
      <w:tr>
        <w:trPr>
          <w:trHeight w:val="392" w:hRule="atLeast"/>
        </w:trPr>
        <w:tc>
          <w:tcPr>
            <w:shd w:val="clear" w:fill="5B9BD5"/>
            <w:tcW w:w="521" w:type="dxa"/>
            <w:vAlign w:val="top"/>
            <w:tcBorders>
              <w:bottom w:val="single" w:color="FFFFFF" w:sz="1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5B9BD5"/>
            <w:tcW w:w="1176" w:type="dxa"/>
            <w:vAlign w:val="top"/>
            <w:tcBorders>
              <w:bottom w:val="single" w:color="FFFFFF" w:sz="12" w:space="0"/>
            </w:tcBorders>
          </w:tcPr>
          <w:p>
            <w:pPr>
              <w:pStyle w:val="TableText"/>
              <w:ind w:left="218"/>
              <w:spacing w:before="11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1"/>
              </w:rPr>
              <w:t>初创阶段</w:t>
            </w:r>
          </w:p>
        </w:tc>
        <w:tc>
          <w:tcPr>
            <w:shd w:val="clear" w:fill="5B9BD5"/>
            <w:tcW w:w="1525" w:type="dxa"/>
            <w:vAlign w:val="top"/>
            <w:tcBorders>
              <w:bottom w:val="single" w:color="FFFFFF" w:sz="12" w:space="0"/>
            </w:tcBorders>
          </w:tcPr>
          <w:p>
            <w:pPr>
              <w:pStyle w:val="TableText"/>
              <w:ind w:left="395"/>
              <w:spacing w:before="11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1"/>
              </w:rPr>
              <w:t>成长阶段</w:t>
            </w:r>
          </w:p>
        </w:tc>
        <w:tc>
          <w:tcPr>
            <w:shd w:val="clear" w:fill="5B9BD5"/>
            <w:tcW w:w="1475" w:type="dxa"/>
            <w:vAlign w:val="top"/>
            <w:tcBorders>
              <w:bottom w:val="single" w:color="FFFFFF" w:sz="12" w:space="0"/>
            </w:tcBorders>
          </w:tcPr>
          <w:p>
            <w:pPr>
              <w:pStyle w:val="TableText"/>
              <w:ind w:left="374"/>
              <w:spacing w:before="11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1"/>
              </w:rPr>
              <w:t>成熟阶段</w:t>
            </w:r>
          </w:p>
        </w:tc>
        <w:tc>
          <w:tcPr>
            <w:shd w:val="clear" w:fill="5B9BD5"/>
            <w:tcW w:w="1498" w:type="dxa"/>
            <w:vAlign w:val="top"/>
            <w:tcBorders>
              <w:bottom w:val="single" w:color="FFFFFF" w:sz="12" w:space="0"/>
            </w:tcBorders>
          </w:tcPr>
          <w:p>
            <w:pPr>
              <w:pStyle w:val="TableText"/>
              <w:ind w:left="388"/>
              <w:spacing w:before="11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1"/>
              </w:rPr>
              <w:t>衰退阶段</w:t>
            </w:r>
          </w:p>
        </w:tc>
      </w:tr>
      <w:tr>
        <w:trPr>
          <w:trHeight w:val="736" w:hRule="atLeast"/>
        </w:trPr>
        <w:tc>
          <w:tcPr>
            <w:shd w:val="clear" w:fill="D2DEEF"/>
            <w:tcW w:w="521" w:type="dxa"/>
            <w:vAlign w:val="top"/>
            <w:tcBorders>
              <w:top w:val="single" w:color="FFFFFF" w:sz="12" w:space="0"/>
            </w:tcBorders>
          </w:tcPr>
          <w:p>
            <w:pPr>
              <w:pStyle w:val="TableText"/>
              <w:ind w:left="72"/>
              <w:spacing w:before="281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特点</w:t>
            </w:r>
          </w:p>
        </w:tc>
        <w:tc>
          <w:tcPr>
            <w:shd w:val="clear" w:fill="D2DEEF"/>
            <w:tcW w:w="1176" w:type="dxa"/>
            <w:vAlign w:val="top"/>
            <w:tcBorders>
              <w:top w:val="single" w:color="FFFFFF" w:sz="12" w:space="0"/>
            </w:tcBorders>
          </w:tcPr>
          <w:p>
            <w:pPr>
              <w:pStyle w:val="TableText"/>
              <w:ind w:left="66" w:right="131"/>
              <w:spacing w:before="192" w:line="183" w:lineRule="auto"/>
              <w:rPr/>
            </w:pPr>
            <w:r>
              <w:rPr/>
              <w:t>生产规模小，</w:t>
            </w:r>
            <w:r>
              <w:rPr>
                <w:spacing w:val="1"/>
              </w:rPr>
              <w:t>现金流转不畅</w:t>
            </w:r>
          </w:p>
        </w:tc>
        <w:tc>
          <w:tcPr>
            <w:shd w:val="clear" w:fill="D2DEEF"/>
            <w:tcW w:w="1525" w:type="dxa"/>
            <w:vAlign w:val="top"/>
            <w:tcBorders>
              <w:top w:val="single" w:color="FFFFFF" w:sz="12" w:space="0"/>
            </w:tcBorders>
          </w:tcPr>
          <w:p>
            <w:pPr>
              <w:pStyle w:val="TableText"/>
              <w:ind w:left="71" w:right="152"/>
              <w:spacing w:before="191" w:line="183" w:lineRule="auto"/>
              <w:rPr/>
            </w:pPr>
            <w:r>
              <w:rPr>
                <w:spacing w:val="1"/>
              </w:rPr>
              <w:t>市场竞争力逐渐增</w:t>
            </w:r>
            <w:r>
              <w:rPr>
                <w:spacing w:val="1"/>
              </w:rPr>
              <w:t>强，业绩增速加快</w:t>
            </w:r>
          </w:p>
        </w:tc>
        <w:tc>
          <w:tcPr>
            <w:shd w:val="clear" w:fill="D2DEEF"/>
            <w:tcW w:w="1475" w:type="dxa"/>
            <w:vAlign w:val="top"/>
            <w:tcBorders>
              <w:top w:val="single" w:color="FFFFFF" w:sz="12" w:space="0"/>
            </w:tcBorders>
          </w:tcPr>
          <w:p>
            <w:pPr>
              <w:pStyle w:val="TableText"/>
              <w:ind w:left="72"/>
              <w:spacing w:before="94" w:line="179" w:lineRule="auto"/>
              <w:jc w:val="both"/>
              <w:rPr/>
            </w:pPr>
            <w:r>
              <w:rPr>
                <w:spacing w:val="-2"/>
              </w:rPr>
              <w:t>资金雄厚，技术先</w:t>
            </w:r>
            <w:r>
              <w:rPr>
                <w:spacing w:val="-6"/>
              </w:rPr>
              <w:t>进、人才资源丰富，</w:t>
            </w:r>
            <w:r>
              <w:rPr>
                <w:spacing w:val="-2"/>
              </w:rPr>
              <w:t>具有较强竞争能力</w:t>
            </w:r>
          </w:p>
        </w:tc>
        <w:tc>
          <w:tcPr>
            <w:shd w:val="clear" w:fill="D2DEEF"/>
            <w:tcW w:w="1498" w:type="dxa"/>
            <w:vAlign w:val="top"/>
            <w:tcBorders>
              <w:top w:val="single" w:color="FFFFFF" w:sz="12" w:space="0"/>
            </w:tcBorders>
          </w:tcPr>
          <w:p>
            <w:pPr>
              <w:pStyle w:val="TableText"/>
              <w:ind w:left="78" w:right="119" w:hanging="3"/>
              <w:spacing w:before="193" w:line="183" w:lineRule="auto"/>
              <w:rPr/>
            </w:pPr>
            <w:r>
              <w:rPr>
                <w:spacing w:val="1"/>
              </w:rPr>
              <w:t>企业产品市场份额</w:t>
            </w:r>
            <w:r>
              <w:rPr>
                <w:spacing w:val="-1"/>
              </w:rPr>
              <w:t>下降</w:t>
            </w:r>
          </w:p>
        </w:tc>
      </w:tr>
      <w:tr>
        <w:trPr>
          <w:trHeight w:val="719" w:hRule="atLeast"/>
        </w:trPr>
        <w:tc>
          <w:tcPr>
            <w:shd w:val="clear" w:fill="EAEFF7"/>
            <w:tcW w:w="521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96"/>
              <w:spacing w:before="28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占比</w:t>
            </w:r>
          </w:p>
        </w:tc>
        <w:tc>
          <w:tcPr>
            <w:shd w:val="clear" w:fill="EAEFF7"/>
            <w:tcW w:w="1176" w:type="dxa"/>
            <w:vAlign w:val="top"/>
            <w:tcBorders>
              <w:bottom w:val="single" w:color="FFFFFF" w:sz="2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485"/>
              <w:spacing w:before="48" w:line="20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C00000"/>
                <w:spacing w:val="-1"/>
                <w:position w:val="1"/>
              </w:rPr>
              <w:t>0%</w:t>
            </w:r>
          </w:p>
        </w:tc>
        <w:tc>
          <w:tcPr>
            <w:shd w:val="clear" w:fill="EAEFF7"/>
            <w:tcW w:w="1525" w:type="dxa"/>
            <w:vAlign w:val="top"/>
            <w:tcBorders>
              <w:bottom w:val="single" w:color="FFFFFF" w:sz="2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623"/>
              <w:spacing w:before="48" w:line="20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C00000"/>
                <w:spacing w:val="-1"/>
                <w:position w:val="1"/>
              </w:rPr>
              <w:t>92%</w:t>
            </w:r>
          </w:p>
        </w:tc>
        <w:tc>
          <w:tcPr>
            <w:shd w:val="clear" w:fill="EAEFF7"/>
            <w:tcW w:w="1475" w:type="dxa"/>
            <w:vAlign w:val="top"/>
            <w:tcBorders>
              <w:bottom w:val="single" w:color="FFFFFF" w:sz="2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643"/>
              <w:spacing w:before="48" w:line="20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C00000"/>
                <w:spacing w:val="-1"/>
                <w:position w:val="1"/>
              </w:rPr>
              <w:t>8%</w:t>
            </w:r>
          </w:p>
        </w:tc>
        <w:tc>
          <w:tcPr>
            <w:shd w:val="clear" w:fill="EAEFF7"/>
            <w:tcW w:w="1498" w:type="dxa"/>
            <w:vAlign w:val="top"/>
            <w:tcBorders>
              <w:bottom w:val="single" w:color="FFFFFF" w:sz="2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655"/>
              <w:spacing w:before="48" w:line="20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C00000"/>
                <w:spacing w:val="-1"/>
                <w:position w:val="1"/>
              </w:rPr>
              <w:t>0%</w:t>
            </w:r>
          </w:p>
        </w:tc>
      </w:tr>
    </w:tbl>
    <w:p>
      <w:pPr>
        <w:ind w:left="1401"/>
        <w:spacing w:before="83" w:line="21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A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拆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A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成功国企的生命周期占比分布图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19" w:lineRule="auto"/>
        <w:outlineLvl w:val="3"/>
        <w:rPr/>
      </w:pPr>
      <w:r>
        <w:rPr>
          <w:b/>
          <w:bCs/>
          <w:spacing w:val="-6"/>
        </w:rPr>
        <w:t>（三）</w:t>
      </w:r>
      <w:r>
        <w:rPr>
          <w:spacing w:val="-74"/>
        </w:rPr>
        <w:t xml:space="preserve"> </w:t>
      </w:r>
      <w:r>
        <w:rPr>
          <w:b/>
          <w:bCs/>
          <w:spacing w:val="-6"/>
        </w:rPr>
        <w:t>拆分后母子公司资本市场认可度和整体市值的提升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5" w:right="85" w:firstLine="591"/>
        <w:spacing w:before="98" w:line="260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A </w:t>
      </w:r>
      <w:r>
        <w:rPr>
          <w:spacing w:val="-4"/>
        </w:rPr>
        <w:t>拆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 </w:t>
      </w:r>
      <w:r>
        <w:rPr>
          <w:spacing w:val="-4"/>
        </w:rPr>
        <w:t>成功的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13 </w:t>
      </w:r>
      <w:r>
        <w:rPr>
          <w:spacing w:val="-4"/>
        </w:rPr>
        <w:t>家国企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央企的案例中，母公</w:t>
      </w:r>
      <w:r>
        <w:rPr>
          <w:spacing w:val="-5"/>
        </w:rPr>
        <w:t>司和子公司市</w:t>
      </w:r>
      <w:r>
        <w:rPr>
          <w:spacing w:val="-3"/>
        </w:rPr>
        <w:t>值之和超过母公司发布分拆公告日市值有 </w:t>
      </w:r>
      <w:r>
        <w:rPr>
          <w:rFonts w:ascii="Times New Roman" w:hAnsi="Times New Roman" w:eastAsia="Times New Roman" w:cs="Times New Roman"/>
          <w:spacing w:val="-3"/>
        </w:rPr>
        <w:t>11</w:t>
      </w:r>
      <w:r>
        <w:rPr>
          <w:rFonts w:ascii="Times New Roman" w:hAnsi="Times New Roman" w:eastAsia="Times New Roman" w:cs="Times New Roman"/>
          <w:spacing w:val="57"/>
          <w:w w:val="101"/>
        </w:rPr>
        <w:t xml:space="preserve"> </w:t>
      </w:r>
      <w:r>
        <w:rPr>
          <w:spacing w:val="-3"/>
        </w:rPr>
        <w:t>例，市值平均涨幅</w:t>
      </w:r>
      <w:r>
        <w:rPr>
          <w:spacing w:val="-10"/>
        </w:rPr>
        <w:t>超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50%</w:t>
      </w:r>
      <w:r>
        <w:rPr>
          <w:rFonts w:ascii="Times New Roman" w:hAnsi="Times New Roman" w:eastAsia="Times New Roman" w:cs="Times New Roman"/>
          <w:sz w:val="18"/>
          <w:szCs w:val="18"/>
          <w:spacing w:val="-10"/>
          <w:position w:val="10"/>
        </w:rPr>
        <w:t>3</w:t>
      </w:r>
      <w:r>
        <w:rPr>
          <w:spacing w:val="-10"/>
        </w:rPr>
        <w:t>，拆分后的母子公司整体市值明显提升。其中，</w:t>
      </w:r>
      <w:r>
        <w:rPr>
          <w:spacing w:val="-86"/>
        </w:rPr>
        <w:t xml:space="preserve"> </w:t>
      </w:r>
      <w:r>
        <w:rPr>
          <w:spacing w:val="-10"/>
        </w:rPr>
        <w:t>子公司市</w:t>
      </w:r>
      <w:r>
        <w:rPr>
          <w:spacing w:val="-4"/>
        </w:rPr>
        <w:t>值超过母公司市值有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 </w:t>
      </w:r>
      <w:r>
        <w:rPr>
          <w:spacing w:val="-4"/>
        </w:rPr>
        <w:t>例，分别为江苏国泰分拆瑞泰新材、星网</w:t>
      </w:r>
      <w:r>
        <w:rPr>
          <w:spacing w:val="-9"/>
        </w:rPr>
        <w:t>锐捷分拆锐捷网络，子公司业务价值被合理释放。同时， 分拆上</w:t>
      </w:r>
      <w:r>
        <w:rPr>
          <w:spacing w:val="-4"/>
        </w:rPr>
        <w:t>市可赋予子公司更高的估值溢价，分拆成功子公司的市盈率平均</w:t>
      </w:r>
      <w:r>
        <w:rPr>
          <w:spacing w:val="-2"/>
        </w:rPr>
        <w:t>是母公司的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3.2 </w:t>
      </w:r>
      <w:r>
        <w:rPr>
          <w:spacing w:val="-2"/>
        </w:rPr>
        <w:t>倍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4</w:t>
      </w:r>
      <w:r>
        <w:rPr>
          <w:spacing w:val="-2"/>
        </w:rPr>
        <w:t>。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三、启示及建议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9" w:line="220" w:lineRule="auto"/>
        <w:outlineLvl w:val="3"/>
        <w:rPr/>
      </w:pPr>
      <w:r>
        <w:rPr>
          <w:b/>
          <w:bCs/>
          <w:spacing w:val="-4"/>
        </w:rPr>
        <w:t>（一）国企分拆上市的启示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6" style="position:absolute;margin-left:0.72599pt;margin-top:9.12682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34" w:right="143" w:hanging="14"/>
        <w:spacing w:before="69" w:line="239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11"/>
          <w:szCs w:val="11"/>
          <w:spacing w:val="-3"/>
          <w:position w:val="10"/>
        </w:rPr>
        <w:t>3</w:t>
      </w:r>
      <w:r>
        <w:rPr>
          <w:rFonts w:ascii="FangSong" w:hAnsi="FangSong" w:eastAsia="FangSong" w:cs="FangSong"/>
          <w:sz w:val="11"/>
          <w:szCs w:val="11"/>
          <w:spacing w:val="-3"/>
          <w:position w:val="10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-3"/>
        </w:rPr>
        <w:t>数据截至</w:t>
      </w:r>
      <w:r>
        <w:rPr>
          <w:rFonts w:ascii="FangSong" w:hAnsi="FangSong" w:eastAsia="FangSong" w:cs="FangSong"/>
          <w:sz w:val="21"/>
          <w:szCs w:val="21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5</w:t>
      </w:r>
      <w:r>
        <w:rPr>
          <w:rFonts w:ascii="FangSong" w:hAnsi="FangSong" w:eastAsia="FangSong" w:cs="FangSong"/>
          <w:sz w:val="21"/>
          <w:szCs w:val="21"/>
          <w:spacing w:val="-2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月</w:t>
      </w:r>
      <w:r>
        <w:rPr>
          <w:rFonts w:ascii="FangSong" w:hAnsi="FangSong" w:eastAsia="FangSong" w:cs="FangSong"/>
          <w:sz w:val="21"/>
          <w:szCs w:val="21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8</w:t>
      </w:r>
      <w:r>
        <w:rPr>
          <w:rFonts w:ascii="FangSong" w:hAnsi="FangSong" w:eastAsia="FangSong" w:cs="FangSong"/>
          <w:sz w:val="21"/>
          <w:szCs w:val="21"/>
          <w:spacing w:val="-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日，平均涨幅为</w:t>
      </w:r>
      <w:r>
        <w:rPr>
          <w:rFonts w:ascii="FangSong" w:hAnsi="FangSong" w:eastAsia="FangSong" w:cs="FangSong"/>
          <w:sz w:val="21"/>
          <w:szCs w:val="21"/>
          <w:spacing w:val="-29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13</w:t>
      </w:r>
      <w:r>
        <w:rPr>
          <w:rFonts w:ascii="FangSong" w:hAnsi="FangSong" w:eastAsia="FangSong" w:cs="FangSong"/>
          <w:sz w:val="21"/>
          <w:szCs w:val="21"/>
          <w:spacing w:val="-3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家企业相对于公告日涨幅的平均</w:t>
      </w:r>
      <w:r>
        <w:rPr>
          <w:rFonts w:ascii="FangSong" w:hAnsi="FangSong" w:eastAsia="FangSong" w:cs="FangSong"/>
          <w:sz w:val="21"/>
          <w:szCs w:val="21"/>
          <w:spacing w:val="-4"/>
        </w:rPr>
        <w:t>值；相对于公告日涨</w:t>
      </w:r>
      <w:r>
        <w:rPr>
          <w:rFonts w:ascii="FangSong" w:hAnsi="FangSong" w:eastAsia="FangSong" w:cs="FangSong"/>
          <w:sz w:val="21"/>
          <w:szCs w:val="21"/>
          <w:spacing w:val="-1"/>
        </w:rPr>
        <w:t>幅=（母公司市值+子公司市值-母公司公告日市值）/母公司公告日涨幅</w:t>
      </w:r>
    </w:p>
    <w:p>
      <w:pPr>
        <w:ind w:left="17"/>
        <w:spacing w:line="206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11"/>
          <w:szCs w:val="11"/>
          <w:spacing w:val="-2"/>
          <w:position w:val="10"/>
        </w:rPr>
        <w:t>4</w:t>
      </w:r>
      <w:r>
        <w:rPr>
          <w:rFonts w:ascii="FangSong" w:hAnsi="FangSong" w:eastAsia="FangSong" w:cs="FangSong"/>
          <w:sz w:val="11"/>
          <w:szCs w:val="11"/>
          <w:spacing w:val="-2"/>
          <w:position w:val="10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-2"/>
        </w:rPr>
        <w:t>数据选取</w:t>
      </w:r>
      <w:r>
        <w:rPr>
          <w:rFonts w:ascii="FangSong" w:hAnsi="FangSong" w:eastAsia="FangSong" w:cs="FangSong"/>
          <w:sz w:val="21"/>
          <w:szCs w:val="21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5</w:t>
      </w:r>
      <w:r>
        <w:rPr>
          <w:rFonts w:ascii="FangSong" w:hAnsi="FangSong" w:eastAsia="FangSong" w:cs="FangSong"/>
          <w:sz w:val="21"/>
          <w:szCs w:val="21"/>
          <w:spacing w:val="-2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月</w:t>
      </w:r>
      <w:r>
        <w:rPr>
          <w:rFonts w:ascii="FangSong" w:hAnsi="FangSong" w:eastAsia="FangSong" w:cs="FangSong"/>
          <w:sz w:val="21"/>
          <w:szCs w:val="21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8</w:t>
      </w:r>
      <w:r>
        <w:rPr>
          <w:rFonts w:ascii="FangSong" w:hAnsi="FangSong" w:eastAsia="FangSong" w:cs="FangSong"/>
          <w:sz w:val="21"/>
          <w:szCs w:val="21"/>
          <w:spacing w:val="-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日子公司市盈率/母公司市盈率，同时剔除负值</w:t>
      </w:r>
      <w:r>
        <w:rPr>
          <w:rFonts w:ascii="FangSong" w:hAnsi="FangSong" w:eastAsia="FangSong" w:cs="FangSong"/>
          <w:sz w:val="21"/>
          <w:szCs w:val="21"/>
          <w:spacing w:val="-3"/>
        </w:rPr>
        <w:t>与中科江南等两家极端值</w:t>
      </w:r>
    </w:p>
    <w:p>
      <w:pPr>
        <w:spacing w:line="206" w:lineRule="auto"/>
        <w:sectPr>
          <w:type w:val="continuous"/>
          <w:pgSz w:w="11907" w:h="16839"/>
          <w:pgMar w:top="400" w:right="1712" w:bottom="0" w:left="1785" w:header="0" w:footer="0" w:gutter="0"/>
          <w:cols w:equalWidth="0" w:num="1">
            <w:col w:w="8408" w:space="0"/>
          </w:cols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36" w:right="423" w:firstLine="604"/>
        <w:spacing w:before="98" w:line="260" w:lineRule="auto"/>
        <w:jc w:val="both"/>
        <w:rPr/>
      </w:pPr>
      <w:r>
        <w:rPr>
          <w:spacing w:val="7"/>
        </w:rPr>
        <w:t>一是分拆上市可成为中国电信培育战略性新兴产业的有效</w:t>
      </w:r>
      <w:r>
        <w:rPr>
          <w:spacing w:val="-4"/>
        </w:rPr>
        <w:t>途径，拓宽云、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spacing w:val="-4"/>
        </w:rPr>
        <w:t>、安全等业务的融资渠道，保障关</w:t>
      </w:r>
      <w:r>
        <w:rPr>
          <w:spacing w:val="-5"/>
        </w:rPr>
        <w:t>键技术的研</w:t>
      </w:r>
      <w:r>
        <w:rPr>
          <w:spacing w:val="-4"/>
        </w:rPr>
        <w:t>发投入力度，加大核心产业“卡脖子”技术攻关力度，对接行业</w:t>
      </w:r>
      <w:r>
        <w:rPr>
          <w:spacing w:val="-4"/>
        </w:rPr>
        <w:t>发展与国家战略需要，借助资本力量赋能创新业务的发展，抢抓</w:t>
      </w:r>
      <w:r>
        <w:rPr>
          <w:spacing w:val="-1"/>
        </w:rPr>
        <w:t>数字经济的“第二增长曲线”。</w:t>
      </w:r>
    </w:p>
    <w:p>
      <w:pPr>
        <w:pStyle w:val="BodyText"/>
        <w:ind w:left="440" w:right="426" w:firstLine="601"/>
        <w:spacing w:before="269" w:line="261" w:lineRule="auto"/>
        <w:jc w:val="both"/>
        <w:rPr/>
      </w:pPr>
      <w:r>
        <w:rPr>
          <w:spacing w:val="-5"/>
        </w:rPr>
        <w:t>二是推动专业子公司的管理体制、经营体制优化并提升管理</w:t>
      </w:r>
      <w:r>
        <w:rPr>
          <w:spacing w:val="-4"/>
        </w:rPr>
        <w:t>效率，通过引入战略投资者，倒逼公司提升治理透明度和规范化</w:t>
      </w:r>
      <w:r>
        <w:rPr>
          <w:spacing w:val="-3"/>
        </w:rPr>
        <w:t>水平，保持业务的创新活力，提升企业的市场竞争力。</w:t>
      </w:r>
    </w:p>
    <w:p>
      <w:pPr>
        <w:pStyle w:val="BodyText"/>
        <w:ind w:left="435" w:right="169" w:firstLine="601"/>
        <w:spacing w:before="268" w:line="262" w:lineRule="auto"/>
        <w:jc w:val="both"/>
        <w:rPr/>
      </w:pPr>
      <w:r>
        <w:rPr>
          <w:spacing w:val="-6"/>
        </w:rPr>
        <w:t>三是重塑中国电信上市公司的估值体系，提升集团整体市值。</w:t>
      </w:r>
      <w:r>
        <w:rPr>
          <w:spacing w:val="7"/>
        </w:rPr>
        <w:t>基于二级市场的可比公司划定估值范围，将中国电</w:t>
      </w:r>
      <w:r>
        <w:rPr>
          <w:spacing w:val="6"/>
        </w:rPr>
        <w:t>信传统业务</w:t>
      </w:r>
      <w:r>
        <w:rPr>
          <w:spacing w:val="-7"/>
        </w:rPr>
        <w:t>（归母净资产</w:t>
      </w:r>
      <w:r>
        <w:rPr>
          <w:rFonts w:ascii="Times New Roman" w:hAnsi="Times New Roman" w:eastAsia="Times New Roman" w:cs="Times New Roman"/>
          <w:spacing w:val="-7"/>
        </w:rPr>
        <w:t>*PB</w:t>
      </w:r>
      <w:r>
        <w:rPr>
          <w:spacing w:val="-7"/>
        </w:rPr>
        <w:t>）和云计算、网络安全</w:t>
      </w:r>
      <w:r>
        <w:rPr>
          <w:spacing w:val="-8"/>
        </w:rPr>
        <w:t>等子公司（营收</w:t>
      </w:r>
      <w:r>
        <w:rPr>
          <w:rFonts w:ascii="Times New Roman" w:hAnsi="Times New Roman" w:eastAsia="Times New Roman" w:cs="Times New Roman"/>
          <w:spacing w:val="-8"/>
        </w:rPr>
        <w:t>*PS</w:t>
      </w:r>
      <w:r>
        <w:rPr>
          <w:spacing w:val="-8"/>
        </w:rPr>
        <w:t>）以</w:t>
      </w:r>
      <w:r>
        <w:rPr>
          <w:spacing w:val="-8"/>
        </w:rPr>
        <w:t>及公司货币资金、权益性资产等分开估值并求和，</w:t>
      </w:r>
      <w:r>
        <w:rPr>
          <w:spacing w:val="-34"/>
        </w:rPr>
        <w:t xml:space="preserve"> </w:t>
      </w:r>
      <w:r>
        <w:rPr>
          <w:spacing w:val="-8"/>
        </w:rPr>
        <w:t>最终得到公司</w:t>
      </w:r>
      <w:r>
        <w:rPr>
          <w:spacing w:val="-3"/>
        </w:rPr>
        <w:t>总体估值约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7454~11735 </w:t>
      </w:r>
      <w:r>
        <w:rPr>
          <w:spacing w:val="-3"/>
        </w:rPr>
        <w:t>亿元。</w:t>
      </w:r>
    </w:p>
    <w:p>
      <w:pPr>
        <w:ind w:left="2181"/>
        <w:spacing w:before="236" w:line="209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表</w:t>
      </w:r>
      <w:r>
        <w:rPr>
          <w:rFonts w:ascii="KaiTi" w:hAnsi="KaiTi" w:eastAsia="KaiTi" w:cs="KaiTi"/>
          <w:sz w:val="30"/>
          <w:szCs w:val="30"/>
          <w:spacing w:val="29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中国电信分拆前后估值变化情况</w:t>
      </w:r>
    </w:p>
    <w:tbl>
      <w:tblPr>
        <w:tblStyle w:val="TableNormal"/>
        <w:tblW w:w="915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30"/>
        <w:gridCol w:w="1464"/>
        <w:gridCol w:w="1398"/>
        <w:gridCol w:w="1149"/>
        <w:gridCol w:w="1134"/>
        <w:gridCol w:w="1015"/>
        <w:gridCol w:w="1078"/>
        <w:gridCol w:w="684"/>
      </w:tblGrid>
      <w:tr>
        <w:trPr>
          <w:trHeight w:val="565" w:hRule="atLeast"/>
        </w:trPr>
        <w:tc>
          <w:tcPr>
            <w:shd w:val="clear" w:fill="4F81BD"/>
            <w:tcW w:w="1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F81BD"/>
            <w:tcW w:w="1464" w:type="dxa"/>
            <w:vAlign w:val="top"/>
          </w:tcPr>
          <w:p>
            <w:pPr>
              <w:ind w:left="425"/>
              <w:spacing w:before="181" w:line="218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color w:val="FFFFFF"/>
                <w:spacing w:val="-6"/>
              </w:rPr>
              <w:t>分拆前</w:t>
            </w:r>
          </w:p>
        </w:tc>
        <w:tc>
          <w:tcPr>
            <w:shd w:val="clear" w:fill="4F81BD"/>
            <w:tcW w:w="6458" w:type="dxa"/>
            <w:vAlign w:val="top"/>
            <w:gridSpan w:val="6"/>
          </w:tcPr>
          <w:p>
            <w:pPr>
              <w:ind w:left="2922"/>
              <w:spacing w:before="180" w:line="220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color w:val="FFFFFF"/>
                <w:spacing w:val="-6"/>
              </w:rPr>
              <w:t>分拆后</w:t>
            </w:r>
          </w:p>
        </w:tc>
      </w:tr>
      <w:tr>
        <w:trPr>
          <w:trHeight w:val="345" w:hRule="atLeast"/>
        </w:trPr>
        <w:tc>
          <w:tcPr>
            <w:tcW w:w="1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4" w:type="dxa"/>
            <w:vAlign w:val="top"/>
          </w:tcPr>
          <w:p>
            <w:pPr>
              <w:ind w:left="319"/>
              <w:spacing w:before="69" w:line="21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3"/>
              </w:rPr>
              <w:t>整体资产</w:t>
            </w:r>
          </w:p>
        </w:tc>
        <w:tc>
          <w:tcPr>
            <w:tcW w:w="1398" w:type="dxa"/>
            <w:vAlign w:val="top"/>
          </w:tcPr>
          <w:p>
            <w:pPr>
              <w:ind w:left="291"/>
              <w:spacing w:before="69" w:line="220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4"/>
              </w:rPr>
              <w:t>传统业务</w:t>
            </w:r>
          </w:p>
        </w:tc>
        <w:tc>
          <w:tcPr>
            <w:tcW w:w="1149" w:type="dxa"/>
            <w:vAlign w:val="top"/>
          </w:tcPr>
          <w:p>
            <w:pPr>
              <w:ind w:left="271"/>
              <w:spacing w:before="69" w:line="220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3"/>
              </w:rPr>
              <w:t>天翼云</w:t>
            </w:r>
          </w:p>
        </w:tc>
        <w:tc>
          <w:tcPr>
            <w:tcW w:w="1134" w:type="dxa"/>
            <w:vAlign w:val="top"/>
          </w:tcPr>
          <w:p>
            <w:pPr>
              <w:ind w:left="182"/>
              <w:spacing w:before="69" w:line="218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9"/>
              </w:rPr>
              <w:t>网络安全</w:t>
            </w:r>
          </w:p>
        </w:tc>
        <w:tc>
          <w:tcPr>
            <w:tcW w:w="1015" w:type="dxa"/>
            <w:vAlign w:val="top"/>
          </w:tcPr>
          <w:p>
            <w:pPr>
              <w:ind w:left="206"/>
              <w:spacing w:before="68" w:line="218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3"/>
              </w:rPr>
              <w:t>物联网</w:t>
            </w:r>
          </w:p>
        </w:tc>
        <w:tc>
          <w:tcPr>
            <w:tcW w:w="1078" w:type="dxa"/>
            <w:vAlign w:val="top"/>
          </w:tcPr>
          <w:p>
            <w:pPr>
              <w:ind w:left="198"/>
              <w:spacing w:before="69" w:line="220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3"/>
              </w:rPr>
              <w:t>AI</w:t>
            </w:r>
            <w:r>
              <w:rPr>
                <w:rFonts w:ascii="FangSong" w:hAnsi="FangSong" w:eastAsia="FangSong" w:cs="FangSong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3"/>
              </w:rPr>
              <w:t>公司</w:t>
            </w:r>
          </w:p>
        </w:tc>
        <w:tc>
          <w:tcPr>
            <w:tcW w:w="684" w:type="dxa"/>
            <w:vAlign w:val="top"/>
          </w:tcPr>
          <w:p>
            <w:pPr>
              <w:ind w:left="145"/>
              <w:spacing w:before="69" w:line="218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4"/>
              </w:rPr>
              <w:t>其他</w:t>
            </w:r>
          </w:p>
        </w:tc>
      </w:tr>
      <w:tr>
        <w:trPr>
          <w:trHeight w:val="345" w:hRule="atLeast"/>
        </w:trPr>
        <w:tc>
          <w:tcPr>
            <w:tcW w:w="1230" w:type="dxa"/>
            <w:vAlign w:val="top"/>
          </w:tcPr>
          <w:p>
            <w:pPr>
              <w:ind w:left="206"/>
              <w:spacing w:before="69" w:line="217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spacing w:val="-5"/>
              </w:rPr>
              <w:t>估值方法</w:t>
            </w:r>
          </w:p>
        </w:tc>
        <w:tc>
          <w:tcPr>
            <w:tcW w:w="1464" w:type="dxa"/>
            <w:vAlign w:val="top"/>
          </w:tcPr>
          <w:p>
            <w:pPr>
              <w:ind w:left="624"/>
              <w:spacing w:before="109" w:line="178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PB</w:t>
            </w:r>
          </w:p>
        </w:tc>
        <w:tc>
          <w:tcPr>
            <w:tcW w:w="1398" w:type="dxa"/>
            <w:vAlign w:val="top"/>
          </w:tcPr>
          <w:p>
            <w:pPr>
              <w:ind w:left="382"/>
              <w:spacing w:before="109" w:line="178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</w:rPr>
              <w:t>PB、PE</w:t>
            </w:r>
          </w:p>
        </w:tc>
        <w:tc>
          <w:tcPr>
            <w:tcW w:w="1149" w:type="dxa"/>
            <w:vAlign w:val="top"/>
          </w:tcPr>
          <w:p>
            <w:pPr>
              <w:ind w:left="470"/>
              <w:spacing w:before="108" w:line="17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PS</w:t>
            </w:r>
          </w:p>
        </w:tc>
        <w:tc>
          <w:tcPr>
            <w:tcW w:w="1134" w:type="dxa"/>
            <w:vAlign w:val="top"/>
          </w:tcPr>
          <w:p>
            <w:pPr>
              <w:ind w:left="463"/>
              <w:spacing w:before="108" w:line="17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PS</w:t>
            </w:r>
          </w:p>
        </w:tc>
        <w:tc>
          <w:tcPr>
            <w:tcW w:w="1015" w:type="dxa"/>
            <w:vAlign w:val="top"/>
          </w:tcPr>
          <w:p>
            <w:pPr>
              <w:ind w:left="405"/>
              <w:spacing w:before="108" w:line="17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PS</w:t>
            </w:r>
          </w:p>
        </w:tc>
        <w:tc>
          <w:tcPr>
            <w:tcW w:w="1078" w:type="dxa"/>
            <w:vAlign w:val="top"/>
          </w:tcPr>
          <w:p>
            <w:pPr>
              <w:ind w:left="437"/>
              <w:spacing w:before="103" w:line="17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PS</w:t>
            </w:r>
          </w:p>
        </w:tc>
        <w:tc>
          <w:tcPr>
            <w:tcW w:w="6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5" w:hRule="atLeast"/>
        </w:trPr>
        <w:tc>
          <w:tcPr>
            <w:tcW w:w="1230" w:type="dxa"/>
            <w:vAlign w:val="top"/>
          </w:tcPr>
          <w:p>
            <w:pPr>
              <w:ind w:left="206"/>
              <w:spacing w:before="7" w:line="220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spacing w:val="-5"/>
              </w:rPr>
              <w:t>可比公司</w:t>
            </w:r>
          </w:p>
          <w:p>
            <w:pPr>
              <w:ind w:left="206"/>
              <w:spacing w:before="9" w:line="217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spacing w:val="-5"/>
              </w:rPr>
              <w:t>估值范围</w:t>
            </w:r>
          </w:p>
        </w:tc>
        <w:tc>
          <w:tcPr>
            <w:tcW w:w="1464" w:type="dxa"/>
            <w:vAlign w:val="top"/>
          </w:tcPr>
          <w:p>
            <w:pPr>
              <w:ind w:left="182"/>
              <w:spacing w:before="137" w:line="21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0.9～1.5</w:t>
            </w:r>
            <w:r>
              <w:rPr>
                <w:rFonts w:ascii="FangSong" w:hAnsi="FangSong" w:eastAsia="FangSong" w:cs="FangSong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倍</w:t>
            </w:r>
          </w:p>
        </w:tc>
        <w:tc>
          <w:tcPr>
            <w:tcW w:w="1398" w:type="dxa"/>
            <w:vAlign w:val="top"/>
          </w:tcPr>
          <w:p>
            <w:pPr>
              <w:ind w:left="152"/>
              <w:spacing w:before="137" w:line="21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0.9～1.5</w:t>
            </w:r>
            <w:r>
              <w:rPr>
                <w:rFonts w:ascii="FangSong" w:hAnsi="FangSong" w:eastAsia="FangSong" w:cs="FangSong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倍</w:t>
            </w:r>
          </w:p>
        </w:tc>
        <w:tc>
          <w:tcPr>
            <w:tcW w:w="1149" w:type="dxa"/>
            <w:vAlign w:val="top"/>
          </w:tcPr>
          <w:p>
            <w:pPr>
              <w:ind w:left="191"/>
              <w:spacing w:before="137" w:line="221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2"/>
              </w:rPr>
              <w:t>6～10</w:t>
            </w:r>
            <w:r>
              <w:rPr>
                <w:rFonts w:ascii="FangSong" w:hAnsi="FangSong" w:eastAsia="FangSong" w:cs="FangSong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spacing w:val="-2"/>
              </w:rPr>
              <w:t>倍</w:t>
            </w:r>
          </w:p>
        </w:tc>
        <w:tc>
          <w:tcPr>
            <w:tcW w:w="1134" w:type="dxa"/>
            <w:vAlign w:val="top"/>
          </w:tcPr>
          <w:p>
            <w:pPr>
              <w:ind w:left="238"/>
              <w:spacing w:before="137" w:line="221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2"/>
              </w:rPr>
              <w:t>6～9</w:t>
            </w:r>
            <w:r>
              <w:rPr>
                <w:rFonts w:ascii="FangSong" w:hAnsi="FangSong" w:eastAsia="FangSong" w:cs="FangSong"/>
                <w:sz w:val="21"/>
                <w:szCs w:val="21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spacing w:val="-2"/>
              </w:rPr>
              <w:t>倍</w:t>
            </w:r>
          </w:p>
        </w:tc>
        <w:tc>
          <w:tcPr>
            <w:tcW w:w="1015" w:type="dxa"/>
            <w:vAlign w:val="top"/>
          </w:tcPr>
          <w:p>
            <w:pPr>
              <w:ind w:left="177"/>
              <w:spacing w:before="137" w:line="221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2"/>
              </w:rPr>
              <w:t>4～7</w:t>
            </w:r>
            <w:r>
              <w:rPr>
                <w:rFonts w:ascii="FangSong" w:hAnsi="FangSong" w:eastAsia="FangSong" w:cs="FangSong"/>
                <w:sz w:val="21"/>
                <w:szCs w:val="21"/>
                <w:spacing w:val="-38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spacing w:val="-2"/>
              </w:rPr>
              <w:t>倍</w:t>
            </w:r>
          </w:p>
        </w:tc>
        <w:tc>
          <w:tcPr>
            <w:tcW w:w="1078" w:type="dxa"/>
            <w:vAlign w:val="top"/>
          </w:tcPr>
          <w:p>
            <w:pPr>
              <w:ind w:left="158"/>
              <w:spacing w:before="137" w:line="221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2"/>
              </w:rPr>
              <w:t>6～10</w:t>
            </w:r>
            <w:r>
              <w:rPr>
                <w:rFonts w:ascii="FangSong" w:hAnsi="FangSong" w:eastAsia="FangSong" w:cs="FangSong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spacing w:val="-2"/>
              </w:rPr>
              <w:t>倍</w:t>
            </w:r>
          </w:p>
        </w:tc>
        <w:tc>
          <w:tcPr>
            <w:tcW w:w="6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1230" w:type="dxa"/>
            <w:vAlign w:val="top"/>
          </w:tcPr>
          <w:p>
            <w:pPr>
              <w:ind w:left="248" w:right="138" w:hanging="86"/>
              <w:spacing w:before="138" w:line="22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spacing w:val="-7"/>
              </w:rPr>
              <w:t>收入/利润</w:t>
            </w: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spacing w:val="-3"/>
              </w:rPr>
              <w:t>/净资产</w:t>
            </w:r>
          </w:p>
        </w:tc>
        <w:tc>
          <w:tcPr>
            <w:tcW w:w="1464" w:type="dxa"/>
            <w:vAlign w:val="top"/>
          </w:tcPr>
          <w:p>
            <w:pPr>
              <w:ind w:left="295"/>
              <w:spacing w:before="267" w:line="221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</w:rPr>
              <w:t>4286</w:t>
            </w:r>
            <w:r>
              <w:rPr>
                <w:rFonts w:ascii="FangSong" w:hAnsi="FangSong" w:eastAsia="FangSong" w:cs="FangSong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</w:rPr>
              <w:t>亿元</w:t>
            </w:r>
          </w:p>
        </w:tc>
        <w:tc>
          <w:tcPr>
            <w:tcW w:w="1398" w:type="dxa"/>
            <w:vAlign w:val="top"/>
          </w:tcPr>
          <w:p>
            <w:pPr>
              <w:ind w:left="184" w:right="184" w:firstLine="74"/>
              <w:spacing w:before="138" w:line="22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4"/>
              </w:rPr>
              <w:t>2848</w:t>
            </w:r>
            <w:r>
              <w:rPr>
                <w:rFonts w:ascii="FangSong" w:hAnsi="FangSong" w:eastAsia="FangSong" w:cs="FangSong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4"/>
              </w:rPr>
              <w:t>亿元</w:t>
            </w:r>
            <w:r>
              <w:rPr>
                <w:rFonts w:ascii="FangSong" w:hAnsi="FangSong" w:eastAsia="FangSong" w:cs="FangSong"/>
                <w:sz w:val="21"/>
                <w:szCs w:val="21"/>
                <w:spacing w:val="-6"/>
              </w:rPr>
              <w:t>（净资产）</w:t>
            </w:r>
          </w:p>
        </w:tc>
        <w:tc>
          <w:tcPr>
            <w:tcW w:w="1149" w:type="dxa"/>
            <w:vAlign w:val="top"/>
          </w:tcPr>
          <w:p>
            <w:pPr>
              <w:ind w:left="166" w:right="164" w:firstLine="23"/>
              <w:spacing w:before="138" w:line="22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6"/>
              </w:rPr>
              <w:t>562</w:t>
            </w:r>
            <w:r>
              <w:rPr>
                <w:rFonts w:ascii="FangSong" w:hAnsi="FangSong" w:eastAsia="FangSong" w:cs="FangSong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6"/>
              </w:rPr>
              <w:t>亿元</w:t>
            </w:r>
            <w:r>
              <w:rPr>
                <w:rFonts w:ascii="FangSong" w:hAnsi="FangSong" w:eastAsia="FangSong" w:cs="FangSong"/>
                <w:sz w:val="21"/>
                <w:szCs w:val="21"/>
                <w:spacing w:val="-7"/>
              </w:rPr>
              <w:t>（营收）</w:t>
            </w:r>
          </w:p>
        </w:tc>
        <w:tc>
          <w:tcPr>
            <w:tcW w:w="1134" w:type="dxa"/>
            <w:vAlign w:val="top"/>
          </w:tcPr>
          <w:p>
            <w:pPr>
              <w:ind w:left="159" w:right="155" w:firstLine="97"/>
              <w:spacing w:before="138" w:line="22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5"/>
              </w:rPr>
              <w:t>17</w:t>
            </w:r>
            <w:r>
              <w:rPr>
                <w:rFonts w:ascii="FangSong" w:hAnsi="FangSong" w:eastAsia="FangSong" w:cs="FangSong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spacing w:val="-5"/>
              </w:rPr>
              <w:t>亿元</w:t>
            </w:r>
            <w:r>
              <w:rPr>
                <w:rFonts w:ascii="FangSong" w:hAnsi="FangSong" w:eastAsia="FangSong" w:cs="FangSong"/>
                <w:sz w:val="21"/>
                <w:szCs w:val="21"/>
                <w:spacing w:val="-7"/>
              </w:rPr>
              <w:t>（营收）</w:t>
            </w:r>
          </w:p>
        </w:tc>
        <w:tc>
          <w:tcPr>
            <w:tcW w:w="1015" w:type="dxa"/>
            <w:vAlign w:val="top"/>
          </w:tcPr>
          <w:p>
            <w:pPr>
              <w:ind w:left="311" w:right="172" w:hanging="130"/>
              <w:spacing w:before="7" w:line="22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40</w:t>
            </w:r>
            <w:r>
              <w:rPr>
                <w:rFonts w:ascii="FangSong" w:hAnsi="FangSong" w:eastAsia="FangSong" w:cs="FangSong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spacing w:val="-1"/>
              </w:rPr>
              <w:t>亿元</w:t>
            </w:r>
            <w:r>
              <w:rPr>
                <w:rFonts w:ascii="FangSong" w:hAnsi="FangSong" w:eastAsia="FangSong" w:cs="FangSong"/>
                <w:sz w:val="21"/>
                <w:szCs w:val="21"/>
                <w:spacing w:val="-9"/>
              </w:rPr>
              <w:t>（营</w:t>
            </w:r>
          </w:p>
          <w:p>
            <w:pPr>
              <w:ind w:left="323"/>
              <w:spacing w:line="214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0"/>
              </w:rPr>
              <w:t>收）</w:t>
            </w:r>
          </w:p>
        </w:tc>
        <w:tc>
          <w:tcPr>
            <w:tcW w:w="1078" w:type="dxa"/>
            <w:vAlign w:val="top"/>
          </w:tcPr>
          <w:p>
            <w:pPr>
              <w:ind w:left="157" w:right="151" w:firstLine="78"/>
              <w:spacing w:before="147" w:line="253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19"/>
                <w:szCs w:val="19"/>
                <w:spacing w:val="-3"/>
              </w:rPr>
              <w:t>16</w:t>
            </w:r>
            <w:r>
              <w:rPr>
                <w:rFonts w:ascii="FangSong" w:hAnsi="FangSong" w:eastAsia="FangSong" w:cs="FangSong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spacing w:val="-3"/>
              </w:rPr>
              <w:t>亿元</w:t>
            </w:r>
            <w:r>
              <w:rPr>
                <w:rFonts w:ascii="FangSong" w:hAnsi="FangSong" w:eastAsia="FangSong" w:cs="FangSong"/>
                <w:sz w:val="19"/>
                <w:szCs w:val="19"/>
              </w:rPr>
              <w:t>（营收）</w:t>
            </w:r>
          </w:p>
        </w:tc>
        <w:tc>
          <w:tcPr>
            <w:tcW w:w="6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3" w:hRule="atLeast"/>
        </w:trPr>
        <w:tc>
          <w:tcPr>
            <w:tcW w:w="1230" w:type="dxa"/>
            <w:vAlign w:val="top"/>
            <w:tcBorders>
              <w:bottom w:val="single" w:color="000000" w:sz="4" w:space="0"/>
            </w:tcBorders>
          </w:tcPr>
          <w:p>
            <w:pPr>
              <w:ind w:left="209"/>
              <w:spacing w:before="177" w:line="21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spacing w:val="-6"/>
              </w:rPr>
              <w:t>市值范围</w:t>
            </w:r>
          </w:p>
        </w:tc>
        <w:tc>
          <w:tcPr>
            <w:tcW w:w="1464" w:type="dxa"/>
            <w:vAlign w:val="top"/>
            <w:tcBorders>
              <w:bottom w:val="single" w:color="000000" w:sz="4" w:space="0"/>
            </w:tcBorders>
          </w:tcPr>
          <w:p>
            <w:pPr>
              <w:ind w:left="538" w:right="205" w:hanging="327"/>
              <w:spacing w:before="28" w:line="242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3857～6429</w:t>
            </w:r>
            <w:r>
              <w:rPr>
                <w:rFonts w:ascii="FangSong" w:hAnsi="FangSong" w:eastAsia="FangSong" w:cs="FangSong"/>
                <w:sz w:val="19"/>
                <w:szCs w:val="19"/>
                <w:spacing w:val="2"/>
              </w:rPr>
              <w:t>亿元</w:t>
            </w:r>
          </w:p>
        </w:tc>
        <w:tc>
          <w:tcPr>
            <w:tcW w:w="1398" w:type="dxa"/>
            <w:vAlign w:val="top"/>
            <w:tcBorders>
              <w:bottom w:val="single" w:color="000000" w:sz="4" w:space="0"/>
            </w:tcBorders>
          </w:tcPr>
          <w:p>
            <w:pPr>
              <w:ind w:left="499" w:right="169" w:hanging="320"/>
              <w:spacing w:before="47" w:line="222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2563～4272</w:t>
            </w:r>
            <w:r>
              <w:rPr>
                <w:rFonts w:ascii="FangSong" w:hAnsi="FangSong" w:eastAsia="FangSong" w:cs="FangSong"/>
                <w:sz w:val="21"/>
                <w:szCs w:val="21"/>
                <w:spacing w:val="-4"/>
              </w:rPr>
              <w:t>亿元</w:t>
            </w:r>
          </w:p>
        </w:tc>
        <w:tc>
          <w:tcPr>
            <w:tcW w:w="1149" w:type="dxa"/>
            <w:vAlign w:val="top"/>
            <w:tcBorders>
              <w:bottom w:val="single" w:color="000000" w:sz="4" w:space="0"/>
            </w:tcBorders>
          </w:tcPr>
          <w:p>
            <w:pPr>
              <w:ind w:left="146" w:right="135" w:firstLine="122"/>
              <w:spacing w:before="28" w:line="230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15"/>
              </w:rPr>
              <w:t>3372~</w:t>
            </w:r>
            <w:r>
              <w:rPr>
                <w:rFonts w:ascii="FangSong" w:hAnsi="FangSong" w:eastAsia="FangSong" w:cs="FangSong"/>
                <w:sz w:val="21"/>
                <w:szCs w:val="2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5620</w:t>
            </w:r>
            <w:r>
              <w:rPr>
                <w:rFonts w:ascii="FangSong" w:hAnsi="FangSong" w:eastAsia="FangSong" w:cs="FangSong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spacing w:val="-1"/>
              </w:rPr>
              <w:t>亿元</w:t>
            </w:r>
          </w:p>
        </w:tc>
        <w:tc>
          <w:tcPr>
            <w:tcW w:w="1134" w:type="dxa"/>
            <w:vAlign w:val="top"/>
            <w:tcBorders>
              <w:bottom w:val="single" w:color="000000" w:sz="4" w:space="0"/>
            </w:tcBorders>
          </w:tcPr>
          <w:p>
            <w:pPr>
              <w:ind w:left="378" w:right="141" w:hanging="210"/>
              <w:spacing w:before="28" w:line="242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3"/>
              </w:rPr>
              <w:t>102～153</w:t>
            </w:r>
            <w:r>
              <w:rPr>
                <w:rFonts w:ascii="FangSong" w:hAnsi="FangSong" w:eastAsia="FangSong" w:cs="FangSong"/>
                <w:sz w:val="19"/>
                <w:szCs w:val="19"/>
                <w:spacing w:val="2"/>
              </w:rPr>
              <w:t>亿元</w:t>
            </w:r>
          </w:p>
        </w:tc>
        <w:tc>
          <w:tcPr>
            <w:tcW w:w="1015" w:type="dxa"/>
            <w:vAlign w:val="top"/>
            <w:tcBorders>
              <w:bottom w:val="single" w:color="000000" w:sz="4" w:space="0"/>
            </w:tcBorders>
          </w:tcPr>
          <w:p>
            <w:pPr>
              <w:ind w:left="132" w:right="119" w:firstLine="135"/>
              <w:spacing w:before="28" w:line="230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15"/>
              </w:rPr>
              <w:t>169~</w:t>
            </w:r>
            <w:r>
              <w:rPr>
                <w:rFonts w:ascii="FangSong" w:hAnsi="FangSong" w:eastAsia="FangSong" w:cs="FangSong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spacing w:val="-1"/>
              </w:rPr>
              <w:t>280</w:t>
            </w:r>
            <w:r>
              <w:rPr>
                <w:rFonts w:ascii="FangSong" w:hAnsi="FangSong" w:eastAsia="FangSong" w:cs="FangSong"/>
                <w:sz w:val="21"/>
                <w:szCs w:val="21"/>
                <w:spacing w:val="-38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spacing w:val="-1"/>
              </w:rPr>
              <w:t>亿元</w:t>
            </w:r>
          </w:p>
        </w:tc>
        <w:tc>
          <w:tcPr>
            <w:tcW w:w="1078" w:type="dxa"/>
            <w:vAlign w:val="top"/>
            <w:tcBorders>
              <w:bottom w:val="single" w:color="000000" w:sz="4" w:space="0"/>
            </w:tcBorders>
          </w:tcPr>
          <w:p>
            <w:pPr>
              <w:ind w:left="354" w:right="112" w:hanging="213"/>
              <w:spacing w:before="28" w:line="242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3"/>
              </w:rPr>
              <w:t>100～160</w:t>
            </w:r>
            <w:r>
              <w:rPr>
                <w:rFonts w:ascii="FangSong" w:hAnsi="FangSong" w:eastAsia="FangSong" w:cs="FangSong"/>
                <w:sz w:val="19"/>
                <w:szCs w:val="19"/>
                <w:spacing w:val="2"/>
              </w:rPr>
              <w:t>亿元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</w:tcBorders>
          </w:tcPr>
          <w:p>
            <w:pPr>
              <w:ind w:left="155" w:right="126" w:hanging="2"/>
              <w:spacing w:before="28" w:line="242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spacing w:val="-6"/>
              </w:rPr>
              <w:t>1250</w:t>
            </w:r>
            <w:r>
              <w:rPr>
                <w:rFonts w:ascii="FangSong" w:hAnsi="FangSong" w:eastAsia="FangSong" w:cs="FangSong"/>
                <w:sz w:val="19"/>
                <w:szCs w:val="19"/>
                <w:spacing w:val="2"/>
              </w:rPr>
              <w:t>亿元</w:t>
            </w:r>
          </w:p>
        </w:tc>
      </w:tr>
      <w:tr>
        <w:trPr>
          <w:trHeight w:val="556" w:hRule="atLeast"/>
        </w:trPr>
        <w:tc>
          <w:tcPr>
            <w:tcW w:w="1230" w:type="dxa"/>
            <w:vAlign w:val="top"/>
            <w:tcBorders>
              <w:top w:val="single" w:color="000000" w:sz="4" w:space="0"/>
            </w:tcBorders>
          </w:tcPr>
          <w:p>
            <w:pPr>
              <w:ind w:left="318"/>
              <w:spacing w:before="171" w:line="219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color w:val="C00000"/>
                <w:spacing w:val="-7"/>
              </w:rPr>
              <w:t>总市值</w:t>
            </w:r>
          </w:p>
        </w:tc>
        <w:tc>
          <w:tcPr>
            <w:tcW w:w="1464" w:type="dxa"/>
            <w:vAlign w:val="top"/>
            <w:tcBorders>
              <w:top w:val="single" w:color="000000" w:sz="4" w:space="0"/>
            </w:tcBorders>
          </w:tcPr>
          <w:p>
            <w:pPr>
              <w:ind w:left="538" w:right="205" w:hanging="332"/>
              <w:spacing w:before="19" w:line="243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color w:val="C00000"/>
                <w:spacing w:val="-3"/>
              </w:rPr>
              <w:t>3857～6429</w:t>
            </w:r>
            <w:r>
              <w:rPr>
                <w:rFonts w:ascii="FangSong" w:hAnsi="FangSong" w:eastAsia="FangSong" w:cs="FangSong"/>
                <w:sz w:val="19"/>
                <w:szCs w:val="19"/>
                <w:b/>
                <w:bCs/>
                <w:color w:val="C00000"/>
              </w:rPr>
              <w:t>亿元</w:t>
            </w:r>
          </w:p>
        </w:tc>
        <w:tc>
          <w:tcPr>
            <w:tcW w:w="6458" w:type="dxa"/>
            <w:vAlign w:val="top"/>
            <w:gridSpan w:val="6"/>
            <w:tcBorders>
              <w:top w:val="single" w:color="000000" w:sz="4" w:space="0"/>
            </w:tcBorders>
          </w:tcPr>
          <w:p>
            <w:pPr>
              <w:ind w:left="2426"/>
              <w:spacing w:before="152" w:line="221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rFonts w:ascii="FangSong" w:hAnsi="FangSong" w:eastAsia="FangSong" w:cs="FangSong"/>
                <w:sz w:val="21"/>
                <w:szCs w:val="21"/>
                <w:b/>
                <w:bCs/>
                <w:color w:val="C00000"/>
                <w:spacing w:val="-3"/>
              </w:rPr>
              <w:t>7454～11735</w:t>
            </w:r>
            <w:r>
              <w:rPr>
                <w:rFonts w:ascii="FangSong" w:hAnsi="FangSong" w:eastAsia="FangSong" w:cs="FangSong"/>
                <w:sz w:val="21"/>
                <w:szCs w:val="21"/>
                <w:color w:val="C00000"/>
                <w:spacing w:val="-26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b/>
                <w:bCs/>
                <w:color w:val="C00000"/>
                <w:spacing w:val="-3"/>
              </w:rPr>
              <w:t>亿元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046"/>
        <w:spacing w:before="99" w:line="220" w:lineRule="auto"/>
        <w:outlineLvl w:val="3"/>
        <w:rPr/>
      </w:pPr>
      <w:r>
        <w:rPr>
          <w:b/>
          <w:bCs/>
          <w:spacing w:val="-10"/>
        </w:rPr>
        <w:t>（二）</w:t>
      </w:r>
      <w:r>
        <w:rPr>
          <w:spacing w:val="-53"/>
        </w:rPr>
        <w:t xml:space="preserve"> </w:t>
      </w:r>
      <w:r>
        <w:rPr>
          <w:b/>
          <w:bCs/>
          <w:spacing w:val="-10"/>
        </w:rPr>
        <w:t>中国电信分拆上市发展建议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4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．综合研判分拆上市可行性，储备成长期上市资源</w:t>
      </w:r>
    </w:p>
    <w:p>
      <w:pPr>
        <w:pStyle w:val="BodyText"/>
        <w:ind w:left="436" w:right="169" w:firstLine="628"/>
        <w:spacing w:before="319" w:line="260" w:lineRule="auto"/>
        <w:jc w:val="both"/>
        <w:rPr/>
      </w:pPr>
      <w:r>
        <w:rPr>
          <w:spacing w:val="-7"/>
        </w:rPr>
        <w:t>中国电信应当积极把握资本市场政策红利期，结合政策要求、</w:t>
      </w:r>
      <w:r>
        <w:rPr>
          <w:spacing w:val="-4"/>
        </w:rPr>
        <w:t>企业现状及发展战略制定科学合理的分拆蓝图与计划。一是关注</w:t>
      </w:r>
      <w:r>
        <w:rPr>
          <w:spacing w:val="-9"/>
        </w:rPr>
        <w:t>母子公司在资产、财务、机构方面相互独立情况， 高管、财务人</w:t>
      </w:r>
      <w:r>
        <w:rPr>
          <w:spacing w:val="-5"/>
        </w:rPr>
        <w:t>员交叉任职情况，以及其他不符合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IPO </w:t>
      </w:r>
      <w:r>
        <w:rPr>
          <w:spacing w:val="-5"/>
        </w:rPr>
        <w:t>独立性的情况。如数字生</w:t>
      </w:r>
    </w:p>
    <w:p>
      <w:pPr>
        <w:spacing w:line="260" w:lineRule="auto"/>
        <w:sectPr>
          <w:headerReference w:type="default" r:id="rId3"/>
          <w:pgSz w:w="11907" w:h="16839"/>
          <w:pgMar w:top="400" w:right="1373" w:bottom="0" w:left="137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7" w:right="123" w:firstLine="3"/>
        <w:spacing w:before="97" w:line="259" w:lineRule="auto"/>
        <w:jc w:val="both"/>
        <w:rPr/>
      </w:pPr>
      <w:r>
        <w:rPr/>
        <w:t>活公司、数智公司等当前业务与主业有较高的关联性，在财</w:t>
      </w:r>
      <w:r>
        <w:rPr>
          <w:spacing w:val="-1"/>
        </w:rPr>
        <w:t>务、</w:t>
      </w:r>
      <w:r>
        <w:rPr>
          <w:spacing w:val="-4"/>
        </w:rPr>
        <w:t>经营模式等方面未与母公司有清晰界限，暂不具备分拆上市的资</w:t>
      </w:r>
      <w:r>
        <w:rPr>
          <w:spacing w:val="-8"/>
        </w:rPr>
        <w:t>质条件。二是储备成长期上市资源，</w:t>
      </w:r>
      <w:r>
        <w:rPr>
          <w:spacing w:val="-36"/>
        </w:rPr>
        <w:t xml:space="preserve"> </w:t>
      </w:r>
      <w:r>
        <w:rPr>
          <w:spacing w:val="-8"/>
        </w:rPr>
        <w:t>关注具备创新性且处在成长</w:t>
      </w:r>
      <w:r>
        <w:rPr>
          <w:spacing w:val="-4"/>
        </w:rPr>
        <w:t>期的专业子公司，建立拟上市企业培育清单，制定企业上市梯度</w:t>
      </w:r>
      <w:r>
        <w:rPr/>
        <w:t>培育制度，对上市储备期企业进行上市前期规划咨询和培训等，</w:t>
      </w:r>
      <w:r>
        <w:rPr>
          <w:spacing w:val="-4"/>
        </w:rPr>
        <w:t>夯实上市基础工作，待条件成熟后分拆上市，进一步凸显专业优</w:t>
      </w:r>
      <w:r>
        <w:rPr>
          <w:spacing w:val="-5"/>
        </w:rPr>
        <w:t>势，促进整体价值提升。</w:t>
      </w:r>
    </w:p>
    <w:p>
      <w:pPr>
        <w:pStyle w:val="BodyText"/>
        <w:ind w:left="624"/>
        <w:spacing w:before="274" w:line="233" w:lineRule="auto"/>
        <w:outlineLvl w:val="2"/>
        <w:rPr/>
      </w:pPr>
      <w:r>
        <w:pict>
          <v:shape id="_x0000_s8" style="position:absolute;margin-left:353.989pt;margin-top:59.584pt;mso-position-vertical-relative:text;mso-position-horizontal-relative:text;width:46.2pt;height:14.1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6"/>
                    </w:rPr>
                    <w:t>整体上市层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．探索打造多层次科技型企业上市平台</w:t>
      </w:r>
    </w:p>
    <w:p>
      <w:pPr>
        <w:spacing w:before="99"/>
        <w:rPr/>
      </w:pPr>
      <w:r/>
    </w:p>
    <w:tbl>
      <w:tblPr>
        <w:tblStyle w:val="TableNormal"/>
        <w:tblW w:w="1646" w:type="dxa"/>
        <w:tblInd w:w="3352" w:type="dxa"/>
        <w:shd w:val="clear" w:fill="2E75B6"/>
        <w:tblLayout w:type="fixed"/>
        <w:tblBorders>
          <w:left w:val="single" w:color="41719C" w:sz="4" w:space="0"/>
          <w:bottom w:val="single" w:color="41719C" w:sz="4" w:space="0"/>
          <w:right w:val="single" w:color="41719C" w:sz="4" w:space="0"/>
          <w:top w:val="single" w:color="41719C" w:sz="4" w:space="0"/>
        </w:tblBorders>
      </w:tblPr>
      <w:tblGrid>
        <w:gridCol w:w="1646"/>
      </w:tblGrid>
      <w:tr>
        <w:trPr>
          <w:trHeight w:val="588" w:hRule="atLeast"/>
        </w:trPr>
        <w:tc>
          <w:tcPr>
            <w:shd w:val="clear" w:fill="2E75B6"/>
            <w:tcW w:w="1646" w:type="dxa"/>
            <w:vAlign w:val="top"/>
          </w:tcPr>
          <w:p>
            <w:pPr>
              <w:pStyle w:val="TableText"/>
              <w:ind w:left="425"/>
              <w:spacing w:before="200" w:line="200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-2121765</wp:posOffset>
                  </wp:positionH>
                  <wp:positionV relativeFrom="paragraph">
                    <wp:posOffset>-79060</wp:posOffset>
                  </wp:positionV>
                  <wp:extent cx="5265359" cy="2031353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5359" cy="2031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color w:val="FFFFFF"/>
                <w:spacing w:val="8"/>
              </w:rPr>
              <w:t>股份公司</w:t>
            </w:r>
          </w:p>
        </w:tc>
      </w:tr>
    </w:tbl>
    <w:p>
      <w:pPr>
        <w:ind w:left="2640"/>
        <w:spacing w:line="430" w:lineRule="exact"/>
        <w:rPr/>
      </w:pPr>
      <w:r>
        <w:rPr>
          <w:position w:val="-9"/>
        </w:rPr>
        <w:drawing>
          <wp:inline distT="0" distB="0" distL="0" distR="0">
            <wp:extent cx="2107910" cy="27353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7910" cy="27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51"/>
        <w:spacing w:before="97" w:line="321" w:lineRule="exact"/>
        <w:rPr>
          <w:rFonts w:ascii="Microsoft YaHei" w:hAnsi="Microsoft YaHei" w:eastAsia="Microsoft YaHei" w:cs="Microsoft YaHei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1430628</wp:posOffset>
                </wp:positionH>
                <wp:positionV relativeFrom="paragraph">
                  <wp:posOffset>3012</wp:posOffset>
                </wp:positionV>
                <wp:extent cx="501650" cy="389254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1430628" y="3012"/>
                          <a:ext cx="501650" cy="389254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" style="position:absolute;margin-left:112.648pt;margin-top:0.237183pt;mso-position-vertical-relative:text;mso-position-horizontal-relative:text;width:39.5pt;height:30.65pt;z-index:-251650048;" fillcolor="#5B9BD5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2128449</wp:posOffset>
                </wp:positionH>
                <wp:positionV relativeFrom="paragraph">
                  <wp:posOffset>3012</wp:posOffset>
                </wp:positionV>
                <wp:extent cx="354329" cy="389254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2128449" y="3012"/>
                          <a:ext cx="354329" cy="389254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" style="position:absolute;margin-left:167.594pt;margin-top:0.237183pt;mso-position-vertical-relative:text;mso-position-horizontal-relative:text;width:27.9pt;height:30.65pt;z-index:-251651072;" fillcolor="#5B9BD5" filled="true" stroked="false"/>
            </w:pict>
          </mc:Fallback>
        </mc:AlternateContent>
      </w:r>
      <w:r>
        <w:pict>
          <v:shape id="_x0000_s14" style="position:absolute;margin-left:335.471pt;margin-top:-0.038574pt;mso-position-vertical-relative:text;mso-position-horizontal-relative:text;width:40.05pt;height:30.65pt;z-index:251672576;" fillcolor="#70AD4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6"/>
                    <w:spacing w:before="294" w:line="164" w:lineRule="exact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-2"/>
                      <w:position w:val="-1"/>
                    </w:rPr>
                    <w:t>···</w:t>
                  </w:r>
                </w:p>
              </w:txbxContent>
            </v:textbox>
          </v:shape>
        </w:pict>
      </w:r>
      <w:r>
        <w:pict>
          <v:shape id="_x0000_s16" style="position:absolute;margin-left:64.052pt;margin-top:0.237183pt;mso-position-vertical-relative:text;mso-position-horizontal-relative:text;width:36.75pt;height:30.65pt;z-index:251674624;" fillcolor="#5B9B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1"/>
                    <w:spacing w:before="93" w:line="175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7"/>
                    </w:rPr>
                    <w:t>安全</w:t>
                  </w:r>
                </w:p>
                <w:p>
                  <w:pPr>
                    <w:ind w:left="170"/>
                    <w:spacing w:line="201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7"/>
                    </w:rPr>
                    <w:t>公司</w:t>
                  </w:r>
                </w:p>
              </w:txbxContent>
            </v:textbox>
          </v:shape>
        </w:pict>
      </w:r>
      <w:r>
        <w:pict>
          <v:shape id="_x0000_s18" style="position:absolute;margin-left:4.41146pt;margin-top:0.237183pt;mso-position-vertical-relative:text;mso-position-horizontal-relative:text;width:53.05pt;height:30.65pt;z-index:251669504;" fillcolor="#5B9BD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8"/>
                    <w:spacing w:before="211" w:line="202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7"/>
                    </w:rPr>
                    <w:t>云公司</w:t>
                  </w:r>
                </w:p>
              </w:txbxContent>
            </v:textbox>
          </v:shape>
        </w:pict>
      </w:r>
      <w:r>
        <w:pict>
          <v:shape id="_x0000_s20" style="position:absolute;margin-left:382.1pt;margin-top:6.30139pt;mso-position-vertical-relative:text;mso-position-horizontal-relative:text;width:28.35pt;height:24.8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>非独立</w:t>
                  </w:r>
                </w:p>
                <w:p>
                  <w:pPr>
                    <w:ind w:left="20"/>
                    <w:spacing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>上市层</w:t>
                  </w:r>
                </w:p>
              </w:txbxContent>
            </v:textbox>
          </v:shape>
        </w:pict>
      </w:r>
      <w:r>
        <w:pict>
          <v:shape id="_x0000_s22" style="position:absolute;margin-left:121.669pt;margin-top:15.7914pt;mso-position-vertical-relative:text;mso-position-horizontal-relative:text;width:117.7pt;height:15.8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6"/>
                    </w:rPr>
                    <w:t>公司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1"/>
                    </w:rPr>
                    <w:t xml:space="preserve">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6"/>
                    </w:rPr>
                    <w:t>上市层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color w:val="FFFFFF"/>
          <w:spacing w:val="4"/>
          <w:position w:val="8"/>
        </w:rPr>
        <w:t>物联网</w:t>
      </w:r>
      <w:r>
        <w:rPr>
          <w:rFonts w:ascii="Microsoft YaHei" w:hAnsi="Microsoft YaHei" w:eastAsia="Microsoft YaHei" w:cs="Microsoft YaHei"/>
          <w:sz w:val="19"/>
          <w:szCs w:val="19"/>
          <w:color w:val="FFFFFF"/>
          <w:spacing w:val="1"/>
          <w:position w:val="8"/>
        </w:rPr>
        <w:t xml:space="preserve">           </w:t>
      </w:r>
      <w:r>
        <w:rPr>
          <w:rFonts w:ascii="Microsoft YaHei" w:hAnsi="Microsoft YaHei" w:eastAsia="Microsoft YaHei" w:cs="Microsoft YaHei"/>
          <w:sz w:val="19"/>
          <w:szCs w:val="19"/>
          <w:color w:val="FFFFFF"/>
          <w:spacing w:val="4"/>
          <w:position w:val="-3"/>
        </w:rPr>
        <w:t>···</w:t>
      </w:r>
      <w:r>
        <w:rPr>
          <w:rFonts w:ascii="Microsoft YaHei" w:hAnsi="Microsoft YaHei" w:eastAsia="Microsoft YaHei" w:cs="Microsoft YaHei"/>
          <w:sz w:val="19"/>
          <w:szCs w:val="19"/>
          <w:color w:val="FFFFFF"/>
          <w:spacing w:val="7"/>
          <w:position w:val="-3"/>
        </w:rPr>
        <w:t xml:space="preserve">       </w:t>
      </w:r>
      <w:r>
        <w:rPr>
          <w:rFonts w:ascii="Microsoft YaHei" w:hAnsi="Microsoft YaHei" w:eastAsia="Microsoft YaHei" w:cs="Microsoft YaHei"/>
          <w:sz w:val="17"/>
          <w:szCs w:val="17"/>
          <w:spacing w:val="4"/>
          <w:position w:val="4"/>
        </w:rPr>
        <w:t>独立业务</w:t>
      </w:r>
      <w:r>
        <w:rPr>
          <w:rFonts w:ascii="Microsoft YaHei" w:hAnsi="Microsoft YaHei" w:eastAsia="Microsoft YaHei" w:cs="Microsoft YaHei"/>
          <w:sz w:val="17"/>
          <w:szCs w:val="17"/>
          <w:spacing w:val="1"/>
          <w:position w:val="4"/>
        </w:rPr>
        <w:t xml:space="preserve">          </w:t>
      </w:r>
      <w:r>
        <w:rPr>
          <w:shd w:val="clear" w:fill="70AD47"/>
          <w:rFonts w:ascii="Microsoft YaHei" w:hAnsi="Microsoft YaHei" w:eastAsia="Microsoft YaHei" w:cs="Microsoft YaHei"/>
          <w:sz w:val="17"/>
          <w:szCs w:val="17"/>
          <w:spacing w:val="4"/>
          <w:position w:val="4"/>
        </w:rPr>
        <w:t xml:space="preserve">   </w:t>
      </w:r>
      <w:r>
        <w:rPr>
          <w:shd w:val="clear" w:fill="70AD47"/>
          <w:rFonts w:ascii="Microsoft YaHei" w:hAnsi="Microsoft YaHei" w:eastAsia="Microsoft YaHei" w:cs="Microsoft YaHei"/>
          <w:sz w:val="19"/>
          <w:szCs w:val="19"/>
          <w:color w:val="FFFFFF"/>
          <w:spacing w:val="4"/>
          <w:position w:val="-2"/>
        </w:rPr>
        <w:t>数智公司   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3467"/>
        <w:spacing w:before="1" w:line="612" w:lineRule="exact"/>
        <w:rPr/>
      </w:pPr>
      <w:r>
        <w:pict>
          <v:shape id="_x0000_s24" style="position:absolute;margin-left:85.3127pt;margin-top:0.020126pt;mso-position-vertical-relative:text;mso-position-horizontal-relative:text;width:61.85pt;height:30.65pt;z-index:251668480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5"/>
                    <w:spacing w:before="213" w:line="201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8"/>
                    </w:rPr>
                    <w:t>智能驾驶</w:t>
                  </w:r>
                </w:p>
              </w:txbxContent>
            </v:textbox>
          </v:shape>
        </w:pict>
      </w:r>
      <w:r>
        <w:pict>
          <v:shape id="_x0000_s26" style="position:absolute;margin-left:4.41146pt;margin-top:0.020126pt;mso-position-vertical-relative:text;mso-position-horizontal-relative:text;width:61.85pt;height:30.65pt;z-index:251667456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3"/>
                    <w:spacing w:before="215" w:line="203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7"/>
                    </w:rPr>
                    <w:t>量子</w:t>
                  </w:r>
                </w:p>
              </w:txbxContent>
            </v:textbox>
          </v:shape>
        </w:pict>
      </w:r>
      <w:r>
        <w:pict>
          <v:shape id="_x0000_s28" style="position:absolute;margin-left:258.988pt;margin-top:0.020157pt;mso-position-vertical-relative:text;mso-position-horizontal-relative:text;width:39.25pt;height:30.65pt;z-index:251673600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5"/>
                    <w:spacing w:before="297" w:line="164" w:lineRule="exact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-1"/>
                      <w:position w:val="-1"/>
                    </w:rPr>
                    <w:t>···</w:t>
                  </w:r>
                </w:p>
              </w:txbxContent>
            </v:textbox>
          </v:shape>
        </w:pict>
      </w:r>
      <w:r>
        <w:pict>
          <v:shape id="_x0000_s30" style="position:absolute;margin-left:349.627pt;margin-top:4.48756pt;mso-position-vertical-relative:text;mso-position-horizontal-relative:text;width:54.95pt;height:30.1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6" w:right="20" w:hanging="266"/>
                    <w:spacing w:before="20" w:line="23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6"/>
                    </w:rPr>
                    <w:t>创新业务孵化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>单元层</w:t>
                  </w:r>
                </w:p>
              </w:txbxContent>
            </v:textbox>
          </v:shape>
        </w:pict>
      </w:r>
      <w:r>
        <w:rPr>
          <w:position w:val="-12"/>
        </w:rPr>
        <w:pict>
          <v:shape id="_x0000_s32" style="mso-position-vertical-relative:line;mso-position-horizontal-relative:char;width:63.25pt;height:30.6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29"/>
                    <w:spacing w:before="224" w:line="175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FFFFFF"/>
                      <w:spacing w:val="8"/>
                    </w:rPr>
                    <w:t>AI</w:t>
                  </w:r>
                </w:p>
              </w:txbxContent>
            </v:textbox>
          </v:shape>
        </w:pic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965"/>
        <w:spacing w:before="98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2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中国电信未来上市体系示例图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6" w:right="126" w:firstLine="602"/>
        <w:spacing w:before="98" w:line="259" w:lineRule="auto"/>
        <w:jc w:val="both"/>
        <w:rPr/>
      </w:pPr>
      <w:r>
        <w:rPr>
          <w:spacing w:val="-4"/>
        </w:rPr>
        <w:t>依托股份公司的搭建创新企业孵化平台，通过上</w:t>
      </w:r>
      <w:r>
        <w:rPr>
          <w:spacing w:val="-5"/>
        </w:rPr>
        <w:t>市平台加大</w:t>
      </w:r>
      <w:r>
        <w:rPr>
          <w:spacing w:val="-11"/>
        </w:rPr>
        <w:t>内外部资源的整合力度。股份公司重点发挥战略引领、资源配置、</w:t>
      </w:r>
      <w:r>
        <w:rPr>
          <w:spacing w:val="-4"/>
        </w:rPr>
        <w:t>资本运作、风险防范的核心功能，通过专业培训、内部赋能等模</w:t>
      </w:r>
      <w:r>
        <w:rPr>
          <w:spacing w:val="-11"/>
        </w:rPr>
        <w:t>式，孵化创新业务单元，进一步推动更多创新业务实现分拆上市，</w:t>
      </w:r>
      <w:r>
        <w:rPr>
          <w:spacing w:val="-4"/>
        </w:rPr>
        <w:t>打造“专精特新”企业。同时结合中国电信战略发展、业务发展</w:t>
      </w:r>
      <w:r>
        <w:rPr>
          <w:spacing w:val="-4"/>
        </w:rPr>
        <w:t>等需要，通过上市平台后续的资本运作，整合自身及上下游同类</w:t>
      </w:r>
      <w:r>
        <w:rPr>
          <w:spacing w:val="-4"/>
        </w:rPr>
        <w:t>关联业务和资源，赋能子公司新的增长动力，推动主业板块做强</w:t>
      </w:r>
      <w:r>
        <w:rPr>
          <w:spacing w:val="-4"/>
        </w:rPr>
        <w:t>做优做大，助力企业实现跨越式发展。</w:t>
      </w:r>
    </w:p>
    <w:p>
      <w:pPr>
        <w:pStyle w:val="BodyText"/>
        <w:ind w:left="621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．落实政策要求，强化合规管理</w:t>
      </w:r>
    </w:p>
    <w:p>
      <w:pPr>
        <w:pStyle w:val="BodyText"/>
        <w:ind w:left="26" w:firstLine="599"/>
        <w:spacing w:before="324" w:line="259" w:lineRule="auto"/>
        <w:jc w:val="both"/>
        <w:rPr/>
      </w:pPr>
      <w:r>
        <w:rPr>
          <w:spacing w:val="-15"/>
        </w:rPr>
        <w:t>根据《上市公司分拆规则（试行）》中对独立性、成长性等方</w:t>
      </w:r>
      <w:r>
        <w:rPr>
          <w:spacing w:val="-4"/>
        </w:rPr>
        <w:t>面的要求，需要提前在同业竞争、关联交易等方面对拟分拆专业</w:t>
      </w:r>
      <w:r>
        <w:rPr>
          <w:spacing w:val="-6"/>
        </w:rPr>
        <w:t>公司进行规范。一是加强对适合分拆上市业务板块的梳理和整合，</w:t>
      </w:r>
      <w:r>
        <w:rPr/>
        <w:t>全面分析专业板块间的业务替代性、竞争性以</w:t>
      </w:r>
      <w:r>
        <w:rPr>
          <w:spacing w:val="-1"/>
        </w:rPr>
        <w:t>及利益冲突情况，</w:t>
      </w:r>
    </w:p>
    <w:p>
      <w:pPr>
        <w:spacing w:line="259" w:lineRule="auto"/>
        <w:sectPr>
          <w:pgSz w:w="11907" w:h="16839"/>
          <w:pgMar w:top="400" w:right="1566" w:bottom="0" w:left="1785" w:header="0" w:footer="0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6" w:right="13"/>
        <w:spacing w:before="98" w:line="259" w:lineRule="auto"/>
        <w:jc w:val="both"/>
        <w:rPr/>
      </w:pPr>
      <w:r>
        <w:rPr>
          <w:spacing w:val="-4"/>
        </w:rPr>
        <w:t>通过清晰业务界面、重组整合或剥离方式避免同业竞争。二是有</w:t>
      </w:r>
      <w:r>
        <w:rPr>
          <w:spacing w:val="-4"/>
        </w:rPr>
        <w:t>计划提升专业板块核心竞争力和盈利水平，逐步降低对公司内业</w:t>
      </w:r>
      <w:r>
        <w:rPr>
          <w:spacing w:val="-4"/>
        </w:rPr>
        <w:t>务资源的依赖并加速推进市场化业务的拓展。三是建立关联交易</w:t>
      </w:r>
      <w:r>
        <w:rPr>
          <w:spacing w:val="-2"/>
        </w:rPr>
        <w:t>规范机制，梳理关联交易的信息、交易背景、行业情</w:t>
      </w:r>
      <w:r>
        <w:rPr>
          <w:spacing w:val="-3"/>
        </w:rPr>
        <w:t>况等。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217703</wp:posOffset>
            </wp:positionH>
            <wp:positionV relativeFrom="paragraph">
              <wp:posOffset>136021</wp:posOffset>
            </wp:positionV>
            <wp:extent cx="795527" cy="106222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527" cy="1062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259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樊启明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【17319098625】</w:t>
      </w:r>
    </w:p>
    <w:p>
      <w:pPr>
        <w:ind w:left="2262" w:right="203" w:firstLine="278"/>
        <w:spacing w:before="108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硕士，中级工程师，长期从事科技创新、资本</w:t>
      </w:r>
      <w:r>
        <w:rPr>
          <w:rFonts w:ascii="KaiTi" w:hAnsi="KaiTi" w:eastAsia="KaiTi" w:cs="KaiTi"/>
          <w:sz w:val="28"/>
          <w:szCs w:val="28"/>
          <w:spacing w:val="-1"/>
        </w:rPr>
        <w:t>运营和企业战略等相关研究。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185699</wp:posOffset>
            </wp:positionH>
            <wp:positionV relativeFrom="paragraph">
              <wp:posOffset>86039</wp:posOffset>
            </wp:positionV>
            <wp:extent cx="864107" cy="864108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107" cy="86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78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陆静</w:t>
      </w:r>
    </w:p>
    <w:p>
      <w:pPr>
        <w:ind w:left="2267" w:right="203" w:firstLine="273"/>
        <w:spacing w:before="111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硕士，资产评估师、中级工程师，长期从事财</w:t>
      </w:r>
      <w:r>
        <w:rPr>
          <w:rFonts w:ascii="KaiTi" w:hAnsi="KaiTi" w:eastAsia="KaiTi" w:cs="KaiTi"/>
          <w:sz w:val="28"/>
          <w:szCs w:val="28"/>
          <w:spacing w:val="-3"/>
        </w:rPr>
        <w:t>务管理、股权管理、资本市场等相关研究。</w:t>
      </w:r>
    </w:p>
    <w:p>
      <w:pPr>
        <w:spacing w:line="337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254279</wp:posOffset>
            </wp:positionH>
            <wp:positionV relativeFrom="paragraph">
              <wp:posOffset>108808</wp:posOffset>
            </wp:positionV>
            <wp:extent cx="726947" cy="93726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6947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59"/>
        <w:spacing w:before="92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黄敬</w:t>
      </w:r>
    </w:p>
    <w:p>
      <w:pPr>
        <w:ind w:left="2259" w:right="227" w:firstLine="281"/>
        <w:spacing w:before="112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硕士，中级经济师，专注于国企改革、组织变</w:t>
      </w:r>
      <w:r>
        <w:rPr>
          <w:rFonts w:ascii="KaiTi" w:hAnsi="KaiTi" w:eastAsia="KaiTi" w:cs="KaiTi"/>
          <w:sz w:val="28"/>
          <w:szCs w:val="28"/>
          <w:spacing w:val="-3"/>
        </w:rPr>
        <w:t>革、流程优化等领域研究。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207035</wp:posOffset>
            </wp:positionH>
            <wp:positionV relativeFrom="paragraph">
              <wp:posOffset>11669</wp:posOffset>
            </wp:positionV>
            <wp:extent cx="821436" cy="101650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436" cy="1016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53"/>
        <w:spacing w:before="92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杨孟杰</w:t>
      </w:r>
    </w:p>
    <w:p>
      <w:pPr>
        <w:ind w:left="2262" w:right="203" w:firstLine="278"/>
        <w:spacing w:before="107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硕士，中级经济师，主要从事资本运营、股权</w:t>
      </w:r>
      <w:r>
        <w:rPr>
          <w:rFonts w:ascii="KaiTi" w:hAnsi="KaiTi" w:eastAsia="KaiTi" w:cs="KaiTi"/>
          <w:sz w:val="28"/>
          <w:szCs w:val="28"/>
          <w:spacing w:val="-1"/>
        </w:rPr>
        <w:t>投资、投后管理等相关研究。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2023-07-07T08:54:48Z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2025-11-04T15:54:36</vt:filetime>
  </property>
</Properties>
</file>