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BCEFA" w14:textId="77777777" w:rsidR="00A143D3" w:rsidRPr="003C7A9F" w:rsidRDefault="00000000">
      <w:pPr>
        <w:jc w:val="center"/>
        <w:rPr>
          <w:rFonts w:ascii="仿宋_GB2312" w:eastAsia="仿宋_GB2312" w:hAnsi="方正仿宋_GBK" w:cs="方正仿宋_GBK"/>
          <w:b/>
          <w:bCs/>
          <w:sz w:val="40"/>
          <w:szCs w:val="40"/>
        </w:rPr>
      </w:pPr>
      <w:r w:rsidRPr="003C7A9F">
        <w:rPr>
          <w:rFonts w:ascii="仿宋_GB2312" w:eastAsia="仿宋_GB2312" w:hAnsi="方正仿宋_GBK" w:cs="方正仿宋_GBK"/>
          <w:b/>
          <w:bCs/>
          <w:sz w:val="40"/>
          <w:szCs w:val="40"/>
        </w:rPr>
        <w:t>基因泰克（Genentech）大模型发展成功经验</w:t>
      </w:r>
    </w:p>
    <w:p w14:paraId="0231DBFA" w14:textId="4F60BB91" w:rsidR="00A143D3" w:rsidRPr="003C7A9F" w:rsidRDefault="00000000">
      <w:pPr>
        <w:jc w:val="center"/>
        <w:rPr>
          <w:rFonts w:ascii="仿宋_GB2312" w:eastAsia="仿宋_GB2312" w:hAnsi="方正仿宋_GBK" w:cs="方正仿宋_GBK"/>
          <w:b/>
          <w:bCs/>
          <w:sz w:val="40"/>
          <w:szCs w:val="40"/>
        </w:rPr>
      </w:pPr>
      <w:r w:rsidRPr="003C7A9F">
        <w:rPr>
          <w:rFonts w:ascii="仿宋_GB2312" w:eastAsia="仿宋_GB2312" w:hAnsi="方正仿宋_GBK" w:cs="方正仿宋_GBK"/>
          <w:b/>
          <w:bCs/>
          <w:sz w:val="40"/>
          <w:szCs w:val="40"/>
        </w:rPr>
        <w:t>分析及启示</w:t>
      </w:r>
    </w:p>
    <w:p w14:paraId="63BD5D78" w14:textId="77777777" w:rsidR="00A143D3" w:rsidRDefault="00A143D3">
      <w:pPr>
        <w:ind w:firstLineChars="200" w:firstLine="640"/>
        <w:rPr>
          <w:rFonts w:ascii="仿宋_GB2312" w:eastAsia="仿宋_GB2312" w:hAnsi="方正仿宋_GBK" w:cs="方正仿宋_GBK"/>
          <w:sz w:val="32"/>
          <w:szCs w:val="32"/>
        </w:rPr>
      </w:pPr>
    </w:p>
    <w:p w14:paraId="639FC021" w14:textId="31D1DC21" w:rsidR="00A143D3" w:rsidRDefault="00000000">
      <w:pPr>
        <w:ind w:firstLineChars="200" w:firstLine="640"/>
        <w:rPr>
          <w:rFonts w:ascii="仿宋_GB2312" w:eastAsia="仿宋_GB2312" w:hAnsi="方正仿宋_GBK" w:cs="方正仿宋_GBK"/>
          <w:sz w:val="32"/>
          <w:szCs w:val="32"/>
        </w:rPr>
      </w:pPr>
      <w:r>
        <w:rPr>
          <w:rFonts w:ascii="仿宋_GB2312" w:eastAsia="仿宋_GB2312" w:hAnsi="方正仿宋_GBK" w:cs="方正仿宋_GBK" w:hint="eastAsia"/>
          <w:sz w:val="32"/>
          <w:szCs w:val="32"/>
        </w:rPr>
        <w:t>基因泰克作为大模型驱动的药物研发革命的引领者，通过与NVIDIA、Recursion等公司进行深度合作，提升了药物研发大模型的运营效率，实现了垂域大模型发展的模式创新。本文通过对基因泰克大模型发展模式的深层次分析，揭示与大模型算力、平台、</w:t>
      </w:r>
      <w:proofErr w:type="gramStart"/>
      <w:r>
        <w:rPr>
          <w:rFonts w:ascii="仿宋_GB2312" w:eastAsia="仿宋_GB2312" w:hAnsi="方正仿宋_GBK" w:cs="方正仿宋_GBK" w:hint="eastAsia"/>
          <w:sz w:val="32"/>
          <w:szCs w:val="32"/>
        </w:rPr>
        <w:t>云服务</w:t>
      </w:r>
      <w:proofErr w:type="gramEnd"/>
      <w:r>
        <w:rPr>
          <w:rFonts w:ascii="仿宋_GB2312" w:eastAsia="仿宋_GB2312" w:hAnsi="方正仿宋_GBK" w:cs="方正仿宋_GBK" w:hint="eastAsia"/>
          <w:sz w:val="32"/>
          <w:szCs w:val="32"/>
        </w:rPr>
        <w:t>厂商多方合作下的创新优势，为我国行业大模型发展提供启示和建议。</w:t>
      </w:r>
    </w:p>
    <w:p w14:paraId="41C51270" w14:textId="77777777" w:rsidR="00A143D3" w:rsidRDefault="00A143D3">
      <w:pPr>
        <w:ind w:firstLineChars="200" w:firstLine="640"/>
        <w:rPr>
          <w:rFonts w:ascii="仿宋_GB2312" w:eastAsia="仿宋_GB2312" w:hAnsi="方正仿宋_GBK" w:cs="方正仿宋_GBK"/>
          <w:sz w:val="32"/>
          <w:szCs w:val="32"/>
        </w:rPr>
      </w:pPr>
    </w:p>
    <w:p w14:paraId="685D9229" w14:textId="77777777" w:rsidR="00A143D3" w:rsidRDefault="00000000">
      <w:pPr>
        <w:pStyle w:val="ad"/>
        <w:numPr>
          <w:ilvl w:val="0"/>
          <w:numId w:val="1"/>
        </w:numPr>
        <w:jc w:val="left"/>
        <w:rPr>
          <w:rFonts w:ascii="仿宋_GB2312" w:eastAsia="仿宋_GB2312" w:hAnsi="方正仿宋_GBK" w:cs="方正仿宋_GBK"/>
          <w:b/>
          <w:bCs/>
          <w:sz w:val="32"/>
          <w:szCs w:val="32"/>
        </w:rPr>
      </w:pPr>
      <w:r>
        <w:rPr>
          <w:rFonts w:ascii="仿宋_GB2312" w:eastAsia="仿宋_GB2312" w:hAnsi="方正仿宋_GBK" w:cs="方正仿宋_GBK" w:hint="eastAsia"/>
          <w:b/>
          <w:bCs/>
          <w:sz w:val="32"/>
          <w:szCs w:val="32"/>
        </w:rPr>
        <w:t>与算力霸主NVIDIA建立战略合作关系，突破计算瓶颈，产生显著效益</w:t>
      </w:r>
    </w:p>
    <w:p w14:paraId="7B846185" w14:textId="77777777" w:rsidR="00A143D3" w:rsidRDefault="00000000">
      <w:pPr>
        <w:ind w:firstLineChars="200" w:firstLine="640"/>
        <w:rPr>
          <w:rFonts w:ascii="仿宋_GB2312" w:eastAsia="仿宋_GB2312" w:hAnsi="方正仿宋_GBK" w:cs="方正仿宋_GBK"/>
          <w:sz w:val="32"/>
          <w:szCs w:val="32"/>
        </w:rPr>
      </w:pPr>
      <w:r>
        <w:rPr>
          <w:rFonts w:ascii="仿宋_GB2312" w:eastAsia="仿宋_GB2312" w:hAnsi="方正仿宋_GBK" w:cs="方正仿宋_GBK" w:hint="eastAsia"/>
          <w:sz w:val="32"/>
          <w:szCs w:val="32"/>
        </w:rPr>
        <w:t>基因泰克将人工智能作为其药物发现和开发方法的核心组成部分，其战略基础是创建独特的“循环实验室”（Lab-in-a-Loop）框架。这种方法是一个高度迭代的过程，旨在通过实验数据和计算模型的紧密集成，加速药物研发的进程。</w:t>
      </w:r>
    </w:p>
    <w:p w14:paraId="08AD838F" w14:textId="77777777" w:rsidR="00A143D3" w:rsidRDefault="00000000">
      <w:pPr>
        <w:ind w:firstLineChars="200" w:firstLine="640"/>
        <w:rPr>
          <w:rFonts w:ascii="仿宋_GB2312" w:eastAsia="仿宋_GB2312" w:hAnsi="方正仿宋_GBK" w:cs="方正仿宋_GBK"/>
          <w:sz w:val="32"/>
          <w:szCs w:val="32"/>
        </w:rPr>
      </w:pPr>
      <w:r>
        <w:rPr>
          <w:rFonts w:ascii="仿宋_GB2312" w:eastAsia="仿宋_GB2312" w:hAnsi="方正仿宋_GBK" w:cs="方正仿宋_GBK" w:hint="eastAsia"/>
          <w:sz w:val="32"/>
          <w:szCs w:val="32"/>
        </w:rPr>
        <w:t>算力是大模型的引擎。为了提升生成式AI大模型算力，2023年11月，基因泰克与NVIDIA建立战略合作关系，利用NVIDIA DGX Cloud和BioNeMo平台来优化其专有的机器学习算法和模型。这种强强联合直接解决了生物制药领域AI应用面临的算力瓶颈。基因泰克生成海量数据，需要强大的</w:t>
      </w:r>
      <w:r>
        <w:rPr>
          <w:rFonts w:ascii="仿宋_GB2312" w:eastAsia="仿宋_GB2312" w:hAnsi="方正仿宋_GBK" w:cs="方正仿宋_GBK" w:hint="eastAsia"/>
          <w:sz w:val="32"/>
          <w:szCs w:val="32"/>
        </w:rPr>
        <w:lastRenderedPageBreak/>
        <w:t>计算能力来训练大模型。NVIDIA作为AI计算领域的领导者，其DGX Cloud和BioNeMo平台正好满足了这一需求。这种合作不仅加速了基因泰克的“循环实验室”周期，也使得NVIDIA能够根据真实世界的药物研发挑战优化其AI平台，形成互利共赢的生态系统。</w:t>
      </w:r>
    </w:p>
    <w:p w14:paraId="2DEBE451" w14:textId="4049C5BE" w:rsidR="00A143D3" w:rsidRDefault="00000000">
      <w:pPr>
        <w:ind w:firstLineChars="200" w:firstLine="640"/>
        <w:rPr>
          <w:rFonts w:ascii="仿宋_GB2312" w:eastAsia="仿宋_GB2312" w:hAnsi="方正仿宋_GBK" w:cs="方正仿宋_GBK"/>
          <w:sz w:val="32"/>
          <w:szCs w:val="32"/>
        </w:rPr>
      </w:pPr>
      <w:r>
        <w:rPr>
          <w:rFonts w:ascii="仿宋_GB2312" w:eastAsia="仿宋_GB2312" w:hAnsi="方正仿宋_GBK" w:cs="方正仿宋_GBK" w:hint="eastAsia"/>
          <w:sz w:val="32"/>
          <w:szCs w:val="32"/>
        </w:rPr>
        <w:t>NVIDIA的加速计算能力对基因泰克的“循环实验室”运营效率产生了革命性影响。通过此次合作，AI驱动的迭代周期能够从传统的数月大幅缩短至数小时或数天。这种速度上的显著提升意味着基因泰克可以进行更多的迭代、测试更多的假设，从而更快地找到有效的药物分子，为基因泰克的竞争优势和更快的市场进入速度。</w:t>
      </w:r>
    </w:p>
    <w:p w14:paraId="6960BAF3" w14:textId="77777777" w:rsidR="00A143D3" w:rsidRDefault="00A143D3">
      <w:pPr>
        <w:ind w:firstLineChars="200" w:firstLine="640"/>
        <w:rPr>
          <w:rFonts w:ascii="仿宋_GB2312" w:eastAsia="仿宋_GB2312" w:hAnsi="方正仿宋_GBK" w:cs="方正仿宋_GBK"/>
          <w:sz w:val="32"/>
          <w:szCs w:val="32"/>
        </w:rPr>
      </w:pPr>
    </w:p>
    <w:p w14:paraId="4DA2B1B8" w14:textId="77777777" w:rsidR="00A143D3" w:rsidRDefault="00000000">
      <w:pPr>
        <w:pStyle w:val="ad"/>
        <w:numPr>
          <w:ilvl w:val="0"/>
          <w:numId w:val="1"/>
        </w:numPr>
        <w:jc w:val="left"/>
        <w:rPr>
          <w:rFonts w:ascii="仿宋_GB2312" w:eastAsia="仿宋_GB2312" w:hAnsi="方正仿宋_GBK" w:cs="方正仿宋_GBK"/>
          <w:b/>
          <w:bCs/>
          <w:sz w:val="32"/>
          <w:szCs w:val="32"/>
        </w:rPr>
      </w:pPr>
      <w:r>
        <w:rPr>
          <w:rFonts w:ascii="仿宋_GB2312" w:eastAsia="仿宋_GB2312" w:hAnsi="方正仿宋_GBK" w:cs="方正仿宋_GBK" w:hint="eastAsia"/>
          <w:b/>
          <w:bCs/>
          <w:sz w:val="32"/>
          <w:szCs w:val="32"/>
        </w:rPr>
        <w:t>把基因泰克强大的专有数据库与Recursion 医药研发大模型相结合，实现优势互补</w:t>
      </w:r>
    </w:p>
    <w:p w14:paraId="4C648C90" w14:textId="5E260934" w:rsidR="00A143D3" w:rsidRDefault="00000000">
      <w:pPr>
        <w:ind w:firstLineChars="200" w:firstLine="640"/>
        <w:rPr>
          <w:rFonts w:ascii="仿宋_GB2312" w:eastAsia="仿宋_GB2312" w:hAnsi="方正仿宋_GBK" w:cs="方正仿宋_GBK"/>
          <w:sz w:val="32"/>
          <w:szCs w:val="32"/>
        </w:rPr>
      </w:pPr>
      <w:r>
        <w:rPr>
          <w:rFonts w:ascii="仿宋_GB2312" w:eastAsia="仿宋_GB2312" w:hAnsi="方正仿宋_GBK" w:cs="方正仿宋_GBK" w:hint="eastAsia"/>
          <w:sz w:val="32"/>
          <w:szCs w:val="32"/>
        </w:rPr>
        <w:t>基因泰克与Recursion的战略合作始于2021年12月。这项合作旨在利用Recursion先进的AI平台，结合基因泰克自身积累的大量单细胞扰动筛选数据，以快速识别新的生物学关系，进而启动和推进治疗项目。如将Recursion的“生物学图谱”和高通量筛选能力与基因泰克的单细胞数据结合，实现优势互补。利用这种AI数据分析能力，基因泰克能够构建前所未有的、高度精细的人类细胞生物学图谱，可以发现新的生物学关系和药物靶点，从而开辟新的</w:t>
      </w:r>
      <w:r>
        <w:rPr>
          <w:rFonts w:ascii="仿宋_GB2312" w:eastAsia="仿宋_GB2312" w:hAnsi="方正仿宋_GBK" w:cs="方正仿宋_GBK" w:hint="eastAsia"/>
          <w:sz w:val="32"/>
          <w:szCs w:val="32"/>
        </w:rPr>
        <w:lastRenderedPageBreak/>
        <w:t>治疗途径。基因泰克将Recursion的AI能力视为其长期研发战略的基石。这种投资模式反映了制药巨头通过外部创新来加速内部研发管线、降低风险的趋势，尤其是在AI等高投入、高回报的颠覆性技术领域。这体现了基因泰克通过外部合作补充内部能力、共同拓展科学边界的战略。</w:t>
      </w:r>
    </w:p>
    <w:p w14:paraId="391965A6" w14:textId="77777777" w:rsidR="00A143D3" w:rsidRDefault="00A143D3">
      <w:pPr>
        <w:ind w:firstLineChars="200" w:firstLine="640"/>
        <w:rPr>
          <w:rFonts w:ascii="仿宋_GB2312" w:eastAsia="仿宋_GB2312" w:hAnsi="方正仿宋_GBK" w:cs="方正仿宋_GBK"/>
          <w:sz w:val="32"/>
          <w:szCs w:val="32"/>
        </w:rPr>
      </w:pPr>
    </w:p>
    <w:p w14:paraId="09F4B6DD" w14:textId="77777777" w:rsidR="00A143D3" w:rsidRDefault="00000000">
      <w:pPr>
        <w:pStyle w:val="ad"/>
        <w:numPr>
          <w:ilvl w:val="0"/>
          <w:numId w:val="1"/>
        </w:numPr>
        <w:jc w:val="left"/>
        <w:rPr>
          <w:rFonts w:ascii="仿宋_GB2312" w:eastAsia="仿宋_GB2312" w:hAnsi="方正仿宋_GBK" w:cs="方正仿宋_GBK"/>
          <w:b/>
          <w:bCs/>
          <w:sz w:val="32"/>
          <w:szCs w:val="32"/>
        </w:rPr>
      </w:pPr>
      <w:r>
        <w:rPr>
          <w:rFonts w:ascii="仿宋_GB2312" w:eastAsia="仿宋_GB2312" w:hAnsi="方正仿宋_GBK" w:cs="方正仿宋_GBK" w:hint="eastAsia"/>
          <w:b/>
          <w:bCs/>
          <w:sz w:val="32"/>
          <w:szCs w:val="32"/>
        </w:rPr>
        <w:t>与AWS的合作，将AI智能代理部署到整个价值链，提升研发能力，实现效率提升</w:t>
      </w:r>
    </w:p>
    <w:p w14:paraId="0C17F35C" w14:textId="500CD607" w:rsidR="00A143D3" w:rsidRDefault="00000000">
      <w:pPr>
        <w:ind w:firstLineChars="200" w:firstLine="640"/>
        <w:rPr>
          <w:rFonts w:ascii="仿宋_GB2312" w:eastAsia="仿宋_GB2312" w:hAnsi="方正仿宋_GBK" w:cs="方正仿宋_GBK"/>
          <w:sz w:val="32"/>
          <w:szCs w:val="32"/>
        </w:rPr>
      </w:pPr>
      <w:r>
        <w:rPr>
          <w:rFonts w:ascii="仿宋_GB2312" w:eastAsia="仿宋_GB2312" w:hAnsi="方正仿宋_GBK" w:cs="方正仿宋_GBK" w:hint="eastAsia"/>
          <w:sz w:val="32"/>
          <w:szCs w:val="32"/>
        </w:rPr>
        <w:t>基因泰克与AWS的合作，凸显了其在AI应用上的全局视角，不仅限于研发核心，而是覆盖了整个生命科学价值链。通过在云端部署AI智能体，基因泰克能够更灵活、可扩展地利用AI能力，解决从研发到商业化的各种业务挑战，从而实现全方位的数字化转型和效率提升。</w:t>
      </w:r>
    </w:p>
    <w:p w14:paraId="465DA3B3" w14:textId="5ECF41D2" w:rsidR="00A143D3" w:rsidRDefault="00000000">
      <w:pPr>
        <w:ind w:firstLineChars="200" w:firstLine="640"/>
        <w:rPr>
          <w:rFonts w:ascii="仿宋_GB2312" w:eastAsia="仿宋_GB2312" w:hAnsi="方正仿宋_GBK" w:cs="方正仿宋_GBK"/>
          <w:sz w:val="32"/>
          <w:szCs w:val="32"/>
        </w:rPr>
      </w:pPr>
      <w:r>
        <w:rPr>
          <w:rFonts w:ascii="仿宋_GB2312" w:eastAsia="仿宋_GB2312" w:hAnsi="方正仿宋_GBK" w:cs="方正仿宋_GBK" w:hint="eastAsia"/>
          <w:sz w:val="32"/>
          <w:szCs w:val="32"/>
        </w:rPr>
        <w:t>如基因泰克与AWS合作开发了一套生成式人工智能系统（gRED Research Agent），可以自动执行耗时的手动搜索流程，使其科学家能够专注于高影响力研究并加速药物发现创新。该系统基于 Amazon Bedrock 代理中的 Anthropic Claude Sonnet 3.5 构建，改变了科学家与海量科学数据集的交互方式。该系统可处理复杂的科学查询，同时搜索从 PubMed 期刊到内部数据库的多个数据来源，并通过引用摘要综合研究结果，确保药物开发所需的科学严谨性和</w:t>
      </w:r>
      <w:proofErr w:type="gramStart"/>
      <w:r>
        <w:rPr>
          <w:rFonts w:ascii="仿宋_GB2312" w:eastAsia="仿宋_GB2312" w:hAnsi="方正仿宋_GBK" w:cs="方正仿宋_GBK" w:hint="eastAsia"/>
          <w:sz w:val="32"/>
          <w:szCs w:val="32"/>
        </w:rPr>
        <w:t>可</w:t>
      </w:r>
      <w:proofErr w:type="gramEnd"/>
      <w:r>
        <w:rPr>
          <w:rFonts w:ascii="仿宋_GB2312" w:eastAsia="仿宋_GB2312" w:hAnsi="方正仿宋_GBK" w:cs="方正仿宋_GBK" w:hint="eastAsia"/>
          <w:sz w:val="32"/>
          <w:szCs w:val="32"/>
        </w:rPr>
        <w:t>追溯性。</w:t>
      </w:r>
    </w:p>
    <w:p w14:paraId="7E74782C" w14:textId="77777777" w:rsidR="00A143D3" w:rsidRDefault="00A143D3">
      <w:pPr>
        <w:ind w:firstLineChars="200" w:firstLine="640"/>
        <w:rPr>
          <w:rFonts w:ascii="仿宋_GB2312" w:eastAsia="仿宋_GB2312" w:hAnsi="方正仿宋_GBK" w:cs="方正仿宋_GBK"/>
          <w:sz w:val="32"/>
          <w:szCs w:val="32"/>
        </w:rPr>
      </w:pPr>
    </w:p>
    <w:p w14:paraId="601F43EB" w14:textId="2FB650BC" w:rsidR="00A143D3" w:rsidRDefault="00000000">
      <w:pPr>
        <w:pStyle w:val="ad"/>
        <w:numPr>
          <w:ilvl w:val="0"/>
          <w:numId w:val="1"/>
        </w:numPr>
        <w:jc w:val="left"/>
        <w:rPr>
          <w:rFonts w:ascii="仿宋_GB2312" w:eastAsia="仿宋_GB2312" w:hAnsi="方正仿宋_GBK" w:cs="方正仿宋_GBK"/>
          <w:b/>
          <w:bCs/>
          <w:sz w:val="32"/>
          <w:szCs w:val="32"/>
        </w:rPr>
      </w:pPr>
      <w:r>
        <w:rPr>
          <w:rFonts w:ascii="仿宋_GB2312" w:eastAsia="仿宋_GB2312" w:hAnsi="方正仿宋_GBK" w:cs="方正仿宋_GBK" w:hint="eastAsia"/>
          <w:b/>
          <w:bCs/>
          <w:sz w:val="32"/>
          <w:szCs w:val="32"/>
        </w:rPr>
        <w:t>对我国行业大模型发展的启示</w:t>
      </w:r>
    </w:p>
    <w:p w14:paraId="3752BD2C" w14:textId="56A5E123" w:rsidR="00A143D3" w:rsidRDefault="00000000">
      <w:pPr>
        <w:ind w:firstLineChars="200" w:firstLine="640"/>
        <w:rPr>
          <w:rFonts w:ascii="仿宋_GB2312" w:eastAsia="仿宋_GB2312" w:hAnsi="方正仿宋_GBK" w:cs="方正仿宋_GBK"/>
          <w:sz w:val="32"/>
          <w:szCs w:val="32"/>
        </w:rPr>
      </w:pPr>
      <w:r>
        <w:rPr>
          <w:rFonts w:ascii="仿宋_GB2312" w:eastAsia="仿宋_GB2312" w:hAnsi="方正仿宋_GBK" w:cs="方正仿宋_GBK" w:hint="eastAsia"/>
          <w:sz w:val="32"/>
          <w:szCs w:val="32"/>
        </w:rPr>
        <w:t>基因泰克的成功为我国行业大模型发展主要有以下几方面启示。</w:t>
      </w:r>
      <w:r>
        <w:rPr>
          <w:rFonts w:ascii="仿宋_GB2312" w:eastAsia="仿宋_GB2312" w:hAnsi="方正仿宋_GBK" w:cs="方正仿宋_GBK" w:hint="eastAsia"/>
          <w:b/>
          <w:bCs/>
          <w:sz w:val="32"/>
          <w:szCs w:val="32"/>
        </w:rPr>
        <w:t>一是依托龙头企业行业大模型能力构建集约化应用平台。</w:t>
      </w:r>
      <w:r w:rsidRPr="00AB5FD4">
        <w:rPr>
          <w:rFonts w:ascii="仿宋_GB2312" w:eastAsia="仿宋_GB2312" w:hAnsi="方正仿宋_GBK" w:cs="方正仿宋_GBK" w:hint="eastAsia"/>
          <w:sz w:val="32"/>
          <w:szCs w:val="32"/>
        </w:rPr>
        <w:t>从基因泰克药物研发大模型的合作实践可以观察到，通过发挥各方优势互补效应，能够显著提升运营效率并产生良好的社会效益。我国可采取由具备技术实力和资源优势的龙头企业主导构建行业大模型，并将其部署在统一的集约化平台，其他中小企业基于这一基础模型专注于特定垂直领域的模型微调和应用开发工作的发展路径。一方面最大化资源配置效率，避免重复建设造成的资源浪费；另一方面有效规避"</w:t>
      </w:r>
      <w:proofErr w:type="gramStart"/>
      <w:r w:rsidRPr="00AB5FD4">
        <w:rPr>
          <w:rFonts w:ascii="仿宋_GB2312" w:eastAsia="仿宋_GB2312" w:hAnsi="方正仿宋_GBK" w:cs="方正仿宋_GBK" w:hint="eastAsia"/>
          <w:sz w:val="32"/>
          <w:szCs w:val="32"/>
        </w:rPr>
        <w:t>百模大战</w:t>
      </w:r>
      <w:proofErr w:type="gramEnd"/>
      <w:r w:rsidRPr="00AB5FD4">
        <w:rPr>
          <w:rFonts w:ascii="仿宋_GB2312" w:eastAsia="仿宋_GB2312" w:hAnsi="方正仿宋_GBK" w:cs="方正仿宋_GBK" w:hint="eastAsia"/>
          <w:sz w:val="32"/>
          <w:szCs w:val="32"/>
        </w:rPr>
        <w:t>"等无序竞争问题。</w:t>
      </w:r>
      <w:r>
        <w:rPr>
          <w:rFonts w:ascii="仿宋_GB2312" w:eastAsia="仿宋_GB2312" w:hAnsi="方正仿宋_GBK" w:cs="方正仿宋_GBK" w:hint="eastAsia"/>
          <w:b/>
          <w:bCs/>
          <w:sz w:val="32"/>
          <w:szCs w:val="32"/>
        </w:rPr>
        <w:t>二是建设开放共享的“算力”与“数据”基础设施。</w:t>
      </w:r>
      <w:r>
        <w:rPr>
          <w:rFonts w:ascii="仿宋_GB2312" w:eastAsia="仿宋_GB2312" w:hAnsi="方正仿宋_GBK" w:cs="方正仿宋_GBK" w:hint="eastAsia"/>
          <w:sz w:val="32"/>
          <w:szCs w:val="32"/>
        </w:rPr>
        <w:t>加快建设国家级或区域性的公共算力平台，以普惠的价格、便捷的应用向科研机构和中小企业提供算力服务，降低创新门槛。同时，推动构建高质量、多模态、行业性的公共数据集服务平台，并建立数据安全与合</w:t>
      </w:r>
      <w:proofErr w:type="gramStart"/>
      <w:r>
        <w:rPr>
          <w:rFonts w:ascii="仿宋_GB2312" w:eastAsia="仿宋_GB2312" w:hAnsi="方正仿宋_GBK" w:cs="方正仿宋_GBK" w:hint="eastAsia"/>
          <w:sz w:val="32"/>
          <w:szCs w:val="32"/>
        </w:rPr>
        <w:t>规</w:t>
      </w:r>
      <w:proofErr w:type="gramEnd"/>
      <w:r>
        <w:rPr>
          <w:rFonts w:ascii="仿宋_GB2312" w:eastAsia="仿宋_GB2312" w:hAnsi="方正仿宋_GBK" w:cs="方正仿宋_GBK" w:hint="eastAsia"/>
          <w:sz w:val="32"/>
          <w:szCs w:val="32"/>
        </w:rPr>
        <w:t>共享的规范，为整个AI产业修建“高速公路”和“发电厂”。</w:t>
      </w:r>
      <w:r w:rsidRPr="00AB5FD4">
        <w:rPr>
          <w:rFonts w:ascii="仿宋_GB2312" w:eastAsia="仿宋_GB2312" w:hAnsi="方正仿宋_GBK" w:cs="方正仿宋_GBK" w:hint="eastAsia"/>
          <w:b/>
          <w:bCs/>
          <w:sz w:val="32"/>
          <w:szCs w:val="32"/>
        </w:rPr>
        <w:t>三是建立新型产学研协同创新机制，推动创新成果开放共享。</w:t>
      </w:r>
      <w:r w:rsidRPr="00AB5FD4">
        <w:rPr>
          <w:rFonts w:ascii="仿宋_GB2312" w:eastAsia="仿宋_GB2312" w:hAnsi="方正仿宋_GBK" w:cs="方正仿宋_GBK" w:hint="eastAsia"/>
          <w:sz w:val="32"/>
          <w:szCs w:val="32"/>
        </w:rPr>
        <w:t>鼓励</w:t>
      </w:r>
      <w:r>
        <w:rPr>
          <w:rFonts w:ascii="仿宋_GB2312" w:eastAsia="仿宋_GB2312" w:hAnsi="方正仿宋_GBK" w:cs="方正仿宋_GBK" w:hint="eastAsia"/>
          <w:sz w:val="32"/>
          <w:szCs w:val="32"/>
        </w:rPr>
        <w:t>集约化的行业大模型应用平台联合智能云服务厂商，</w:t>
      </w:r>
      <w:r w:rsidRPr="00AB5FD4">
        <w:rPr>
          <w:rFonts w:ascii="仿宋_GB2312" w:eastAsia="仿宋_GB2312" w:hAnsi="方正仿宋_GBK" w:cs="方正仿宋_GBK" w:hint="eastAsia"/>
          <w:sz w:val="32"/>
          <w:szCs w:val="32"/>
        </w:rPr>
        <w:t>通过开放API接口或开源方式，向产业链上下游企业及科研院所提供技术</w:t>
      </w:r>
      <w:r>
        <w:rPr>
          <w:rFonts w:ascii="仿宋_GB2312" w:eastAsia="仿宋_GB2312" w:hAnsi="方正仿宋_GBK" w:cs="方正仿宋_GBK" w:hint="eastAsia"/>
          <w:sz w:val="32"/>
          <w:szCs w:val="32"/>
        </w:rPr>
        <w:t>应用与交付服务</w:t>
      </w:r>
      <w:r w:rsidRPr="00AB5FD4">
        <w:rPr>
          <w:rFonts w:ascii="仿宋_GB2312" w:eastAsia="仿宋_GB2312" w:hAnsi="方正仿宋_GBK" w:cs="方正仿宋_GBK" w:hint="eastAsia"/>
          <w:sz w:val="32"/>
          <w:szCs w:val="32"/>
        </w:rPr>
        <w:t>支撑</w:t>
      </w:r>
      <w:r>
        <w:rPr>
          <w:rFonts w:ascii="仿宋_GB2312" w:eastAsia="仿宋_GB2312" w:hAnsi="方正仿宋_GBK" w:cs="方正仿宋_GBK" w:hint="eastAsia"/>
          <w:sz w:val="32"/>
          <w:szCs w:val="32"/>
        </w:rPr>
        <w:t>，</w:t>
      </w:r>
      <w:r w:rsidRPr="00AB5FD4">
        <w:rPr>
          <w:rFonts w:ascii="仿宋_GB2312" w:eastAsia="仿宋_GB2312" w:hAnsi="方正仿宋_GBK" w:cs="方正仿宋_GBK" w:hint="eastAsia"/>
          <w:sz w:val="32"/>
          <w:szCs w:val="32"/>
        </w:rPr>
        <w:t>同时建立合理的利益分配机制，切实保</w:t>
      </w:r>
      <w:r w:rsidRPr="00AB5FD4">
        <w:rPr>
          <w:rFonts w:ascii="仿宋_GB2312" w:eastAsia="仿宋_GB2312" w:hAnsi="方正仿宋_GBK" w:cs="方正仿宋_GBK" w:hint="eastAsia"/>
          <w:sz w:val="32"/>
          <w:szCs w:val="32"/>
        </w:rPr>
        <w:lastRenderedPageBreak/>
        <w:t>障研发主体的合法权益和投资回报，促进创新成果在产学研各方之间的有序流动与高效共享，形成协同发展的良性生态。</w:t>
      </w:r>
    </w:p>
    <w:sectPr w:rsidR="00A143D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311EF" w14:textId="77777777" w:rsidR="00C10BF7" w:rsidRDefault="00C10BF7" w:rsidP="0078305B">
      <w:pPr>
        <w:rPr>
          <w:rFonts w:hint="eastAsia"/>
        </w:rPr>
      </w:pPr>
      <w:r>
        <w:separator/>
      </w:r>
    </w:p>
  </w:endnote>
  <w:endnote w:type="continuationSeparator" w:id="0">
    <w:p w14:paraId="041A1CDD" w14:textId="77777777" w:rsidR="00C10BF7" w:rsidRDefault="00C10BF7" w:rsidP="0078305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仿宋_GB2312">
    <w:altName w:val="宋体"/>
    <w:panose1 w:val="02010609030101010101"/>
    <w:charset w:val="86"/>
    <w:family w:val="modern"/>
    <w:pitch w:val="fixed"/>
    <w:sig w:usb0="00000001" w:usb1="080E0000" w:usb2="00000010" w:usb3="00000000" w:csb0="00040000" w:csb1="00000000"/>
  </w:font>
  <w:font w:name="方正仿宋_GBK">
    <w:panose1 w:val="03000509000000000000"/>
    <w:charset w:val="86"/>
    <w:family w:val="script"/>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0880E" w14:textId="77777777" w:rsidR="00C10BF7" w:rsidRDefault="00C10BF7" w:rsidP="0078305B">
      <w:pPr>
        <w:rPr>
          <w:rFonts w:hint="eastAsia"/>
        </w:rPr>
      </w:pPr>
      <w:r>
        <w:separator/>
      </w:r>
    </w:p>
  </w:footnote>
  <w:footnote w:type="continuationSeparator" w:id="0">
    <w:p w14:paraId="257A42DB" w14:textId="77777777" w:rsidR="00C10BF7" w:rsidRDefault="00C10BF7" w:rsidP="0078305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1F406A"/>
    <w:multiLevelType w:val="multilevel"/>
    <w:tmpl w:val="771F406A"/>
    <w:lvl w:ilvl="0">
      <w:start w:val="1"/>
      <w:numFmt w:val="decimal"/>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780904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trackRevisions/>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7B28"/>
    <w:rsid w:val="00015D6C"/>
    <w:rsid w:val="0002113B"/>
    <w:rsid w:val="00052877"/>
    <w:rsid w:val="00082064"/>
    <w:rsid w:val="0009564E"/>
    <w:rsid w:val="000E7B28"/>
    <w:rsid w:val="0010263B"/>
    <w:rsid w:val="001622D9"/>
    <w:rsid w:val="00162E97"/>
    <w:rsid w:val="00164B08"/>
    <w:rsid w:val="0018103E"/>
    <w:rsid w:val="001B5DF4"/>
    <w:rsid w:val="001C42D2"/>
    <w:rsid w:val="001E0FB5"/>
    <w:rsid w:val="00224CF4"/>
    <w:rsid w:val="002358CE"/>
    <w:rsid w:val="002540B0"/>
    <w:rsid w:val="00261EBA"/>
    <w:rsid w:val="0027708C"/>
    <w:rsid w:val="00291377"/>
    <w:rsid w:val="00294774"/>
    <w:rsid w:val="002B4FB5"/>
    <w:rsid w:val="002C292E"/>
    <w:rsid w:val="003605BB"/>
    <w:rsid w:val="00361749"/>
    <w:rsid w:val="00365910"/>
    <w:rsid w:val="003849DB"/>
    <w:rsid w:val="00397EA2"/>
    <w:rsid w:val="003B086E"/>
    <w:rsid w:val="003C7A9F"/>
    <w:rsid w:val="0040060F"/>
    <w:rsid w:val="0048233A"/>
    <w:rsid w:val="004B1F61"/>
    <w:rsid w:val="004B7A3A"/>
    <w:rsid w:val="004D132A"/>
    <w:rsid w:val="004D7BBC"/>
    <w:rsid w:val="00520F2E"/>
    <w:rsid w:val="00542FFA"/>
    <w:rsid w:val="005526D2"/>
    <w:rsid w:val="005636D5"/>
    <w:rsid w:val="0059679B"/>
    <w:rsid w:val="005C3F92"/>
    <w:rsid w:val="005F0B2C"/>
    <w:rsid w:val="005F2145"/>
    <w:rsid w:val="00603AB0"/>
    <w:rsid w:val="0064310C"/>
    <w:rsid w:val="006F7047"/>
    <w:rsid w:val="0078305B"/>
    <w:rsid w:val="007A3499"/>
    <w:rsid w:val="007E597B"/>
    <w:rsid w:val="007F0776"/>
    <w:rsid w:val="00885E6C"/>
    <w:rsid w:val="00894A6C"/>
    <w:rsid w:val="008B79C7"/>
    <w:rsid w:val="008B7C96"/>
    <w:rsid w:val="008C0816"/>
    <w:rsid w:val="008F2D1B"/>
    <w:rsid w:val="008F6DD3"/>
    <w:rsid w:val="009030A4"/>
    <w:rsid w:val="00936E7C"/>
    <w:rsid w:val="00947BF1"/>
    <w:rsid w:val="009500CA"/>
    <w:rsid w:val="00966A3B"/>
    <w:rsid w:val="009B161E"/>
    <w:rsid w:val="00A143D3"/>
    <w:rsid w:val="00A439F2"/>
    <w:rsid w:val="00A7744F"/>
    <w:rsid w:val="00A817F0"/>
    <w:rsid w:val="00AB5FD4"/>
    <w:rsid w:val="00AC5E46"/>
    <w:rsid w:val="00B05DA2"/>
    <w:rsid w:val="00B51B61"/>
    <w:rsid w:val="00BA164F"/>
    <w:rsid w:val="00BA5AE0"/>
    <w:rsid w:val="00BE6ACE"/>
    <w:rsid w:val="00BE702B"/>
    <w:rsid w:val="00BF4D5F"/>
    <w:rsid w:val="00BF6542"/>
    <w:rsid w:val="00C10BF7"/>
    <w:rsid w:val="00C52C76"/>
    <w:rsid w:val="00D0270A"/>
    <w:rsid w:val="00D56FCF"/>
    <w:rsid w:val="00D94DE4"/>
    <w:rsid w:val="00DB6EF5"/>
    <w:rsid w:val="00DC5DFB"/>
    <w:rsid w:val="00DE50C1"/>
    <w:rsid w:val="00DF76BF"/>
    <w:rsid w:val="00E10DA7"/>
    <w:rsid w:val="00E50052"/>
    <w:rsid w:val="00ED0E1E"/>
    <w:rsid w:val="00ED51F8"/>
    <w:rsid w:val="00EF6520"/>
    <w:rsid w:val="00EF6699"/>
    <w:rsid w:val="00F0747E"/>
    <w:rsid w:val="00F5722C"/>
    <w:rsid w:val="00F7795C"/>
    <w:rsid w:val="00FB3B2B"/>
    <w:rsid w:val="00FF7533"/>
    <w:rsid w:val="237325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0C96456B-FE6C-46E9-B336-3933D6600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微软雅黑"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2"/>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eastAsiaTheme="minorEastAsia"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eastAsiaTheme="minorEastAsia" w:cstheme="majorBidi"/>
      <w:color w:val="0F4761" w:themeColor="accent1" w:themeShade="BF"/>
      <w:szCs w:val="24"/>
    </w:rPr>
  </w:style>
  <w:style w:type="paragraph" w:styleId="6">
    <w:name w:val="heading 6"/>
    <w:basedOn w:val="a"/>
    <w:next w:val="a"/>
    <w:link w:val="60"/>
    <w:uiPriority w:val="9"/>
    <w:semiHidden/>
    <w:unhideWhenUsed/>
    <w:qFormat/>
    <w:pPr>
      <w:keepNext/>
      <w:keepLines/>
      <w:spacing w:before="4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a7">
    <w:name w:val="Subtitle"/>
    <w:basedOn w:val="a"/>
    <w:next w:val="a"/>
    <w:link w:val="a8"/>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9">
    <w:name w:val="Title"/>
    <w:basedOn w:val="a"/>
    <w:next w:val="a"/>
    <w:link w:val="aa"/>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eastAsiaTheme="minorEastAsia" w:cstheme="majorBidi"/>
      <w:color w:val="0F4761" w:themeColor="accent1" w:themeShade="BF"/>
      <w:sz w:val="28"/>
      <w:szCs w:val="28"/>
    </w:rPr>
  </w:style>
  <w:style w:type="character" w:customStyle="1" w:styleId="50">
    <w:name w:val="标题 5 字符"/>
    <w:basedOn w:val="a0"/>
    <w:link w:val="5"/>
    <w:uiPriority w:val="9"/>
    <w:semiHidden/>
    <w:qFormat/>
    <w:rPr>
      <w:rFonts w:eastAsiaTheme="minorEastAsia" w:cstheme="majorBidi"/>
      <w:color w:val="0F4761" w:themeColor="accent1" w:themeShade="BF"/>
      <w:szCs w:val="24"/>
    </w:rPr>
  </w:style>
  <w:style w:type="character" w:customStyle="1" w:styleId="60">
    <w:name w:val="标题 6 字符"/>
    <w:basedOn w:val="a0"/>
    <w:link w:val="6"/>
    <w:uiPriority w:val="9"/>
    <w:semiHidden/>
    <w:rPr>
      <w:rFonts w:eastAsiaTheme="minorEastAsia" w:cstheme="majorBidi"/>
      <w:b/>
      <w:bCs/>
      <w:color w:val="0F4761" w:themeColor="accent1" w:themeShade="BF"/>
    </w:rPr>
  </w:style>
  <w:style w:type="character" w:customStyle="1" w:styleId="70">
    <w:name w:val="标题 7 字符"/>
    <w:basedOn w:val="a0"/>
    <w:link w:val="7"/>
    <w:uiPriority w:val="9"/>
    <w:semiHidden/>
    <w:rPr>
      <w:rFonts w:eastAsiaTheme="minorEastAsia" w:cstheme="majorBidi"/>
      <w:b/>
      <w:bCs/>
      <w:color w:val="595959" w:themeColor="text1" w:themeTint="A6"/>
    </w:rPr>
  </w:style>
  <w:style w:type="character" w:customStyle="1" w:styleId="80">
    <w:name w:val="标题 8 字符"/>
    <w:basedOn w:val="a0"/>
    <w:link w:val="8"/>
    <w:uiPriority w:val="9"/>
    <w:semiHidden/>
    <w:qFormat/>
    <w:rPr>
      <w:rFonts w:eastAsiaTheme="minorEastAsia"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a">
    <w:name w:val="标题 字符"/>
    <w:basedOn w:val="a0"/>
    <w:link w:val="a9"/>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b">
    <w:name w:val="Quote"/>
    <w:basedOn w:val="a"/>
    <w:next w:val="a"/>
    <w:link w:val="ac"/>
    <w:uiPriority w:val="29"/>
    <w:qFormat/>
    <w:pPr>
      <w:spacing w:before="160" w:after="160"/>
      <w:jc w:val="center"/>
    </w:pPr>
    <w:rPr>
      <w:i/>
      <w:iCs/>
      <w:color w:val="404040" w:themeColor="text1" w:themeTint="BF"/>
    </w:rPr>
  </w:style>
  <w:style w:type="character" w:customStyle="1" w:styleId="ac">
    <w:name w:val="引用 字符"/>
    <w:basedOn w:val="a0"/>
    <w:link w:val="ab"/>
    <w:uiPriority w:val="29"/>
    <w:qFormat/>
    <w:rPr>
      <w:i/>
      <w:iCs/>
      <w:color w:val="404040" w:themeColor="text1" w:themeTint="BF"/>
    </w:rPr>
  </w:style>
  <w:style w:type="paragraph" w:styleId="ad">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e">
    <w:name w:val="Intense Quote"/>
    <w:basedOn w:val="a"/>
    <w:next w:val="a"/>
    <w:link w:val="af"/>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
    <w:name w:val="明显引用 字符"/>
    <w:basedOn w:val="a0"/>
    <w:link w:val="ae"/>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f0">
    <w:name w:val="Revision"/>
    <w:hidden/>
    <w:uiPriority w:val="99"/>
    <w:unhideWhenUsed/>
    <w:rsid w:val="0078305B"/>
    <w:rPr>
      <w:kern w:val="2"/>
      <w:sz w:val="24"/>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Pages>
  <Words>316</Words>
  <Characters>1804</Characters>
  <Application>Microsoft Office Word</Application>
  <DocSecurity>0</DocSecurity>
  <Lines>15</Lines>
  <Paragraphs>4</Paragraphs>
  <ScaleCrop>false</ScaleCrop>
  <Company/>
  <LinksUpToDate>false</LinksUpToDate>
  <CharactersWithSpaces>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a8521</dc:creator>
  <cp:lastModifiedBy>a8521</cp:lastModifiedBy>
  <cp:revision>4</cp:revision>
  <dcterms:created xsi:type="dcterms:W3CDTF">2025-08-04T06:32:00Z</dcterms:created>
  <dcterms:modified xsi:type="dcterms:W3CDTF">2025-08-04T06:39:00Z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eyJoZGlkIjoiZmViNDc3NmU2ODQyNjE0MGMyYTYwODFmZWJiODFmNWMiLCJ1c2VySWQiOiIyNzA2ODE5MjkifQ==</vt:lpwstr>
  </property>
  <property fmtid="{D5CDD505-2E9C-101B-9397-08002B2CF9AE}" pid="3" name="KSOProductBuildVer">
    <vt:lpwstr>2052-12.1.0.21915</vt:lpwstr>
  </property>
  <property fmtid="{D5CDD505-2E9C-101B-9397-08002B2CF9AE}" pid="4" name="ICV">
    <vt:lpwstr>3647CA66BA7B449F87206BB970DE8E89_13</vt:lpwstr>
  </property>
</Properties>
</file>