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35980">
      <w:pPr>
        <w:jc w:val="center"/>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大模型ToB落地解法（二）：多“专家”连横模式典型案例与启示</w:t>
      </w:r>
    </w:p>
    <w:p w14:paraId="13E1B3A0">
      <w:pPr>
        <w:numPr>
          <w:ilvl w:val="0"/>
          <w:numId w:val="0"/>
        </w:numPr>
        <w:ind w:firstLine="640" w:firstLineChars="200"/>
        <w:jc w:val="left"/>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随着大模型技术的持续优化和升级，产业应用逐渐走深向实，</w:t>
      </w:r>
      <w:r>
        <w:rPr>
          <w:rFonts w:hint="default" w:ascii="仿宋" w:hAnsi="仿宋" w:eastAsia="仿宋" w:cs="仿宋"/>
          <w:b w:val="0"/>
          <w:bCs w:val="0"/>
          <w:sz w:val="32"/>
          <w:szCs w:val="32"/>
          <w:lang w:val="en-US" w:eastAsia="zh-CN"/>
        </w:rPr>
        <w:t>呈现</w:t>
      </w:r>
      <w:r>
        <w:rPr>
          <w:rFonts w:hint="eastAsia" w:ascii="仿宋" w:hAnsi="仿宋" w:eastAsia="仿宋" w:cs="仿宋"/>
          <w:b w:val="0"/>
          <w:bCs w:val="0"/>
          <w:sz w:val="32"/>
          <w:szCs w:val="32"/>
          <w:lang w:val="en-US" w:eastAsia="zh-CN"/>
        </w:rPr>
        <w:t>欣欣向荣的</w:t>
      </w:r>
      <w:r>
        <w:rPr>
          <w:rFonts w:hint="default" w:ascii="仿宋" w:hAnsi="仿宋" w:eastAsia="仿宋" w:cs="仿宋"/>
          <w:b w:val="0"/>
          <w:bCs w:val="0"/>
          <w:sz w:val="32"/>
          <w:szCs w:val="32"/>
          <w:lang w:val="en-US" w:eastAsia="zh-CN"/>
        </w:rPr>
        <w:t>发展态势</w:t>
      </w:r>
      <w:r>
        <w:rPr>
          <w:rFonts w:hint="eastAsia" w:ascii="仿宋" w:hAnsi="仿宋" w:eastAsia="仿宋" w:cs="仿宋"/>
          <w:b w:val="0"/>
          <w:bCs w:val="0"/>
          <w:sz w:val="32"/>
          <w:szCs w:val="32"/>
          <w:lang w:val="en-US" w:eastAsia="zh-CN"/>
        </w:rPr>
        <w:t>。但同时不同行业、不同产业环节的分化趋势也日益加剧，不平衡发展的根源是大模型在需求适配、垂直专业性、使用成本等方面还存在诸多短板和卡点，这些问题之间又相互制约，并非仅靠一家厂商或者一个大型参数模型就能全面解决。这种背景下，多模型择优选取、多“专家”分工协作的连横模式或可成为一种有效的解题思路。</w:t>
      </w:r>
    </w:p>
    <w:p w14:paraId="1EC5D28C">
      <w:pPr>
        <w:pStyle w:val="2"/>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一、现阶段大模型商业化的两个主要挑战</w:t>
      </w:r>
    </w:p>
    <w:p w14:paraId="04595664">
      <w:pPr>
        <w:pStyle w:val="3"/>
        <w:keepNext w:val="0"/>
        <w:keepLines w:val="0"/>
        <w:pageBreakBefore w:val="0"/>
        <w:widowControl w:val="0"/>
        <w:numPr>
          <w:ilvl w:val="0"/>
          <w:numId w:val="0"/>
        </w:numPr>
        <w:kinsoku/>
        <w:wordWrap/>
        <w:overflowPunct/>
        <w:topLinePunct w:val="0"/>
        <w:autoSpaceDE/>
        <w:autoSpaceDN/>
        <w:bidi w:val="0"/>
        <w:adjustRightInd/>
        <w:snapToGrid/>
        <w:spacing w:line="413" w:lineRule="auto"/>
        <w:ind w:firstLine="643" w:firstLineChars="200"/>
        <w:textAlignment w:val="auto"/>
        <w:rPr>
          <w:rFonts w:hint="eastAsia"/>
          <w:lang w:val="en-US" w:eastAsia="zh-CN"/>
        </w:rPr>
      </w:pPr>
      <w:r>
        <w:rPr>
          <w:rFonts w:hint="eastAsia" w:ascii="仿宋" w:hAnsi="仿宋" w:eastAsia="仿宋" w:cs="仿宋"/>
          <w:b/>
          <w:kern w:val="44"/>
          <w:sz w:val="32"/>
          <w:szCs w:val="20"/>
          <w:lang w:val="en-US" w:eastAsia="zh-CN" w:bidi="ar-SA"/>
        </w:rPr>
        <w:t>1、行业企业尚未“真正”入局。</w:t>
      </w:r>
      <w:r>
        <w:rPr>
          <w:rFonts w:hint="eastAsia" w:ascii="仿宋" w:hAnsi="仿宋" w:eastAsia="仿宋" w:cs="仿宋"/>
          <w:b w:val="0"/>
          <w:bCs w:val="0"/>
          <w:sz w:val="32"/>
          <w:szCs w:val="40"/>
          <w:lang w:val="en-US" w:eastAsia="zh-CN"/>
        </w:rPr>
        <w:t>很多企业已经意识到大模型对其降本提效、重塑竞争力的潜力，但并不清楚这种能力如何与自身业务和运营结合，易观的一份调研显示，46%的企业尚未找到合适的流程和场景部署大模型（2024.6）。同时，大部分企业尚未从全局视角做好采用大模型的准备，根据埃森哲对中国450家企业的调研，85%</w:t>
      </w:r>
      <w:r>
        <w:rPr>
          <w:rFonts w:hint="eastAsia" w:ascii="仿宋" w:hAnsi="仿宋" w:eastAsia="仿宋" w:cs="仿宋"/>
          <w:b w:val="0"/>
          <w:bCs/>
          <w:sz w:val="32"/>
          <w:szCs w:val="40"/>
          <w:lang w:val="en-US" w:eastAsia="zh-CN"/>
        </w:rPr>
        <w:t>的企业尚未建立专门团队制定相关战略规划和预算</w:t>
      </w:r>
      <w:r>
        <w:rPr>
          <w:rFonts w:hint="eastAsia" w:ascii="仿宋" w:hAnsi="仿宋" w:eastAsia="仿宋" w:cs="仿宋"/>
          <w:b w:val="0"/>
          <w:bCs w:val="0"/>
          <w:sz w:val="32"/>
          <w:szCs w:val="40"/>
          <w:lang w:val="en-US" w:eastAsia="zh-CN"/>
        </w:rPr>
        <w:t>，77%的企业还未</w:t>
      </w:r>
      <w:r>
        <w:rPr>
          <w:rFonts w:hint="eastAsia" w:ascii="仿宋" w:hAnsi="仿宋" w:eastAsia="仿宋" w:cs="仿宋"/>
          <w:b w:val="0"/>
          <w:bCs/>
          <w:sz w:val="32"/>
          <w:szCs w:val="40"/>
          <w:lang w:val="en-US" w:eastAsia="zh-CN"/>
        </w:rPr>
        <w:t>开始梳理内部数据</w:t>
      </w:r>
      <w:r>
        <w:rPr>
          <w:rFonts w:hint="eastAsia" w:ascii="仿宋" w:hAnsi="仿宋" w:eastAsia="仿宋" w:cs="仿宋"/>
          <w:b w:val="0"/>
          <w:bCs w:val="0"/>
          <w:sz w:val="32"/>
          <w:szCs w:val="40"/>
          <w:lang w:val="en-US" w:eastAsia="zh-CN"/>
        </w:rPr>
        <w:t>（2024.3）。需求适配不足、缺乏全局规划，会限制大模型能力和价值发挥，增加安全合规风险，进而影响AI应用的持续推进。</w:t>
      </w:r>
    </w:p>
    <w:p w14:paraId="4B2E4E76">
      <w:pPr>
        <w:pStyle w:val="3"/>
        <w:keepNext w:val="0"/>
        <w:keepLines w:val="0"/>
        <w:pageBreakBefore w:val="0"/>
        <w:widowControl w:val="0"/>
        <w:numPr>
          <w:ilvl w:val="0"/>
          <w:numId w:val="0"/>
        </w:numPr>
        <w:kinsoku/>
        <w:wordWrap/>
        <w:overflowPunct/>
        <w:topLinePunct w:val="0"/>
        <w:autoSpaceDE/>
        <w:autoSpaceDN/>
        <w:bidi w:val="0"/>
        <w:adjustRightInd/>
        <w:snapToGrid/>
        <w:spacing w:line="413" w:lineRule="auto"/>
        <w:ind w:firstLine="643" w:firstLineChars="200"/>
        <w:textAlignment w:val="auto"/>
        <w:rPr>
          <w:rFonts w:hint="default" w:ascii="仿宋" w:hAnsi="仿宋" w:eastAsia="仿宋" w:cs="仿宋"/>
          <w:b w:val="0"/>
          <w:bCs w:val="0"/>
          <w:sz w:val="32"/>
          <w:szCs w:val="40"/>
          <w:lang w:val="en-US" w:eastAsia="zh-CN"/>
        </w:rPr>
      </w:pPr>
      <w:r>
        <w:rPr>
          <w:rFonts w:hint="eastAsia" w:ascii="仿宋" w:hAnsi="仿宋" w:eastAsia="仿宋" w:cs="仿宋"/>
          <w:b/>
          <w:kern w:val="44"/>
          <w:sz w:val="32"/>
          <w:szCs w:val="20"/>
          <w:lang w:val="en-US" w:eastAsia="zh-CN" w:bidi="ar-SA"/>
        </w:rPr>
        <w:t>2、“不可能三角”问题阻碍行业全面深入应用。</w:t>
      </w:r>
      <w:r>
        <w:rPr>
          <w:rFonts w:hint="eastAsia" w:ascii="仿宋" w:hAnsi="仿宋" w:eastAsia="仿宋" w:cs="仿宋"/>
          <w:b w:val="0"/>
          <w:bCs/>
          <w:sz w:val="32"/>
          <w:szCs w:val="40"/>
          <w:lang w:val="en-US" w:eastAsia="zh-CN"/>
        </w:rPr>
        <w:t>对B端而言，事实验证是关键挑战，如果大模型的靠谱程度不提升，就难以解决关键场景问题，这是目前</w:t>
      </w:r>
      <w:r>
        <w:rPr>
          <w:rFonts w:hint="eastAsia" w:ascii="仿宋" w:hAnsi="仿宋" w:eastAsia="仿宋" w:cs="仿宋"/>
          <w:b w:val="0"/>
          <w:bCs/>
          <w:kern w:val="44"/>
          <w:sz w:val="32"/>
          <w:szCs w:val="20"/>
          <w:lang w:val="en-US" w:eastAsia="zh-CN" w:bidi="ar-SA"/>
        </w:rPr>
        <w:t>大部分行业企业仍在小范围测试而尚未将大模型全面应用于正式生产的主要原因，也是大模型在生产控制等顽固环节进展缓慢的关键阻碍</w:t>
      </w:r>
      <w:r>
        <w:rPr>
          <w:rFonts w:hint="eastAsia" w:ascii="仿宋" w:hAnsi="仿宋" w:eastAsia="仿宋" w:cs="仿宋"/>
          <w:b w:val="0"/>
          <w:bCs/>
          <w:sz w:val="32"/>
          <w:szCs w:val="40"/>
          <w:lang w:val="en-US" w:eastAsia="zh-CN"/>
        </w:rPr>
        <w:t>。根据麦肯锡的调研数据，25%的企业因生成式AI的不准确性而遭受了负面影响，幻觉问题已成为企业最高优先级难题（2024.5,n=1052）。当前技术条件下，要提高大模型处理特定任务的性能和准确性，意味着厂商</w:t>
      </w:r>
      <w:r>
        <w:rPr>
          <w:rFonts w:hint="eastAsia" w:ascii="仿宋" w:hAnsi="仿宋" w:eastAsia="仿宋" w:cs="仿宋"/>
          <w:b w:val="0"/>
          <w:bCs w:val="0"/>
          <w:sz w:val="32"/>
          <w:szCs w:val="40"/>
          <w:lang w:val="en-US" w:eastAsia="zh-CN"/>
        </w:rPr>
        <w:t>需要</w:t>
      </w:r>
      <w:r>
        <w:rPr>
          <w:rFonts w:hint="eastAsia" w:ascii="仿宋" w:hAnsi="仿宋" w:eastAsia="仿宋" w:cs="仿宋"/>
          <w:b w:val="0"/>
          <w:bCs/>
          <w:sz w:val="32"/>
          <w:szCs w:val="40"/>
          <w:lang w:val="en-US" w:eastAsia="zh-CN"/>
        </w:rPr>
        <w:t>大量相关专业知识和数据进行模型训练，这将导致成本大幅增长，而且如果训练数据集规模和类型不足还可能降低模型的泛化能力，</w:t>
      </w:r>
      <w:r>
        <w:rPr>
          <w:rFonts w:hint="eastAsia" w:ascii="仿宋" w:hAnsi="仿宋" w:eastAsia="仿宋" w:cs="仿宋"/>
          <w:b w:val="0"/>
          <w:bCs/>
          <w:kern w:val="2"/>
          <w:sz w:val="32"/>
          <w:szCs w:val="40"/>
          <w:lang w:val="en-US" w:eastAsia="zh-CN" w:bidi="ar-SA"/>
        </w:rPr>
        <w:t>大模型落地在专业性、经济性和泛化性三方面难以取得平衡。</w:t>
      </w:r>
    </w:p>
    <w:p w14:paraId="0B72CBFD">
      <w:pPr>
        <w:pStyle w:val="2"/>
        <w:numPr>
          <w:ilvl w:val="0"/>
          <w:numId w:val="0"/>
        </w:numPr>
        <w:bidi w:val="0"/>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二、连横模式思路及典型案例</w:t>
      </w:r>
    </w:p>
    <w:p w14:paraId="6313F6EF">
      <w:pPr>
        <w:ind w:firstLine="640" w:firstLineChars="200"/>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连横模式强调多模型的聚合、择优与协同思维，通过让不同专家模型做各自最擅长的事，来提高</w:t>
      </w:r>
      <w:r>
        <w:rPr>
          <w:rFonts w:hint="eastAsia" w:ascii="仿宋" w:hAnsi="仿宋" w:eastAsia="仿宋" w:cs="仿宋"/>
          <w:b w:val="0"/>
          <w:bCs w:val="0"/>
          <w:kern w:val="2"/>
          <w:sz w:val="32"/>
          <w:szCs w:val="40"/>
          <w:lang w:val="en-US" w:eastAsia="zh-CN" w:bidi="ar-SA"/>
        </w:rPr>
        <w:t>模型的</w:t>
      </w:r>
      <w:r>
        <w:rPr>
          <w:rFonts w:hint="eastAsia" w:ascii="仿宋" w:hAnsi="仿宋" w:eastAsia="仿宋" w:cs="仿宋"/>
          <w:b w:val="0"/>
          <w:bCs w:val="0"/>
          <w:sz w:val="32"/>
          <w:szCs w:val="32"/>
          <w:lang w:val="en-US" w:eastAsia="zh-CN"/>
        </w:rPr>
        <w:t>适配性、准确性和使用效率，进而平衡成本。聚焦模型协同性与效果可比性两个关键要素，已初步形成三种应用思路，一是针对目标任务每个模型各自给出答案，交叉验证选择最优解；二是评估选出最合适的模型，由其独立完成任务；三是多个模型按专业优势分工，协同完成任务，背后逻辑是化繁为简，以小博大，</w:t>
      </w:r>
      <w:r>
        <w:rPr>
          <w:rFonts w:hint="eastAsia" w:ascii="仿宋" w:hAnsi="仿宋" w:eastAsia="仿宋" w:cs="仿宋"/>
          <w:b w:val="0"/>
          <w:bCs w:val="0"/>
          <w:kern w:val="2"/>
          <w:sz w:val="32"/>
          <w:szCs w:val="40"/>
          <w:lang w:val="en-US" w:eastAsia="zh-CN" w:bidi="ar-SA"/>
        </w:rPr>
        <w:t>模型之间不存在绑定关系，但也并非完全独立，</w:t>
      </w:r>
      <w:r>
        <w:rPr>
          <w:rFonts w:hint="eastAsia" w:ascii="仿宋" w:hAnsi="仿宋" w:eastAsia="仿宋" w:cs="仿宋"/>
          <w:b w:val="0"/>
          <w:bCs w:val="0"/>
          <w:sz w:val="32"/>
          <w:szCs w:val="32"/>
          <w:lang w:val="en-US" w:eastAsia="zh-CN"/>
        </w:rPr>
        <w:t>不同技术架构下模型之间协作的深浅度不同。具体案例如：</w:t>
      </w:r>
    </w:p>
    <w:p w14:paraId="7459F74D">
      <w:pPr>
        <w:pStyle w:val="3"/>
        <w:keepNext w:val="0"/>
        <w:keepLines w:val="0"/>
        <w:pageBreakBefore w:val="0"/>
        <w:widowControl w:val="0"/>
        <w:numPr>
          <w:ilvl w:val="0"/>
          <w:numId w:val="0"/>
        </w:numPr>
        <w:kinsoku/>
        <w:wordWrap/>
        <w:overflowPunct/>
        <w:topLinePunct w:val="0"/>
        <w:autoSpaceDE/>
        <w:autoSpaceDN/>
        <w:bidi w:val="0"/>
        <w:adjustRightInd/>
        <w:snapToGrid/>
        <w:spacing w:line="413" w:lineRule="auto"/>
        <w:ind w:firstLine="643" w:firstLineChars="200"/>
        <w:textAlignment w:val="auto"/>
        <w:rPr>
          <w:rFonts w:hint="eastAsia"/>
          <w:lang w:val="en-US" w:eastAsia="zh-CN"/>
        </w:rPr>
      </w:pPr>
      <w:r>
        <w:rPr>
          <w:rFonts w:hint="eastAsia" w:ascii="仿宋" w:hAnsi="仿宋" w:eastAsia="仿宋" w:cs="仿宋"/>
          <w:b/>
          <w:bCs/>
          <w:kern w:val="2"/>
          <w:sz w:val="32"/>
          <w:szCs w:val="40"/>
          <w:lang w:val="en-US" w:eastAsia="zh-CN" w:bidi="ar-SA"/>
        </w:rPr>
        <w:t>1、亚马逊：基于云托管服务构建AI模型中心，提供模型评估、智能分流等能力</w:t>
      </w:r>
      <w:r>
        <w:rPr>
          <w:rFonts w:hint="eastAsia" w:ascii="仿宋" w:hAnsi="仿宋" w:eastAsia="仿宋" w:cs="仿宋"/>
          <w:b/>
          <w:bCs/>
          <w:kern w:val="2"/>
          <w:sz w:val="32"/>
          <w:szCs w:val="32"/>
          <w:lang w:val="en-US" w:eastAsia="zh-CN" w:bidi="ar-SA"/>
        </w:rPr>
        <w:t>降低企业使用门槛。</w:t>
      </w:r>
      <w:r>
        <w:rPr>
          <w:rFonts w:hint="eastAsia" w:ascii="仿宋" w:hAnsi="仿宋" w:eastAsia="仿宋" w:cs="仿宋"/>
          <w:b w:val="0"/>
          <w:bCs w:val="0"/>
          <w:kern w:val="2"/>
          <w:sz w:val="32"/>
          <w:szCs w:val="40"/>
          <w:lang w:val="en-US" w:eastAsia="zh-CN" w:bidi="ar-SA"/>
        </w:rPr>
        <w:t>Amazon Bedrock云托管服务汇聚了大部分业界领先的开源、闭源模型以及亚马逊自有的Titan模型，</w:t>
      </w:r>
      <w:r>
        <w:rPr>
          <w:rFonts w:hint="eastAsia" w:ascii="仿宋" w:hAnsi="仿宋" w:eastAsia="仿宋" w:cs="仿宋"/>
          <w:b w:val="0"/>
          <w:bCs w:val="0"/>
          <w:strike w:val="0"/>
          <w:dstrike w:val="0"/>
          <w:kern w:val="2"/>
          <w:sz w:val="32"/>
          <w:szCs w:val="40"/>
          <w:lang w:val="en-US" w:eastAsia="zh-CN" w:bidi="ar-SA"/>
        </w:rPr>
        <w:t>支持企业基于私有数据定制或者导入专有模型</w:t>
      </w:r>
      <w:r>
        <w:rPr>
          <w:rFonts w:hint="eastAsia" w:ascii="仿宋" w:hAnsi="仿宋" w:eastAsia="仿宋" w:cs="仿宋"/>
          <w:b w:val="0"/>
          <w:bCs w:val="0"/>
          <w:kern w:val="2"/>
          <w:sz w:val="32"/>
          <w:szCs w:val="40"/>
          <w:lang w:val="en-US" w:eastAsia="zh-CN" w:bidi="ar-SA"/>
        </w:rPr>
        <w:t>。Bedrock提供两种模型使用方式：一是按需选择。提供自动、人工、专业团队协助三种模型评估服务，几小时内即可帮助企业选出与其自身业务场景和数据相结合的最优模型，并可通过API调用模型。二是多模型联合分工。将目标任务分解，根据场景和功能要求自动适配模型，通过构建多个Agent角色实现多模型协同完成任务。例如，亚马逊与中集集团基于联合实验室机制，共同打造企业级生成式AI底座，通过集成中集专业数据库，利用Bedrock的智能分流能力选择合适模型，实现财司助手应用的答案采纳率达到99.6%。</w:t>
      </w:r>
      <w:r>
        <w:drawing>
          <wp:inline distT="0" distB="0" distL="114300" distR="114300">
            <wp:extent cx="5271135" cy="2783840"/>
            <wp:effectExtent l="0" t="0" r="381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
                    <a:stretch>
                      <a:fillRect/>
                    </a:stretch>
                  </pic:blipFill>
                  <pic:spPr>
                    <a:xfrm>
                      <a:off x="0" y="0"/>
                      <a:ext cx="5271135" cy="2783840"/>
                    </a:xfrm>
                    <a:prstGeom prst="rect">
                      <a:avLst/>
                    </a:prstGeom>
                    <a:noFill/>
                    <a:ln>
                      <a:noFill/>
                    </a:ln>
                  </pic:spPr>
                </pic:pic>
              </a:graphicData>
            </a:graphic>
          </wp:inline>
        </w:drawing>
      </w:r>
    </w:p>
    <w:p w14:paraId="39D7F305">
      <w:pPr>
        <w:jc w:val="center"/>
        <w:rPr>
          <w:rFonts w:hint="eastAsia"/>
          <w:lang w:val="en-US" w:eastAsia="zh-CN"/>
        </w:rPr>
      </w:pPr>
      <w:r>
        <w:rPr>
          <w:rFonts w:hint="eastAsia" w:ascii="仿宋" w:hAnsi="仿宋" w:eastAsia="仿宋" w:cs="仿宋"/>
          <w:b w:val="0"/>
          <w:bCs w:val="0"/>
          <w:kern w:val="2"/>
          <w:sz w:val="28"/>
          <w:szCs w:val="36"/>
          <w:lang w:val="en-US" w:eastAsia="zh-CN" w:bidi="ar-SA"/>
        </w:rPr>
        <w:t>图1：Amazon Bedrock多模型联合分工示例</w:t>
      </w:r>
    </w:p>
    <w:p w14:paraId="2DB5FBCA">
      <w:pPr>
        <w:pStyle w:val="3"/>
        <w:keepNext w:val="0"/>
        <w:keepLines w:val="0"/>
        <w:pageBreakBefore w:val="0"/>
        <w:widowControl w:val="0"/>
        <w:numPr>
          <w:ilvl w:val="0"/>
          <w:numId w:val="1"/>
        </w:numPr>
        <w:kinsoku/>
        <w:wordWrap/>
        <w:overflowPunct/>
        <w:topLinePunct w:val="0"/>
        <w:autoSpaceDE/>
        <w:autoSpaceDN/>
        <w:bidi w:val="0"/>
        <w:adjustRightInd/>
        <w:snapToGrid/>
        <w:spacing w:line="413" w:lineRule="auto"/>
        <w:ind w:firstLine="643" w:firstLineChars="200"/>
        <w:textAlignment w:val="auto"/>
        <w:rPr>
          <w:rFonts w:hint="eastAsia" w:ascii="仿宋" w:hAnsi="仿宋" w:eastAsia="仿宋" w:cs="仿宋"/>
          <w:b w:val="0"/>
          <w:bCs w:val="0"/>
          <w:sz w:val="32"/>
          <w:szCs w:val="40"/>
          <w:lang w:val="en-US" w:eastAsia="zh-CN"/>
        </w:rPr>
      </w:pPr>
      <w:r>
        <w:rPr>
          <w:rFonts w:hint="eastAsia" w:ascii="仿宋" w:hAnsi="仿宋" w:eastAsia="仿宋" w:cs="仿宋"/>
          <w:b/>
          <w:bCs/>
          <w:kern w:val="2"/>
          <w:sz w:val="32"/>
          <w:szCs w:val="40"/>
          <w:lang w:val="en-US" w:eastAsia="zh-CN" w:bidi="ar-SA"/>
        </w:rPr>
        <w:t>Palantir：采用K-LLMs架构构建AI平台，与原有产品集成并辅以训练营模式加速技术落地。</w:t>
      </w:r>
      <w:r>
        <w:rPr>
          <w:rFonts w:hint="eastAsia" w:ascii="仿宋" w:hAnsi="仿宋" w:eastAsia="仿宋" w:cs="仿宋"/>
          <w:b w:val="0"/>
          <w:bCs w:val="0"/>
          <w:kern w:val="2"/>
          <w:sz w:val="32"/>
          <w:szCs w:val="40"/>
          <w:lang w:val="en-US" w:eastAsia="zh-CN" w:bidi="ar-SA"/>
        </w:rPr>
        <w:t>作为一家专注于数据分析的软件公司，Palantir更注重如何借助生成式AI提高自有产品的智能化比例，降低用户使用门槛，其AI平台封装了四款领先的大模型产品，并支持私有化部署。</w:t>
      </w:r>
      <w:r>
        <w:rPr>
          <w:rFonts w:hint="eastAsia" w:ascii="仿宋" w:hAnsi="仿宋" w:eastAsia="仿宋" w:cs="仿宋"/>
          <w:b w:val="0"/>
          <w:bCs w:val="0"/>
          <w:sz w:val="32"/>
          <w:szCs w:val="40"/>
          <w:lang w:val="en-US" w:eastAsia="zh-CN"/>
        </w:rPr>
        <w:t>K-LLMs内核采取择优原理，即先将用户输入的Prompt分发到每个大模型中，由一个名为Synthesizer的组件对模型回答结果进行理解和比较，产生最可能正确的答案返回给用户。在逐渐识别出这些LLM各自擅长的领域（在哪些领域给出正确答案的几率更高）后，用户可以出于成本、使用效率等考量对模型进行调整，将Prompt仅发给最专业的LLM。Palantir通过为期1-5天的AI训练营完成对客户的培育和销售，提供真实用例和数据展示平台功能，将大模型应用验证从几个月缩短至几天，很多客户在训练营结束后即签订了大额合同。</w:t>
      </w:r>
    </w:p>
    <w:p w14:paraId="3572D5CD">
      <w:pPr>
        <w:numPr>
          <w:ilvl w:val="0"/>
          <w:numId w:val="0"/>
        </w:numPr>
        <w:jc w:val="center"/>
      </w:pPr>
      <w:r>
        <w:drawing>
          <wp:inline distT="0" distB="0" distL="114300" distR="114300">
            <wp:extent cx="5161280" cy="1244600"/>
            <wp:effectExtent l="0" t="0" r="6350" b="190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5"/>
                    <a:stretch>
                      <a:fillRect/>
                    </a:stretch>
                  </pic:blipFill>
                  <pic:spPr>
                    <a:xfrm>
                      <a:off x="0" y="0"/>
                      <a:ext cx="5161280" cy="1244600"/>
                    </a:xfrm>
                    <a:prstGeom prst="rect">
                      <a:avLst/>
                    </a:prstGeom>
                    <a:noFill/>
                    <a:ln>
                      <a:noFill/>
                    </a:ln>
                  </pic:spPr>
                </pic:pic>
              </a:graphicData>
            </a:graphic>
          </wp:inline>
        </w:drawing>
      </w:r>
    </w:p>
    <w:p w14:paraId="78BCF692">
      <w:pPr>
        <w:jc w:val="center"/>
        <w:rPr>
          <w:rFonts w:hint="default" w:ascii="仿宋" w:hAnsi="仿宋" w:eastAsia="仿宋" w:cs="仿宋"/>
          <w:b w:val="0"/>
          <w:bCs w:val="0"/>
          <w:kern w:val="2"/>
          <w:sz w:val="28"/>
          <w:szCs w:val="36"/>
          <w:lang w:val="en-US" w:eastAsia="zh-CN" w:bidi="ar-SA"/>
        </w:rPr>
      </w:pPr>
      <w:r>
        <w:rPr>
          <w:rFonts w:hint="eastAsia" w:ascii="仿宋" w:hAnsi="仿宋" w:eastAsia="仿宋" w:cs="仿宋"/>
          <w:b w:val="0"/>
          <w:bCs w:val="0"/>
          <w:kern w:val="2"/>
          <w:sz w:val="28"/>
          <w:szCs w:val="36"/>
          <w:lang w:val="en-US" w:eastAsia="zh-CN" w:bidi="ar-SA"/>
        </w:rPr>
        <w:t>图2：Palantir AI平台K-LLMs内核原理</w:t>
      </w:r>
    </w:p>
    <w:p w14:paraId="1034CEBF">
      <w:pPr>
        <w:pStyle w:val="3"/>
        <w:keepNext w:val="0"/>
        <w:keepLines w:val="0"/>
        <w:pageBreakBefore w:val="0"/>
        <w:widowControl w:val="0"/>
        <w:kinsoku/>
        <w:wordWrap/>
        <w:overflowPunct/>
        <w:topLinePunct w:val="0"/>
        <w:autoSpaceDE/>
        <w:autoSpaceDN/>
        <w:bidi w:val="0"/>
        <w:adjustRightInd/>
        <w:snapToGrid/>
        <w:spacing w:line="413" w:lineRule="auto"/>
        <w:ind w:firstLine="643" w:firstLineChars="200"/>
        <w:textAlignment w:val="auto"/>
        <w:rPr>
          <w:rFonts w:hint="eastAsia" w:ascii="仿宋" w:hAnsi="仿宋" w:eastAsia="仿宋" w:cs="仿宋"/>
          <w:b w:val="0"/>
          <w:bCs w:val="0"/>
          <w:kern w:val="2"/>
          <w:sz w:val="32"/>
          <w:szCs w:val="40"/>
          <w:lang w:val="en-US" w:eastAsia="zh-CN" w:bidi="ar-SA"/>
        </w:rPr>
      </w:pPr>
      <w:r>
        <w:rPr>
          <w:rFonts w:hint="eastAsia" w:ascii="仿宋" w:hAnsi="仿宋" w:eastAsia="仿宋" w:cs="仿宋"/>
          <w:lang w:val="en-US" w:eastAsia="zh-CN"/>
        </w:rPr>
        <w:t>3、360：提出CoE专家协同模型架构，从支持产品自研外延至联合多厂商共同开展模式验证。</w:t>
      </w:r>
      <w:r>
        <w:rPr>
          <w:rFonts w:hint="eastAsia" w:ascii="仿宋" w:hAnsi="仿宋" w:eastAsia="仿宋" w:cs="仿宋"/>
          <w:b w:val="0"/>
          <w:bCs w:val="0"/>
          <w:kern w:val="2"/>
          <w:sz w:val="32"/>
          <w:szCs w:val="40"/>
          <w:lang w:val="en-US" w:eastAsia="zh-CN" w:bidi="ar-SA"/>
        </w:rPr>
        <w:t>CoE（Collaboration of Experts）基于类脑分区协同原理，将大模型分解为多个专家模型，按需动态组合，协同提高预测性能，模型之间可能在训练过程中就相互协作，共享信息或参数，共同学习数据特征。这种思路意味着每个模型都可以更小,由此知识、成本等问题就能得到解决。360基于CoE架构和自创方法论自研安全大模型，聚焦6个场景打造6个专家大模型，协同解决高难度安全问题，此后又联合15家大模型厂商构建CoE专家模型网络，打造AI助手。AI助手已内置于360安全卫士、安全浏览器等产品中，具有意图识别和对各家大模型及第三方工具的自动调度能力，同时也支持用户自选模型、对比效果选最优解、训练专用Agent等，据称其性能测试总分超过GPT-4o。</w:t>
      </w:r>
    </w:p>
    <w:p w14:paraId="3112CC34">
      <w:r>
        <w:drawing>
          <wp:inline distT="0" distB="0" distL="114300" distR="114300">
            <wp:extent cx="5272405" cy="259080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2590800"/>
                    </a:xfrm>
                    <a:prstGeom prst="rect">
                      <a:avLst/>
                    </a:prstGeom>
                    <a:noFill/>
                    <a:ln>
                      <a:noFill/>
                    </a:ln>
                  </pic:spPr>
                </pic:pic>
              </a:graphicData>
            </a:graphic>
          </wp:inline>
        </w:drawing>
      </w:r>
    </w:p>
    <w:p w14:paraId="641DEDF3">
      <w:pPr>
        <w:jc w:val="center"/>
        <w:rPr>
          <w:rFonts w:hint="default"/>
          <w:lang w:val="en-US" w:eastAsia="zh-CN"/>
        </w:rPr>
      </w:pPr>
      <w:r>
        <w:rPr>
          <w:rFonts w:hint="eastAsia" w:ascii="仿宋" w:hAnsi="仿宋" w:eastAsia="仿宋" w:cs="仿宋"/>
          <w:b w:val="0"/>
          <w:bCs w:val="0"/>
          <w:kern w:val="2"/>
          <w:sz w:val="28"/>
          <w:szCs w:val="36"/>
          <w:lang w:val="en-US" w:eastAsia="zh-CN" w:bidi="ar-SA"/>
        </w:rPr>
        <w:t>图3：360 CoE架构及专业化大模型方法论思路</w:t>
      </w:r>
    </w:p>
    <w:p w14:paraId="3CE82AA8">
      <w:pPr>
        <w:pStyle w:val="3"/>
        <w:keepNext w:val="0"/>
        <w:keepLines w:val="0"/>
        <w:pageBreakBefore w:val="0"/>
        <w:widowControl w:val="0"/>
        <w:numPr>
          <w:ilvl w:val="0"/>
          <w:numId w:val="2"/>
        </w:numPr>
        <w:kinsoku/>
        <w:wordWrap/>
        <w:overflowPunct/>
        <w:topLinePunct w:val="0"/>
        <w:autoSpaceDE/>
        <w:autoSpaceDN/>
        <w:bidi w:val="0"/>
        <w:adjustRightInd/>
        <w:snapToGrid/>
        <w:spacing w:line="413" w:lineRule="auto"/>
        <w:ind w:firstLine="643" w:firstLineChars="200"/>
        <w:textAlignment w:val="auto"/>
        <w:rPr>
          <w:rFonts w:hint="eastAsia" w:ascii="仿宋" w:hAnsi="仿宋" w:eastAsia="仿宋" w:cs="仿宋"/>
          <w:b w:val="0"/>
          <w:bCs/>
          <w:lang w:val="en-US" w:eastAsia="zh-CN"/>
        </w:rPr>
      </w:pPr>
      <w:r>
        <w:rPr>
          <w:rFonts w:hint="eastAsia" w:ascii="仿宋" w:hAnsi="仿宋" w:eastAsia="仿宋" w:cs="仿宋"/>
          <w:lang w:val="en-US" w:eastAsia="zh-CN"/>
        </w:rPr>
        <w:t>阿里：打造开源模型社区，借助Agent开发工具推进大小模型协同解决多场景复杂业务问题。</w:t>
      </w:r>
      <w:r>
        <w:rPr>
          <w:rFonts w:hint="eastAsia" w:ascii="仿宋" w:hAnsi="仿宋" w:eastAsia="仿宋" w:cs="仿宋"/>
          <w:b w:val="0"/>
          <w:bCs/>
          <w:lang w:val="en-US" w:eastAsia="zh-CN"/>
        </w:rPr>
        <w:t>大小模型协同强调充分利用不同尺寸模型的优势，提高计算效率和精度，提倡非必要不直接使用大模型，以减少计算资源的消耗和限制。阿里是较早践行大小模型协同理念的厂商，其打造的智能体工具魔搭GPT（ModelScopeGPT），以通用大模型为中枢，可以按指令调用魔搭社区的其他AI模型，自动构建大小模型协同链路，完成复杂场景任务。其中，生成式大模型底座决定了智能的基本水准，小模型可解释、可控且响应快，适用于解决专业问题。魔搭社区现已汇聚3000多款大小模型及3000+个数据集，支持企业和开发者按需构建自己的模型调用方案</w:t>
      </w:r>
      <w:bookmarkStart w:id="0" w:name="_GoBack"/>
      <w:bookmarkEnd w:id="0"/>
      <w:r>
        <w:rPr>
          <w:rFonts w:hint="eastAsia" w:ascii="仿宋" w:hAnsi="仿宋" w:eastAsia="仿宋" w:cs="仿宋"/>
          <w:b w:val="0"/>
          <w:bCs/>
          <w:lang w:val="en-US" w:eastAsia="zh-CN"/>
        </w:rPr>
        <w:t>。</w:t>
      </w:r>
    </w:p>
    <w:p w14:paraId="1998252E">
      <w:pPr>
        <w:pStyle w:val="2"/>
        <w:bidi w:val="0"/>
        <w:rPr>
          <w:rFonts w:hint="default" w:ascii="仿宋" w:hAnsi="仿宋" w:eastAsia="仿宋" w:cs="仿宋"/>
          <w:lang w:val="en-US" w:eastAsia="zh-CN"/>
        </w:rPr>
      </w:pPr>
      <w:r>
        <w:rPr>
          <w:rFonts w:hint="eastAsia" w:ascii="仿宋" w:hAnsi="仿宋" w:eastAsia="仿宋" w:cs="仿宋"/>
          <w:lang w:val="en-US" w:eastAsia="zh-CN"/>
        </w:rPr>
        <w:t>三、对运营商的启示与建议</w:t>
      </w:r>
    </w:p>
    <w:p w14:paraId="4099ECA5">
      <w:pPr>
        <w:widowControl w:val="0"/>
        <w:numPr>
          <w:ilvl w:val="0"/>
          <w:numId w:val="0"/>
        </w:numPr>
        <w:ind w:firstLine="643" w:firstLineChars="200"/>
        <w:jc w:val="both"/>
        <w:rPr>
          <w:rFonts w:hint="eastAsia" w:ascii="仿宋" w:hAnsi="仿宋" w:eastAsia="仿宋" w:cs="仿宋"/>
          <w:b w:val="0"/>
          <w:bCs w:val="0"/>
          <w:sz w:val="32"/>
          <w:szCs w:val="40"/>
          <w:lang w:val="en-US" w:eastAsia="zh-CN"/>
        </w:rPr>
      </w:pPr>
      <w:r>
        <w:rPr>
          <w:rFonts w:hint="eastAsia" w:ascii="仿宋" w:hAnsi="仿宋" w:eastAsia="仿宋" w:cs="仿宋"/>
          <w:b/>
          <w:bCs/>
          <w:sz w:val="32"/>
          <w:szCs w:val="40"/>
          <w:lang w:val="en-US" w:eastAsia="zh-CN"/>
        </w:rPr>
        <w:t>1、要构建一个覆盖业界领先、规格和功能齐全的AI模型库。</w:t>
      </w:r>
      <w:r>
        <w:rPr>
          <w:rFonts w:hint="eastAsia" w:ascii="仿宋" w:hAnsi="仿宋" w:eastAsia="仿宋" w:cs="仿宋"/>
          <w:b w:val="0"/>
          <w:bCs w:val="0"/>
          <w:sz w:val="32"/>
          <w:szCs w:val="40"/>
          <w:lang w:val="en-US" w:eastAsia="zh-CN"/>
        </w:rPr>
        <w:t xml:space="preserve">一是通过场景开放、资源共享或置换等方式，引入优质大模型产品、专业AI模型等，结合连横模式特点，设计K-LLMs、CoE等多样化的模型调用和部署方式，同时加强垂直领域的生态合作，提高面向不同客户的需求适配能力。二是提供技术与场景自动适配、智能分流等功能支持，提供从大模型能力评估、应用开发到部署的完整工具链支持，提供免费试用、算力优惠等服务，降低大模型使用门槛，满足B端客户在尝鲜阶段的大量测试需求。 </w:t>
      </w:r>
    </w:p>
    <w:p w14:paraId="04F038BE">
      <w:pPr>
        <w:widowControl w:val="0"/>
        <w:numPr>
          <w:ilvl w:val="0"/>
          <w:numId w:val="0"/>
        </w:numPr>
        <w:ind w:firstLine="643" w:firstLineChars="200"/>
        <w:jc w:val="both"/>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2、要提炼一套能协助B端客户落地大模型能力的方法论框架。</w:t>
      </w:r>
      <w:r>
        <w:rPr>
          <w:rFonts w:hint="eastAsia" w:ascii="仿宋" w:hAnsi="仿宋" w:eastAsia="仿宋" w:cs="仿宋"/>
          <w:b w:val="0"/>
          <w:bCs w:val="0"/>
          <w:sz w:val="32"/>
          <w:szCs w:val="40"/>
          <w:lang w:val="en-US" w:eastAsia="zh-CN"/>
        </w:rPr>
        <w:t>一是协助客户做好现状诊断与评估，梳理人财物要素就绪情况，明确客户是否具备足够的数字化基础和IT能力来部署和运维大模型。二是协助客户</w:t>
      </w:r>
      <w:r>
        <w:rPr>
          <w:rFonts w:hint="default" w:ascii="仿宋" w:hAnsi="仿宋" w:eastAsia="仿宋" w:cs="仿宋"/>
          <w:sz w:val="32"/>
          <w:szCs w:val="40"/>
          <w:lang w:val="en-US" w:eastAsia="zh-CN"/>
        </w:rPr>
        <w:t>找到大模型能发挥效益的场景</w:t>
      </w:r>
      <w:r>
        <w:rPr>
          <w:rFonts w:hint="eastAsia" w:ascii="仿宋" w:hAnsi="仿宋" w:eastAsia="仿宋" w:cs="仿宋"/>
          <w:sz w:val="32"/>
          <w:szCs w:val="40"/>
          <w:lang w:val="en-US" w:eastAsia="zh-CN"/>
        </w:rPr>
        <w:t>，</w:t>
      </w:r>
      <w:r>
        <w:rPr>
          <w:rFonts w:hint="eastAsia" w:ascii="仿宋" w:hAnsi="仿宋" w:eastAsia="仿宋" w:cs="仿宋"/>
          <w:b w:val="0"/>
          <w:bCs w:val="0"/>
          <w:sz w:val="32"/>
          <w:szCs w:val="40"/>
          <w:lang w:val="en-US" w:eastAsia="zh-CN"/>
        </w:rPr>
        <w:t>统筹规划发展目标，要</w:t>
      </w:r>
      <w:r>
        <w:rPr>
          <w:rFonts w:hint="eastAsia" w:ascii="仿宋" w:hAnsi="仿宋" w:eastAsia="仿宋" w:cs="仿宋"/>
          <w:sz w:val="32"/>
          <w:szCs w:val="40"/>
          <w:lang w:val="en-US" w:eastAsia="zh-CN"/>
        </w:rPr>
        <w:t>综合考虑技术可达性、经济实用性和应用边界性等关键因素。三是协助客户做好技术选型，结合场景和目标，明确是“单体”还是“混合”模型架构，帮助企业</w:t>
      </w:r>
      <w:r>
        <w:rPr>
          <w:rFonts w:hint="default" w:ascii="仿宋" w:hAnsi="仿宋" w:eastAsia="仿宋" w:cs="仿宋"/>
          <w:sz w:val="32"/>
          <w:szCs w:val="40"/>
          <w:lang w:val="en-US" w:eastAsia="zh-CN"/>
        </w:rPr>
        <w:t>平衡成本、效果和性能，实现真正意义上的定制化技术匹配。</w:t>
      </w:r>
    </w:p>
    <w:p w14:paraId="05273B78">
      <w:pPr>
        <w:widowControl w:val="0"/>
        <w:numPr>
          <w:ilvl w:val="0"/>
          <w:numId w:val="0"/>
        </w:numPr>
        <w:ind w:firstLine="643" w:firstLineChars="200"/>
        <w:jc w:val="both"/>
        <w:rPr>
          <w:rFonts w:hint="default" w:ascii="仿宋" w:hAnsi="仿宋" w:eastAsia="仿宋" w:cs="仿宋"/>
          <w:b w:val="0"/>
          <w:bCs w:val="0"/>
          <w:sz w:val="32"/>
          <w:szCs w:val="40"/>
          <w:lang w:val="en-US" w:eastAsia="zh-CN"/>
        </w:rPr>
      </w:pPr>
      <w:r>
        <w:rPr>
          <w:rFonts w:hint="eastAsia" w:ascii="仿宋" w:hAnsi="仿宋" w:eastAsia="仿宋" w:cs="仿宋"/>
          <w:b/>
          <w:bCs/>
          <w:sz w:val="32"/>
          <w:szCs w:val="40"/>
          <w:lang w:val="en-US" w:eastAsia="zh-CN"/>
        </w:rPr>
        <w:t>3、要建立一套高效的客户培训和持续反馈机制。</w:t>
      </w:r>
      <w:r>
        <w:rPr>
          <w:rFonts w:hint="eastAsia" w:ascii="仿宋" w:hAnsi="仿宋" w:eastAsia="仿宋" w:cs="仿宋"/>
          <w:b w:val="0"/>
          <w:bCs w:val="0"/>
          <w:sz w:val="32"/>
          <w:szCs w:val="40"/>
          <w:lang w:val="en-US" w:eastAsia="zh-CN"/>
        </w:rPr>
        <w:t>一是做好大模型应用前培训，</w:t>
      </w:r>
      <w:r>
        <w:rPr>
          <w:rFonts w:hint="eastAsia" w:ascii="仿宋" w:hAnsi="仿宋" w:eastAsia="仿宋" w:cs="仿宋"/>
          <w:sz w:val="32"/>
          <w:szCs w:val="40"/>
          <w:lang w:val="en-US" w:eastAsia="zh-CN"/>
        </w:rPr>
        <w:t>邀请标杆企业讲解真实案例，</w:t>
      </w:r>
      <w:r>
        <w:rPr>
          <w:rFonts w:hint="eastAsia" w:ascii="仿宋" w:hAnsi="仿宋" w:eastAsia="仿宋" w:cs="仿宋"/>
          <w:b w:val="0"/>
          <w:bCs w:val="0"/>
          <w:sz w:val="32"/>
          <w:szCs w:val="40"/>
          <w:lang w:val="en-US" w:eastAsia="zh-CN"/>
        </w:rPr>
        <w:t>让客户更好地理解将平台引入组织的方式和原因，优先聚焦需求潜力大的存量政企客户以及与大模型能力高度匹配的行业客户，开展一对一辅导和应用验证。二是大模型应用</w:t>
      </w:r>
      <w:r>
        <w:rPr>
          <w:rFonts w:hint="default" w:ascii="仿宋" w:hAnsi="仿宋" w:eastAsia="仿宋" w:cs="仿宋"/>
          <w:b w:val="0"/>
          <w:bCs w:val="0"/>
          <w:sz w:val="32"/>
          <w:szCs w:val="40"/>
          <w:lang w:val="en-US" w:eastAsia="zh-CN"/>
        </w:rPr>
        <w:t>后</w:t>
      </w:r>
      <w:r>
        <w:rPr>
          <w:rFonts w:hint="eastAsia" w:ascii="仿宋" w:hAnsi="仿宋" w:eastAsia="仿宋" w:cs="仿宋"/>
          <w:b w:val="0"/>
          <w:bCs w:val="0"/>
          <w:sz w:val="32"/>
          <w:szCs w:val="40"/>
          <w:lang w:val="en-US" w:eastAsia="zh-CN"/>
        </w:rPr>
        <w:t>要</w:t>
      </w:r>
      <w:r>
        <w:rPr>
          <w:rFonts w:hint="default" w:ascii="仿宋" w:hAnsi="仿宋" w:eastAsia="仿宋" w:cs="仿宋"/>
          <w:sz w:val="32"/>
          <w:szCs w:val="40"/>
          <w:lang w:eastAsia="zh-CN"/>
        </w:rPr>
        <w:t>开展场景适用性</w:t>
      </w:r>
      <w:r>
        <w:rPr>
          <w:rFonts w:hint="eastAsia" w:ascii="仿宋" w:hAnsi="仿宋" w:eastAsia="仿宋" w:cs="仿宋"/>
          <w:sz w:val="32"/>
          <w:szCs w:val="40"/>
          <w:lang w:eastAsia="zh-CN"/>
        </w:rPr>
        <w:t>、</w:t>
      </w:r>
      <w:r>
        <w:rPr>
          <w:rFonts w:hint="eastAsia" w:ascii="仿宋" w:hAnsi="仿宋" w:eastAsia="仿宋" w:cs="仿宋"/>
          <w:sz w:val="32"/>
          <w:szCs w:val="40"/>
          <w:lang w:val="en-US" w:eastAsia="zh-CN"/>
        </w:rPr>
        <w:t>技术性能、功能价值、安全风险</w:t>
      </w:r>
      <w:r>
        <w:rPr>
          <w:rFonts w:hint="default" w:ascii="仿宋" w:hAnsi="仿宋" w:eastAsia="仿宋" w:cs="仿宋"/>
          <w:sz w:val="32"/>
          <w:szCs w:val="40"/>
          <w:lang w:eastAsia="zh-CN"/>
        </w:rPr>
        <w:t>等</w:t>
      </w:r>
      <w:r>
        <w:rPr>
          <w:rFonts w:hint="eastAsia" w:ascii="仿宋" w:hAnsi="仿宋" w:eastAsia="仿宋" w:cs="仿宋"/>
          <w:sz w:val="32"/>
          <w:szCs w:val="40"/>
          <w:lang w:val="en-US" w:eastAsia="zh-CN"/>
        </w:rPr>
        <w:t>方面的</w:t>
      </w:r>
      <w:r>
        <w:rPr>
          <w:rFonts w:hint="default" w:ascii="仿宋" w:hAnsi="仿宋" w:eastAsia="仿宋" w:cs="仿宋"/>
          <w:sz w:val="32"/>
          <w:szCs w:val="40"/>
          <w:lang w:eastAsia="zh-CN"/>
        </w:rPr>
        <w:t>评估</w:t>
      </w:r>
      <w:r>
        <w:rPr>
          <w:rFonts w:hint="eastAsia" w:ascii="仿宋" w:hAnsi="仿宋" w:eastAsia="仿宋" w:cs="仿宋"/>
          <w:sz w:val="32"/>
          <w:szCs w:val="40"/>
          <w:lang w:eastAsia="zh-CN"/>
        </w:rPr>
        <w:t>。</w:t>
      </w:r>
      <w:r>
        <w:rPr>
          <w:rFonts w:hint="eastAsia" w:ascii="仿宋" w:hAnsi="仿宋" w:eastAsia="仿宋" w:cs="仿宋"/>
          <w:sz w:val="32"/>
          <w:szCs w:val="40"/>
          <w:lang w:val="en-US" w:eastAsia="zh-CN"/>
        </w:rPr>
        <w:t>高度</w:t>
      </w:r>
      <w:r>
        <w:rPr>
          <w:rFonts w:hint="eastAsia" w:ascii="仿宋" w:hAnsi="仿宋" w:eastAsia="仿宋" w:cs="仿宋"/>
          <w:b w:val="0"/>
          <w:bCs w:val="0"/>
          <w:sz w:val="32"/>
          <w:szCs w:val="40"/>
          <w:lang w:val="en-US" w:eastAsia="zh-CN"/>
        </w:rPr>
        <w:t>重视客户反馈，通过建立对接渠道、主动收集等方式积极</w:t>
      </w:r>
      <w:r>
        <w:rPr>
          <w:rFonts w:hint="default" w:ascii="仿宋" w:hAnsi="仿宋" w:eastAsia="仿宋" w:cs="仿宋"/>
          <w:b w:val="0"/>
          <w:bCs w:val="0"/>
          <w:sz w:val="32"/>
          <w:szCs w:val="40"/>
          <w:lang w:val="en-US" w:eastAsia="zh-CN"/>
        </w:rPr>
        <w:t>跟进模型使用效果</w:t>
      </w:r>
      <w:r>
        <w:rPr>
          <w:rFonts w:hint="eastAsia" w:ascii="仿宋" w:hAnsi="仿宋" w:eastAsia="仿宋" w:cs="仿宋"/>
          <w:b w:val="0"/>
          <w:bCs w:val="0"/>
          <w:sz w:val="32"/>
          <w:szCs w:val="40"/>
          <w:lang w:val="en-US" w:eastAsia="zh-CN"/>
        </w:rPr>
        <w:t>，利用反馈反哺大模型迭代和服务升级，不断优化生成内容质量。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73FA59"/>
    <w:multiLevelType w:val="singleLevel"/>
    <w:tmpl w:val="2673FA59"/>
    <w:lvl w:ilvl="0" w:tentative="0">
      <w:start w:val="4"/>
      <w:numFmt w:val="decimal"/>
      <w:suff w:val="nothing"/>
      <w:lvlText w:val="%1、"/>
      <w:lvlJc w:val="left"/>
    </w:lvl>
  </w:abstractNum>
  <w:abstractNum w:abstractNumId="1">
    <w:nsid w:val="6143A4C7"/>
    <w:multiLevelType w:val="singleLevel"/>
    <w:tmpl w:val="6143A4C7"/>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4MGQ4NGYwZDZmMWVmYzgwNzAwN2UxNmNlOTc2MjkifQ=="/>
  </w:docVars>
  <w:rsids>
    <w:rsidRoot w:val="23B048EB"/>
    <w:rsid w:val="002962A3"/>
    <w:rsid w:val="00492A69"/>
    <w:rsid w:val="00535E7A"/>
    <w:rsid w:val="00B52690"/>
    <w:rsid w:val="00F400A5"/>
    <w:rsid w:val="017B65FA"/>
    <w:rsid w:val="023A4BFB"/>
    <w:rsid w:val="02C47C5D"/>
    <w:rsid w:val="02C95F7F"/>
    <w:rsid w:val="02D078E2"/>
    <w:rsid w:val="02E4100B"/>
    <w:rsid w:val="031273C5"/>
    <w:rsid w:val="036A712A"/>
    <w:rsid w:val="0370464D"/>
    <w:rsid w:val="03CD4739"/>
    <w:rsid w:val="05056D9E"/>
    <w:rsid w:val="05234C3E"/>
    <w:rsid w:val="052A53FB"/>
    <w:rsid w:val="062A4F87"/>
    <w:rsid w:val="06447A24"/>
    <w:rsid w:val="06AB256C"/>
    <w:rsid w:val="06AD132E"/>
    <w:rsid w:val="07DC4CFB"/>
    <w:rsid w:val="08306EBF"/>
    <w:rsid w:val="08602DD3"/>
    <w:rsid w:val="087911A9"/>
    <w:rsid w:val="088A4403"/>
    <w:rsid w:val="09153FD4"/>
    <w:rsid w:val="0A733424"/>
    <w:rsid w:val="0B2367D5"/>
    <w:rsid w:val="0BDD44C6"/>
    <w:rsid w:val="0C2C7CAB"/>
    <w:rsid w:val="0C654F6B"/>
    <w:rsid w:val="0C840297"/>
    <w:rsid w:val="0CAD246E"/>
    <w:rsid w:val="0D0C0A5A"/>
    <w:rsid w:val="0D817B82"/>
    <w:rsid w:val="0D887163"/>
    <w:rsid w:val="0D8C648A"/>
    <w:rsid w:val="0DBD4932"/>
    <w:rsid w:val="0DDE7810"/>
    <w:rsid w:val="0DFF4482"/>
    <w:rsid w:val="0E3E1F17"/>
    <w:rsid w:val="0E9C0543"/>
    <w:rsid w:val="0EB65F51"/>
    <w:rsid w:val="0EDD4F42"/>
    <w:rsid w:val="0EFE5CEC"/>
    <w:rsid w:val="0F340C24"/>
    <w:rsid w:val="0FC95525"/>
    <w:rsid w:val="0FFC5802"/>
    <w:rsid w:val="104A6D68"/>
    <w:rsid w:val="108A14D5"/>
    <w:rsid w:val="108A7007"/>
    <w:rsid w:val="10D40911"/>
    <w:rsid w:val="11342B77"/>
    <w:rsid w:val="117E4FF1"/>
    <w:rsid w:val="11E931F7"/>
    <w:rsid w:val="1235718D"/>
    <w:rsid w:val="12852F30"/>
    <w:rsid w:val="13596EAB"/>
    <w:rsid w:val="135A2EF4"/>
    <w:rsid w:val="13E56991"/>
    <w:rsid w:val="14741FA9"/>
    <w:rsid w:val="14D92A17"/>
    <w:rsid w:val="16254B12"/>
    <w:rsid w:val="165A3890"/>
    <w:rsid w:val="167E206D"/>
    <w:rsid w:val="16EE3348"/>
    <w:rsid w:val="17062504"/>
    <w:rsid w:val="1723614E"/>
    <w:rsid w:val="17336426"/>
    <w:rsid w:val="17356021"/>
    <w:rsid w:val="17465999"/>
    <w:rsid w:val="17A56B63"/>
    <w:rsid w:val="180D5020"/>
    <w:rsid w:val="183A72AB"/>
    <w:rsid w:val="186E29CB"/>
    <w:rsid w:val="188D75FC"/>
    <w:rsid w:val="18BD7EDC"/>
    <w:rsid w:val="18E15979"/>
    <w:rsid w:val="18ED44F8"/>
    <w:rsid w:val="197267B0"/>
    <w:rsid w:val="19AA66B3"/>
    <w:rsid w:val="1A277D03"/>
    <w:rsid w:val="1A2E0D57"/>
    <w:rsid w:val="1A9B0880"/>
    <w:rsid w:val="1ACE63D1"/>
    <w:rsid w:val="1AEC7C16"/>
    <w:rsid w:val="1B0E12FB"/>
    <w:rsid w:val="1B415B07"/>
    <w:rsid w:val="1B662AAD"/>
    <w:rsid w:val="1B804FC2"/>
    <w:rsid w:val="1C8036FB"/>
    <w:rsid w:val="1CB810E7"/>
    <w:rsid w:val="1D103D8F"/>
    <w:rsid w:val="1DAA14A8"/>
    <w:rsid w:val="1E185BE6"/>
    <w:rsid w:val="1E636E30"/>
    <w:rsid w:val="1EC94B5F"/>
    <w:rsid w:val="1EF65C58"/>
    <w:rsid w:val="1F10520A"/>
    <w:rsid w:val="20382D77"/>
    <w:rsid w:val="206F719F"/>
    <w:rsid w:val="20847C5E"/>
    <w:rsid w:val="21133619"/>
    <w:rsid w:val="21881B1F"/>
    <w:rsid w:val="22313F70"/>
    <w:rsid w:val="22EF25C4"/>
    <w:rsid w:val="23496F3C"/>
    <w:rsid w:val="23657FC8"/>
    <w:rsid w:val="23714B6D"/>
    <w:rsid w:val="23B048EB"/>
    <w:rsid w:val="23ED78C8"/>
    <w:rsid w:val="242344FF"/>
    <w:rsid w:val="24B2537B"/>
    <w:rsid w:val="258E50DA"/>
    <w:rsid w:val="26040EF9"/>
    <w:rsid w:val="262241EA"/>
    <w:rsid w:val="26705CF5"/>
    <w:rsid w:val="26797B39"/>
    <w:rsid w:val="267A1B43"/>
    <w:rsid w:val="267D4CC7"/>
    <w:rsid w:val="26FE003E"/>
    <w:rsid w:val="271218FB"/>
    <w:rsid w:val="27155A2B"/>
    <w:rsid w:val="27C70430"/>
    <w:rsid w:val="27E70AD2"/>
    <w:rsid w:val="283D66C1"/>
    <w:rsid w:val="28927A2A"/>
    <w:rsid w:val="28B135BA"/>
    <w:rsid w:val="28C332ED"/>
    <w:rsid w:val="292F44DF"/>
    <w:rsid w:val="29E51041"/>
    <w:rsid w:val="2A1B43AD"/>
    <w:rsid w:val="2A391AB9"/>
    <w:rsid w:val="2AAA4765"/>
    <w:rsid w:val="2AFC6642"/>
    <w:rsid w:val="2B083239"/>
    <w:rsid w:val="2BB66F76"/>
    <w:rsid w:val="2C414C55"/>
    <w:rsid w:val="2CE90E48"/>
    <w:rsid w:val="2E385BE3"/>
    <w:rsid w:val="2E690493"/>
    <w:rsid w:val="2ED40002"/>
    <w:rsid w:val="2EEF14B5"/>
    <w:rsid w:val="2F133B3A"/>
    <w:rsid w:val="2F8D01B1"/>
    <w:rsid w:val="2F8F3575"/>
    <w:rsid w:val="2FAA2B11"/>
    <w:rsid w:val="2FBE648A"/>
    <w:rsid w:val="3086532C"/>
    <w:rsid w:val="30C3032E"/>
    <w:rsid w:val="31232B7B"/>
    <w:rsid w:val="31854BA7"/>
    <w:rsid w:val="31CD5297"/>
    <w:rsid w:val="32314D46"/>
    <w:rsid w:val="32CD2A10"/>
    <w:rsid w:val="32F83B93"/>
    <w:rsid w:val="33355D66"/>
    <w:rsid w:val="337D7173"/>
    <w:rsid w:val="33E228BB"/>
    <w:rsid w:val="33F214F0"/>
    <w:rsid w:val="33F728D0"/>
    <w:rsid w:val="344572AC"/>
    <w:rsid w:val="34733E19"/>
    <w:rsid w:val="34F76A97"/>
    <w:rsid w:val="352B6A18"/>
    <w:rsid w:val="354F46D2"/>
    <w:rsid w:val="357F234A"/>
    <w:rsid w:val="358E5B04"/>
    <w:rsid w:val="3598340C"/>
    <w:rsid w:val="36653A4C"/>
    <w:rsid w:val="366A2FFA"/>
    <w:rsid w:val="367221BD"/>
    <w:rsid w:val="36BF3346"/>
    <w:rsid w:val="372E2279"/>
    <w:rsid w:val="3736112E"/>
    <w:rsid w:val="375D13AD"/>
    <w:rsid w:val="376D0FF4"/>
    <w:rsid w:val="37EC09B6"/>
    <w:rsid w:val="37FC73E0"/>
    <w:rsid w:val="38863750"/>
    <w:rsid w:val="38E173A8"/>
    <w:rsid w:val="392B593F"/>
    <w:rsid w:val="39C26CA9"/>
    <w:rsid w:val="3AE0737A"/>
    <w:rsid w:val="3AE3337B"/>
    <w:rsid w:val="3BA26D92"/>
    <w:rsid w:val="3BB949C2"/>
    <w:rsid w:val="3BBB7E54"/>
    <w:rsid w:val="3BD11425"/>
    <w:rsid w:val="3C8B5A78"/>
    <w:rsid w:val="3DC660E6"/>
    <w:rsid w:val="3DEE62BF"/>
    <w:rsid w:val="3E0855C8"/>
    <w:rsid w:val="3F1907ED"/>
    <w:rsid w:val="3F44687F"/>
    <w:rsid w:val="3FE211F2"/>
    <w:rsid w:val="41210754"/>
    <w:rsid w:val="417116E0"/>
    <w:rsid w:val="41D81A3D"/>
    <w:rsid w:val="41F52311"/>
    <w:rsid w:val="428611BC"/>
    <w:rsid w:val="42B8601F"/>
    <w:rsid w:val="43430E5B"/>
    <w:rsid w:val="44B46EDE"/>
    <w:rsid w:val="45C64F3E"/>
    <w:rsid w:val="46192241"/>
    <w:rsid w:val="46D97434"/>
    <w:rsid w:val="474A6C5C"/>
    <w:rsid w:val="47D76D09"/>
    <w:rsid w:val="481334F1"/>
    <w:rsid w:val="486359A1"/>
    <w:rsid w:val="4868298D"/>
    <w:rsid w:val="488D7A30"/>
    <w:rsid w:val="49131C70"/>
    <w:rsid w:val="4A0F7CE8"/>
    <w:rsid w:val="4B022328"/>
    <w:rsid w:val="4BB40B47"/>
    <w:rsid w:val="4BC700C4"/>
    <w:rsid w:val="4C0513A3"/>
    <w:rsid w:val="4C854292"/>
    <w:rsid w:val="4CBC34BA"/>
    <w:rsid w:val="4CC052CA"/>
    <w:rsid w:val="4CC36B68"/>
    <w:rsid w:val="4CEC60BF"/>
    <w:rsid w:val="4CFA6BE0"/>
    <w:rsid w:val="4D2C3A5C"/>
    <w:rsid w:val="4D4128AF"/>
    <w:rsid w:val="4D934966"/>
    <w:rsid w:val="4D990CF9"/>
    <w:rsid w:val="4E683099"/>
    <w:rsid w:val="4F07753E"/>
    <w:rsid w:val="4F363F69"/>
    <w:rsid w:val="4F5015D8"/>
    <w:rsid w:val="4F9317BB"/>
    <w:rsid w:val="4FBA7845"/>
    <w:rsid w:val="4FF45606"/>
    <w:rsid w:val="50CA4969"/>
    <w:rsid w:val="5255402C"/>
    <w:rsid w:val="533662E6"/>
    <w:rsid w:val="53694469"/>
    <w:rsid w:val="54C72DC0"/>
    <w:rsid w:val="55241A43"/>
    <w:rsid w:val="55735655"/>
    <w:rsid w:val="55796529"/>
    <w:rsid w:val="55FB302C"/>
    <w:rsid w:val="56E66E44"/>
    <w:rsid w:val="56FC4A0F"/>
    <w:rsid w:val="56FC7846"/>
    <w:rsid w:val="570103EA"/>
    <w:rsid w:val="57E12556"/>
    <w:rsid w:val="57F0757F"/>
    <w:rsid w:val="58724472"/>
    <w:rsid w:val="58873C03"/>
    <w:rsid w:val="58E467E4"/>
    <w:rsid w:val="592D1F39"/>
    <w:rsid w:val="5A2A6479"/>
    <w:rsid w:val="5A902780"/>
    <w:rsid w:val="5ACB7D97"/>
    <w:rsid w:val="5ADE12BE"/>
    <w:rsid w:val="5C8A31FF"/>
    <w:rsid w:val="5CDD3C76"/>
    <w:rsid w:val="5D3E2967"/>
    <w:rsid w:val="5DEE7EC1"/>
    <w:rsid w:val="5E443F11"/>
    <w:rsid w:val="5E4A533B"/>
    <w:rsid w:val="5EAF78C6"/>
    <w:rsid w:val="5EBA1BB3"/>
    <w:rsid w:val="5F4B4EC7"/>
    <w:rsid w:val="5F9578D1"/>
    <w:rsid w:val="5FBF0715"/>
    <w:rsid w:val="605A0BBD"/>
    <w:rsid w:val="61140952"/>
    <w:rsid w:val="614B2CC7"/>
    <w:rsid w:val="61505D6B"/>
    <w:rsid w:val="61AD5B49"/>
    <w:rsid w:val="61B009A5"/>
    <w:rsid w:val="6246581A"/>
    <w:rsid w:val="632D70E9"/>
    <w:rsid w:val="636A47CF"/>
    <w:rsid w:val="63744A2C"/>
    <w:rsid w:val="646C206E"/>
    <w:rsid w:val="647672DC"/>
    <w:rsid w:val="648275DD"/>
    <w:rsid w:val="64A86918"/>
    <w:rsid w:val="66482160"/>
    <w:rsid w:val="66507267"/>
    <w:rsid w:val="669205AB"/>
    <w:rsid w:val="66A616A6"/>
    <w:rsid w:val="66CC2D91"/>
    <w:rsid w:val="670F2C7E"/>
    <w:rsid w:val="678E0047"/>
    <w:rsid w:val="67AC2BC3"/>
    <w:rsid w:val="684738F0"/>
    <w:rsid w:val="69C05D8A"/>
    <w:rsid w:val="69FF7669"/>
    <w:rsid w:val="6A2B3435"/>
    <w:rsid w:val="6AB45BFA"/>
    <w:rsid w:val="6B674B73"/>
    <w:rsid w:val="6C3125E4"/>
    <w:rsid w:val="6CB5686E"/>
    <w:rsid w:val="6CE13383"/>
    <w:rsid w:val="6D677D53"/>
    <w:rsid w:val="6D81609C"/>
    <w:rsid w:val="6D8C5028"/>
    <w:rsid w:val="6E0034AE"/>
    <w:rsid w:val="6E162B44"/>
    <w:rsid w:val="6E740E0F"/>
    <w:rsid w:val="6E961579"/>
    <w:rsid w:val="6EED1AF7"/>
    <w:rsid w:val="6F6B6EC0"/>
    <w:rsid w:val="6F742218"/>
    <w:rsid w:val="6F993A2D"/>
    <w:rsid w:val="6FF70753"/>
    <w:rsid w:val="700D51F5"/>
    <w:rsid w:val="70422316"/>
    <w:rsid w:val="708055A9"/>
    <w:rsid w:val="7081017C"/>
    <w:rsid w:val="71706A0F"/>
    <w:rsid w:val="71E82FB2"/>
    <w:rsid w:val="727F20FF"/>
    <w:rsid w:val="72824C4C"/>
    <w:rsid w:val="728A7C15"/>
    <w:rsid w:val="72A51424"/>
    <w:rsid w:val="73124222"/>
    <w:rsid w:val="731510FE"/>
    <w:rsid w:val="74545FE9"/>
    <w:rsid w:val="74F33BDF"/>
    <w:rsid w:val="7519017E"/>
    <w:rsid w:val="75435570"/>
    <w:rsid w:val="75656558"/>
    <w:rsid w:val="75D51537"/>
    <w:rsid w:val="764A5A81"/>
    <w:rsid w:val="76F33765"/>
    <w:rsid w:val="770551D1"/>
    <w:rsid w:val="774C5829"/>
    <w:rsid w:val="77657938"/>
    <w:rsid w:val="777D1373"/>
    <w:rsid w:val="785859A5"/>
    <w:rsid w:val="78624B3B"/>
    <w:rsid w:val="78762C6D"/>
    <w:rsid w:val="793D4508"/>
    <w:rsid w:val="79636B09"/>
    <w:rsid w:val="79826796"/>
    <w:rsid w:val="7A8D0632"/>
    <w:rsid w:val="7AAC18BC"/>
    <w:rsid w:val="7B13652F"/>
    <w:rsid w:val="7B2C7E4B"/>
    <w:rsid w:val="7B66357A"/>
    <w:rsid w:val="7B75031F"/>
    <w:rsid w:val="7BC97448"/>
    <w:rsid w:val="7BCE59DB"/>
    <w:rsid w:val="7BD209F2"/>
    <w:rsid w:val="7BDA1655"/>
    <w:rsid w:val="7C7B135B"/>
    <w:rsid w:val="7CE73493"/>
    <w:rsid w:val="7D133397"/>
    <w:rsid w:val="7D264D94"/>
    <w:rsid w:val="7DA423A4"/>
    <w:rsid w:val="7DE61F5B"/>
    <w:rsid w:val="7E1846B6"/>
    <w:rsid w:val="7E33090F"/>
    <w:rsid w:val="7E4C432B"/>
    <w:rsid w:val="7E6A2956"/>
    <w:rsid w:val="7ED22AB7"/>
    <w:rsid w:val="7EE6106F"/>
    <w:rsid w:val="7F175946"/>
    <w:rsid w:val="7F1906E6"/>
    <w:rsid w:val="7F985AAF"/>
    <w:rsid w:val="7FE662BA"/>
    <w:rsid w:val="7FFC5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qFormat/>
    <w:uiPriority w:val="0"/>
    <w:rPr>
      <w:color w:val="800080"/>
      <w:u w:val="single"/>
    </w:rPr>
  </w:style>
  <w:style w:type="character" w:styleId="9">
    <w:name w:val="Emphasis"/>
    <w:basedOn w:val="6"/>
    <w:qFormat/>
    <w:uiPriority w:val="0"/>
    <w:rPr>
      <w:i/>
    </w:rPr>
  </w:style>
  <w:style w:type="character" w:styleId="10">
    <w:name w:val="Hyperlink"/>
    <w:basedOn w:val="6"/>
    <w:qFormat/>
    <w:uiPriority w:val="0"/>
    <w:rPr>
      <w:color w:val="0000FF"/>
      <w:u w:val="single"/>
    </w:rPr>
  </w:style>
  <w:style w:type="character" w:customStyle="1" w:styleId="11">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8</Pages>
  <Words>2974</Words>
  <Characters>3219</Characters>
  <Lines>0</Lines>
  <Paragraphs>0</Paragraphs>
  <TotalTime>143</TotalTime>
  <ScaleCrop>false</ScaleCrop>
  <LinksUpToDate>false</LinksUpToDate>
  <CharactersWithSpaces>3226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2024-08-27T07:15:00Z</dcterms:created>
  <dc:creator>Administrator</dc:creator>
  <cp:lastModifiedBy>Administrator</cp:lastModifiedBy>
  <dcterms:modified xsi:type="dcterms:W3CDTF">2024-09-20T00:43:11Z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B26759338789401AA1DB1A1ADB521DBC_13</vt:lpwstr>
  </property>
</Properties>
</file>