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73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天翼云电脑政企版发展思考与建议</w:t>
      </w:r>
    </w:p>
    <w:p>
      <w:pPr>
        <w:ind w:left="605"/>
        <w:spacing w:before="333" w:line="204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孙恺泽  徐静   肖胜</w:t>
      </w:r>
      <w:r>
        <w:rPr>
          <w:rFonts w:ascii="STKaiti" w:hAnsi="STKaiti" w:eastAsia="STKaiti" w:cs="STKaiti"/>
          <w:sz w:val="30"/>
          <w:szCs w:val="30"/>
          <w:spacing w:val="1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周蔚文</w:t>
      </w:r>
      <w:r>
        <w:rPr>
          <w:rFonts w:ascii="STKaiti" w:hAnsi="STKaiti" w:eastAsia="STKaiti" w:cs="STKaiti"/>
          <w:sz w:val="30"/>
          <w:szCs w:val="30"/>
          <w:spacing w:val="1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刘敬东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何出尘   王国伟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ind w:left="42" w:firstLine="592"/>
        <w:spacing w:before="98" w:line="258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"/>
        </w:rPr>
        <w:t>天翼云电脑政企版作为中国电信面向政企客户推出的“四融”</w:t>
      </w:r>
      <w:r>
        <w:rPr>
          <w:rFonts w:ascii="FangSong" w:hAnsi="FangSong" w:eastAsia="FangSong" w:cs="FangSong"/>
          <w:sz w:val="30"/>
          <w:szCs w:val="30"/>
          <w:spacing w:val="-5"/>
        </w:rPr>
        <w:t>主要产品之一，是中国电信培育政企业务增长点、推动产数规模</w:t>
      </w:r>
    </w:p>
    <w:p>
      <w:pPr>
        <w:ind w:left="34" w:right="450" w:firstLine="1"/>
        <w:spacing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化发展的重要探索。基于对上海、浙江、湖北</w:t>
      </w:r>
      <w:r>
        <w:rPr>
          <w:rFonts w:ascii="FangSong" w:hAnsi="FangSong" w:eastAsia="FangSong" w:cs="FangSong"/>
          <w:sz w:val="30"/>
          <w:szCs w:val="30"/>
          <w:spacing w:val="-6"/>
        </w:rPr>
        <w:t>、广东等</w:t>
      </w:r>
      <w:r>
        <w:rPr>
          <w:rFonts w:ascii="FangSong" w:hAnsi="FangSong" w:eastAsia="FangSong" w:cs="FangSong"/>
          <w:sz w:val="30"/>
          <w:szCs w:val="30"/>
          <w:spacing w:val="-6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4</w:t>
      </w:r>
      <w:r>
        <w:rPr>
          <w:rFonts w:ascii="FangSong" w:hAnsi="FangSong" w:eastAsia="FangSong" w:cs="FangSong"/>
          <w:sz w:val="30"/>
          <w:szCs w:val="30"/>
          <w:spacing w:val="-5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省多名</w:t>
      </w:r>
      <w:r>
        <w:rPr>
          <w:rFonts w:ascii="FangSong" w:hAnsi="FangSong" w:eastAsia="FangSong" w:cs="FangSong"/>
          <w:sz w:val="30"/>
          <w:szCs w:val="30"/>
          <w:spacing w:val="-11"/>
        </w:rPr>
        <w:t>政企客户、产品主管、客户经理的调研发现，</w:t>
      </w:r>
      <w:r>
        <w:rPr>
          <w:rFonts w:ascii="FangSong" w:hAnsi="FangSong" w:eastAsia="FangSong" w:cs="FangSong"/>
          <w:sz w:val="30"/>
          <w:szCs w:val="30"/>
          <w:spacing w:val="4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1"/>
        </w:rPr>
        <w:t>当前阶段云电脑政</w:t>
      </w:r>
      <w:r>
        <w:rPr>
          <w:rFonts w:ascii="FangSong" w:hAnsi="FangSong" w:eastAsia="FangSong" w:cs="FangSong"/>
          <w:sz w:val="30"/>
          <w:szCs w:val="30"/>
          <w:spacing w:val="-4"/>
        </w:rPr>
        <w:t>企版总体发展不及预期、用户质态不佳、资源利用效率低</w:t>
      </w:r>
      <w:r>
        <w:rPr>
          <w:rFonts w:ascii="FangSong" w:hAnsi="FangSong" w:eastAsia="FangSong" w:cs="FangSong"/>
          <w:sz w:val="30"/>
          <w:szCs w:val="30"/>
          <w:spacing w:val="-5"/>
        </w:rPr>
        <w:t>下、用</w:t>
      </w:r>
      <w:r>
        <w:rPr>
          <w:rFonts w:ascii="FangSong" w:hAnsi="FangSong" w:eastAsia="FangSong" w:cs="FangSong"/>
          <w:sz w:val="30"/>
          <w:szCs w:val="30"/>
          <w:spacing w:val="-9"/>
        </w:rPr>
        <w:t>户存续压力明显等问题突出。本文针对这些问题进行了分析，</w:t>
      </w:r>
      <w:r>
        <w:rPr>
          <w:rFonts w:ascii="FangSong" w:hAnsi="FangSong" w:eastAsia="FangSong" w:cs="FangSong"/>
          <w:sz w:val="30"/>
          <w:szCs w:val="30"/>
          <w:spacing w:val="-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并</w:t>
      </w:r>
      <w:r>
        <w:rPr>
          <w:rFonts w:ascii="FangSong" w:hAnsi="FangSong" w:eastAsia="FangSong" w:cs="FangSong"/>
          <w:sz w:val="30"/>
          <w:szCs w:val="30"/>
          <w:spacing w:val="-4"/>
        </w:rPr>
        <w:t>提出发展建议，供领导参考决策。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一、天翼云电脑政企版发展现状分析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．总体发展不及预期</w:t>
      </w:r>
    </w:p>
    <w:p>
      <w:pPr>
        <w:ind w:left="31"/>
        <w:spacing w:before="304" w:line="216" w:lineRule="auto"/>
        <w:outlineLvl w:val="2"/>
        <w:rPr>
          <w:rFonts w:ascii="FangSong" w:hAnsi="FangSong" w:eastAsia="FangSong" w:cs="FangSong"/>
          <w:sz w:val="24"/>
          <w:szCs w:val="24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年天翼云电脑政企版发展情况</w:t>
      </w:r>
      <w:r>
        <w:rPr>
          <w:rFonts w:ascii="FangSong" w:hAnsi="FangSong" w:eastAsia="FangSong" w:cs="FangSong"/>
          <w:sz w:val="24"/>
          <w:szCs w:val="24"/>
          <w:spacing w:val="-2"/>
        </w:rPr>
        <w:t>（数据来源：集团市场部）</w:t>
      </w:r>
    </w:p>
    <w:p>
      <w:pPr>
        <w:spacing w:line="142" w:lineRule="exact"/>
        <w:rPr/>
      </w:pPr>
      <w:r/>
    </w:p>
    <w:tbl>
      <w:tblPr>
        <w:tblStyle w:val="TableNormal"/>
        <w:tblW w:w="7513" w:type="dxa"/>
        <w:tblInd w:w="4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989"/>
        <w:gridCol w:w="1559"/>
        <w:gridCol w:w="1693"/>
        <w:gridCol w:w="2272"/>
      </w:tblGrid>
      <w:tr>
        <w:trPr>
          <w:trHeight w:val="347" w:hRule="atLeast"/>
        </w:trPr>
        <w:tc>
          <w:tcPr>
            <w:tcW w:w="1989" w:type="dxa"/>
            <w:vAlign w:val="top"/>
          </w:tcPr>
          <w:p>
            <w:pPr>
              <w:ind w:left="453"/>
              <w:spacing w:before="35" w:line="19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累计净增</w:t>
            </w:r>
          </w:p>
        </w:tc>
        <w:tc>
          <w:tcPr>
            <w:tcW w:w="1559" w:type="dxa"/>
            <w:vAlign w:val="top"/>
          </w:tcPr>
          <w:p>
            <w:pPr>
              <w:ind w:left="513"/>
              <w:spacing w:before="35" w:line="19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5"/>
              </w:rPr>
              <w:t>到达</w:t>
            </w:r>
          </w:p>
        </w:tc>
        <w:tc>
          <w:tcPr>
            <w:tcW w:w="1693" w:type="dxa"/>
            <w:vAlign w:val="top"/>
          </w:tcPr>
          <w:p>
            <w:pPr>
              <w:ind w:left="300"/>
              <w:spacing w:before="35" w:line="19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3"/>
              </w:rPr>
              <w:t>去年同期</w:t>
            </w:r>
          </w:p>
        </w:tc>
        <w:tc>
          <w:tcPr>
            <w:tcW w:w="2272" w:type="dxa"/>
            <w:vAlign w:val="top"/>
          </w:tcPr>
          <w:p>
            <w:pPr>
              <w:ind w:left="316"/>
              <w:spacing w:before="35" w:line="199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4"/>
              </w:rPr>
              <w:t>累计净增同比</w:t>
            </w:r>
          </w:p>
        </w:tc>
      </w:tr>
      <w:tr>
        <w:trPr>
          <w:trHeight w:val="348" w:hRule="atLeast"/>
        </w:trPr>
        <w:tc>
          <w:tcPr>
            <w:tcW w:w="1989" w:type="dxa"/>
            <w:vAlign w:val="top"/>
          </w:tcPr>
          <w:p>
            <w:pPr>
              <w:ind w:left="583"/>
              <w:spacing w:before="79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2"/>
              </w:rPr>
              <w:t>699039</w:t>
            </w:r>
          </w:p>
        </w:tc>
        <w:tc>
          <w:tcPr>
            <w:tcW w:w="1559" w:type="dxa"/>
            <w:vAlign w:val="top"/>
          </w:tcPr>
          <w:p>
            <w:pPr>
              <w:ind w:left="319"/>
              <w:spacing w:before="79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5"/>
              </w:rPr>
              <w:t>1391447</w:t>
            </w:r>
          </w:p>
        </w:tc>
        <w:tc>
          <w:tcPr>
            <w:tcW w:w="1693" w:type="dxa"/>
            <w:vAlign w:val="top"/>
          </w:tcPr>
          <w:p>
            <w:pPr>
              <w:ind w:left="437"/>
              <w:spacing w:before="79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3"/>
              </w:rPr>
              <w:t>548821</w:t>
            </w:r>
          </w:p>
        </w:tc>
        <w:tc>
          <w:tcPr>
            <w:tcW w:w="2272" w:type="dxa"/>
            <w:vAlign w:val="top"/>
          </w:tcPr>
          <w:p>
            <w:pPr>
              <w:ind w:left="883"/>
              <w:spacing w:before="79" w:line="193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spacing w:val="-1"/>
              </w:rPr>
              <w:t>27%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26" w:right="215" w:firstLine="599"/>
        <w:spacing w:before="99" w:line="259" w:lineRule="auto"/>
        <w:jc w:val="both"/>
        <w:rPr/>
      </w:pPr>
      <w:r>
        <w:rPr>
          <w:spacing w:val="-6"/>
        </w:rPr>
        <w:t>集团市场部数据显示，截止到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12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月，天翼云电脑在</w:t>
      </w:r>
      <w:r>
        <w:rPr>
          <w:spacing w:val="-5"/>
        </w:rPr>
        <w:t>网用户共计 </w:t>
      </w:r>
      <w:r>
        <w:rPr>
          <w:rFonts w:ascii="Times New Roman" w:hAnsi="Times New Roman" w:eastAsia="Times New Roman" w:cs="Times New Roman"/>
          <w:spacing w:val="-5"/>
        </w:rPr>
        <w:t>194.8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5"/>
        </w:rPr>
        <w:t>万，其中政企版 </w:t>
      </w:r>
      <w:r>
        <w:rPr>
          <w:rFonts w:ascii="Times New Roman" w:hAnsi="Times New Roman" w:eastAsia="Times New Roman" w:cs="Times New Roman"/>
          <w:spacing w:val="-5"/>
        </w:rPr>
        <w:t>13</w:t>
      </w:r>
      <w:r>
        <w:rPr>
          <w:rFonts w:ascii="Times New Roman" w:hAnsi="Times New Roman" w:eastAsia="Times New Roman" w:cs="Times New Roman"/>
          <w:spacing w:val="-6"/>
        </w:rPr>
        <w:t>9.1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6"/>
        </w:rPr>
        <w:t>万，占比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71.4%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6"/>
        </w:rPr>
        <w:t>。</w:t>
      </w:r>
      <w:r>
        <w:rPr>
          <w:rFonts w:ascii="Times New Roman" w:hAnsi="Times New Roman" w:eastAsia="Times New Roman" w:cs="Times New Roman"/>
          <w:spacing w:val="-6"/>
        </w:rPr>
        <w:t>2022</w:t>
      </w:r>
      <w:r>
        <w:rPr>
          <w:spacing w:val="-3"/>
        </w:rPr>
        <w:t>年全年政企版累计净增 </w:t>
      </w:r>
      <w:r>
        <w:rPr>
          <w:rFonts w:ascii="Times New Roman" w:hAnsi="Times New Roman" w:eastAsia="Times New Roman" w:cs="Times New Roman"/>
          <w:spacing w:val="-3"/>
        </w:rPr>
        <w:t>69.9</w:t>
      </w:r>
      <w:r>
        <w:rPr>
          <w:rFonts w:ascii="Times New Roman" w:hAnsi="Times New Roman" w:eastAsia="Times New Roman" w:cs="Times New Roman"/>
          <w:spacing w:val="70"/>
        </w:rPr>
        <w:t xml:space="preserve"> </w:t>
      </w:r>
      <w:r>
        <w:rPr>
          <w:spacing w:val="-3"/>
        </w:rPr>
        <w:t>万，同比增长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27%</w:t>
      </w:r>
      <w:r>
        <w:rPr>
          <w:spacing w:val="-3"/>
        </w:rPr>
        <w:t>，但距离全年发</w:t>
      </w:r>
      <w:r>
        <w:rPr>
          <w:spacing w:val="-16"/>
        </w:rPr>
        <w:t>展目标值差距较大，用户规模增长目标完成</w:t>
      </w:r>
      <w:r>
        <w:rPr>
          <w:spacing w:val="-17"/>
        </w:rPr>
        <w:t>率（含公众版）仅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7"/>
        </w:rPr>
        <w:t>36%</w:t>
      </w:r>
      <w:r>
        <w:rPr>
          <w:spacing w:val="-17"/>
        </w:rPr>
        <w:t>，</w:t>
      </w:r>
      <w:r>
        <w:rPr>
          <w:spacing w:val="-11"/>
        </w:rPr>
        <w:t>全年目标完成率仅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4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11"/>
        </w:rPr>
        <w:t>省（湖北、广西、青海、</w:t>
      </w:r>
      <w:r>
        <w:rPr>
          <w:spacing w:val="-12"/>
        </w:rPr>
        <w:t>贵州） 达标，</w:t>
      </w:r>
      <w:r>
        <w:rPr>
          <w:rFonts w:ascii="Times New Roman" w:hAnsi="Times New Roman" w:eastAsia="Times New Roman" w:cs="Times New Roman"/>
          <w:spacing w:val="-12"/>
        </w:rPr>
        <w:t>11 </w:t>
      </w:r>
      <w:r>
        <w:rPr>
          <w:spacing w:val="-12"/>
        </w:rPr>
        <w:t>个</w:t>
      </w:r>
      <w:r>
        <w:rPr>
          <w:spacing w:val="-2"/>
        </w:rPr>
        <w:t>南方百亿大省中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 </w:t>
      </w:r>
      <w:r>
        <w:rPr>
          <w:spacing w:val="-2"/>
        </w:rPr>
        <w:t>省年度完成率低于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50%</w:t>
      </w:r>
      <w:r>
        <w:rPr>
          <w:spacing w:val="-2"/>
        </w:rPr>
        <w:t>。</w:t>
      </w:r>
    </w:p>
    <w:p>
      <w:pPr>
        <w:pStyle w:val="BodyText"/>
        <w:ind w:left="624"/>
        <w:spacing w:before="275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．用户质态有待提升</w:t>
      </w:r>
    </w:p>
    <w:p>
      <w:pPr>
        <w:pStyle w:val="BodyText"/>
        <w:ind w:left="26" w:right="450" w:firstLine="605"/>
        <w:spacing w:before="316" w:line="258" w:lineRule="auto"/>
        <w:jc w:val="both"/>
        <w:rPr/>
      </w:pPr>
      <w:r>
        <w:rPr>
          <w:spacing w:val="-3"/>
        </w:rPr>
        <w:t>天翼云电脑政企版用户质态较差，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3"/>
        </w:rPr>
        <w:t>年激活率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55.79%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3"/>
        </w:rPr>
        <w:t>，</w:t>
      </w:r>
      <w:r>
        <w:rPr>
          <w:spacing w:val="-6"/>
        </w:rPr>
        <w:t>登陆率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37.59%</w:t>
      </w:r>
      <w:r>
        <w:rPr>
          <w:spacing w:val="-6"/>
        </w:rPr>
        <w:t>，月使用时长超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6"/>
        </w:rPr>
        <w:t>小时占比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6.9%</w:t>
      </w:r>
      <w:r>
        <w:rPr>
          <w:spacing w:val="-6"/>
        </w:rPr>
        <w:t>；</w:t>
      </w:r>
      <w:r>
        <w:rPr>
          <w:rFonts w:ascii="Times New Roman" w:hAnsi="Times New Roman" w:eastAsia="Times New Roman" w:cs="Times New Roman"/>
          <w:spacing w:val="-6"/>
        </w:rPr>
        <w:t>2023Q1 </w:t>
      </w:r>
      <w:r>
        <w:rPr>
          <w:spacing w:val="-6"/>
        </w:rPr>
        <w:t>激活率</w:t>
      </w:r>
      <w:r>
        <w:rPr>
          <w:rFonts w:ascii="Times New Roman" w:hAnsi="Times New Roman" w:eastAsia="Times New Roman" w:cs="Times New Roman"/>
          <w:spacing w:val="-4"/>
        </w:rPr>
        <w:t>56.12%</w:t>
      </w:r>
      <w:r>
        <w:rPr>
          <w:spacing w:val="-4"/>
        </w:rPr>
        <w:t>，月使用时长超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4"/>
        </w:rPr>
        <w:t>小时占比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8.15%</w:t>
      </w:r>
      <w:r>
        <w:rPr>
          <w:spacing w:val="-4"/>
        </w:rPr>
        <w:t>。低用户质态使云</w:t>
      </w:r>
      <w:r>
        <w:rPr>
          <w:spacing w:val="-5"/>
        </w:rPr>
        <w:t>电脑</w:t>
      </w:r>
      <w:r>
        <w:rPr>
          <w:spacing w:val="-4"/>
        </w:rPr>
        <w:t>占用的云资源空置浪费，挤占了大量原本用于云主机、数据库等</w:t>
      </w:r>
      <w:r>
        <w:rPr>
          <w:spacing w:val="-2"/>
        </w:rPr>
        <w:t>服务器资源，导致其他业务有需求的时候无法顺</w:t>
      </w:r>
      <w:r>
        <w:rPr>
          <w:spacing w:val="-3"/>
        </w:rPr>
        <w:t>利开展。</w:t>
      </w:r>
    </w:p>
    <w:p>
      <w:pPr>
        <w:spacing w:line="258" w:lineRule="auto"/>
        <w:sectPr>
          <w:pgSz w:w="11907" w:h="16839"/>
          <w:pgMar w:top="1431" w:right="1347" w:bottom="0" w:left="1785" w:header="0" w:footer="0" w:gutter="0"/>
        </w:sectPr>
        <w:rPr/>
      </w:pPr>
    </w:p>
    <w:p>
      <w:pPr>
        <w:ind w:left="571"/>
        <w:spacing w:before="70" w:line="216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年天翼云电脑政企版各省用户质态发展情况</w:t>
      </w:r>
    </w:p>
    <w:p>
      <w:pPr>
        <w:spacing w:line="144" w:lineRule="exact"/>
        <w:rPr/>
      </w:pPr>
      <w:r/>
    </w:p>
    <w:tbl>
      <w:tblPr>
        <w:tblStyle w:val="TableNormal"/>
        <w:tblW w:w="8223" w:type="dxa"/>
        <w:tblInd w:w="5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76"/>
        <w:gridCol w:w="1274"/>
        <w:gridCol w:w="1842"/>
        <w:gridCol w:w="1842"/>
        <w:gridCol w:w="1989"/>
      </w:tblGrid>
      <w:tr>
        <w:trPr>
          <w:trHeight w:val="347" w:hRule="atLeast"/>
        </w:trPr>
        <w:tc>
          <w:tcPr>
            <w:tcW w:w="1276" w:type="dxa"/>
            <w:vAlign w:val="top"/>
          </w:tcPr>
          <w:p>
            <w:pPr>
              <w:ind w:left="286"/>
              <w:spacing w:before="69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2"/>
              </w:rPr>
              <w:t>激活率</w:t>
            </w:r>
          </w:p>
        </w:tc>
        <w:tc>
          <w:tcPr>
            <w:tcW w:w="1274" w:type="dxa"/>
            <w:vAlign w:val="top"/>
          </w:tcPr>
          <w:p>
            <w:pPr>
              <w:ind w:left="288"/>
              <w:spacing w:before="69" w:line="206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-4"/>
              </w:rPr>
              <w:t>登录率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233"/>
              <w:spacing w:before="69" w:line="206" w:lineRule="auto"/>
              <w:rPr>
                <w:rFonts w:ascii="SimSun" w:hAnsi="SimSun" w:eastAsia="SimSun" w:cs="SimSun"/>
              </w:rPr>
            </w:pPr>
            <w:r>
              <w:rPr>
                <w:spacing w:val="-3"/>
              </w:rPr>
              <w:t>0~1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3"/>
              </w:rPr>
              <w:t>小时占比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254"/>
              <w:spacing w:before="69" w:line="206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1~5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小时占比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193"/>
              <w:spacing w:before="69" w:line="206" w:lineRule="auto"/>
              <w:rPr>
                <w:rFonts w:ascii="SimSun" w:hAnsi="SimSun" w:eastAsia="SimSun" w:cs="SimSun"/>
              </w:rPr>
            </w:pPr>
            <w:r>
              <w:rPr>
                <w:spacing w:val="-4"/>
              </w:rPr>
              <w:t>5</w:t>
            </w:r>
            <w:r>
              <w:rPr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</w:rPr>
              <w:t>小时以上占比</w:t>
            </w:r>
          </w:p>
        </w:tc>
      </w:tr>
      <w:tr>
        <w:trPr>
          <w:trHeight w:val="348" w:hRule="atLeast"/>
        </w:trPr>
        <w:tc>
          <w:tcPr>
            <w:tcW w:w="1276" w:type="dxa"/>
            <w:vAlign w:val="top"/>
          </w:tcPr>
          <w:p>
            <w:pPr>
              <w:pStyle w:val="TableText"/>
              <w:ind w:left="280"/>
              <w:spacing w:before="108" w:line="200" w:lineRule="auto"/>
              <w:rPr/>
            </w:pPr>
            <w:r>
              <w:rPr>
                <w:spacing w:val="-2"/>
              </w:rPr>
              <w:t>55.79%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274"/>
              <w:spacing w:before="108" w:line="200" w:lineRule="auto"/>
              <w:rPr/>
            </w:pPr>
            <w:r>
              <w:rPr>
                <w:spacing w:val="-2"/>
              </w:rPr>
              <w:t>37.59%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680"/>
              <w:spacing w:before="108" w:line="200" w:lineRule="auto"/>
              <w:rPr/>
            </w:pPr>
            <w:r>
              <w:rPr>
                <w:spacing w:val="-3"/>
              </w:rPr>
              <w:t>3.4%</w:t>
            </w:r>
          </w:p>
        </w:tc>
        <w:tc>
          <w:tcPr>
            <w:tcW w:w="1842" w:type="dxa"/>
            <w:vAlign w:val="top"/>
          </w:tcPr>
          <w:p>
            <w:pPr>
              <w:pStyle w:val="TableText"/>
              <w:ind w:left="640"/>
              <w:spacing w:before="108" w:line="200" w:lineRule="auto"/>
              <w:rPr/>
            </w:pPr>
            <w:r>
              <w:rPr>
                <w:spacing w:val="-6"/>
              </w:rPr>
              <w:t>1.11%</w:t>
            </w:r>
          </w:p>
        </w:tc>
        <w:tc>
          <w:tcPr>
            <w:tcW w:w="1989" w:type="dxa"/>
            <w:vAlign w:val="top"/>
          </w:tcPr>
          <w:p>
            <w:pPr>
              <w:pStyle w:val="TableText"/>
              <w:ind w:left="691"/>
              <w:spacing w:before="108" w:line="200" w:lineRule="auto"/>
              <w:rPr/>
            </w:pPr>
            <w:r>
              <w:rPr>
                <w:spacing w:val="-2"/>
              </w:rPr>
              <w:t>6.93%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．用户存续压力明显</w:t>
      </w:r>
    </w:p>
    <w:p>
      <w:pPr>
        <w:pStyle w:val="BodyText"/>
        <w:ind w:left="27" w:right="230" w:firstLine="604"/>
        <w:spacing w:before="319" w:line="260" w:lineRule="auto"/>
        <w:jc w:val="both"/>
        <w:rPr/>
      </w:pPr>
      <w:r>
        <w:rPr>
          <w:spacing w:val="-4"/>
        </w:rPr>
        <w:t>天翼云电脑政企版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2022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4"/>
        </w:rPr>
        <w:t>年全年新增用户 </w:t>
      </w:r>
      <w:r>
        <w:rPr>
          <w:rFonts w:ascii="Times New Roman" w:hAnsi="Times New Roman" w:eastAsia="Times New Roman" w:cs="Times New Roman"/>
          <w:spacing w:val="-4"/>
        </w:rPr>
        <w:t>104.2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4"/>
        </w:rPr>
        <w:t>万，净增用</w:t>
      </w:r>
      <w:r>
        <w:rPr>
          <w:spacing w:val="-4"/>
        </w:rPr>
        <w:t>户数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69.9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4"/>
        </w:rPr>
        <w:t>万，离网用户数为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34.3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4"/>
        </w:rPr>
        <w:t>万，流失率</w:t>
      </w:r>
      <w:r>
        <w:rPr>
          <w:rFonts w:ascii="Times New Roman" w:hAnsi="Times New Roman" w:eastAsia="Times New Roman" w:cs="Times New Roman"/>
          <w:sz w:val="13"/>
          <w:szCs w:val="13"/>
          <w:spacing w:val="-4"/>
          <w:position w:val="6"/>
        </w:rPr>
        <w:t>1</w:t>
      </w:r>
      <w:r>
        <w:rPr>
          <w:spacing w:val="-4"/>
        </w:rPr>
        <w:t>达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24.7%</w:t>
      </w:r>
      <w:r>
        <w:rPr>
          <w:spacing w:val="-4"/>
        </w:rPr>
        <w:t>，其中 </w:t>
      </w:r>
      <w:r>
        <w:rPr>
          <w:rFonts w:ascii="Times New Roman" w:hAnsi="Times New Roman" w:eastAsia="Times New Roman" w:cs="Times New Roman"/>
          <w:spacing w:val="-4"/>
        </w:rPr>
        <w:t>9</w:t>
      </w:r>
      <w:r>
        <w:rPr>
          <w:spacing w:val="-3"/>
        </w:rPr>
        <w:t>省流失率超过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40%</w:t>
      </w:r>
      <w:r>
        <w:rPr>
          <w:spacing w:val="-3"/>
        </w:rPr>
        <w:t>，用户存续面临较大压力。</w:t>
      </w:r>
    </w:p>
    <w:p>
      <w:pPr>
        <w:ind w:left="871"/>
        <w:spacing w:before="260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3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2022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年天翼云电脑政企版各省</w:t>
      </w:r>
      <w:r>
        <w:rPr>
          <w:rFonts w:ascii="KaiTi" w:hAnsi="KaiTi" w:eastAsia="KaiTi" w:cs="KaiTi"/>
          <w:sz w:val="30"/>
          <w:szCs w:val="30"/>
          <w:spacing w:val="-2"/>
        </w:rPr>
        <w:t>用户流失情况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0"/>
        <w:gridCol w:w="6602"/>
      </w:tblGrid>
      <w:tr>
        <w:trPr>
          <w:trHeight w:val="349" w:hRule="atLeast"/>
        </w:trPr>
        <w:tc>
          <w:tcPr>
            <w:tcW w:w="1700" w:type="dxa"/>
            <w:vAlign w:val="top"/>
          </w:tcPr>
          <w:p>
            <w:pPr>
              <w:ind w:left="438"/>
              <w:spacing w:before="34" w:line="20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6"/>
              </w:rPr>
              <w:t>流失率</w:t>
            </w:r>
          </w:p>
        </w:tc>
        <w:tc>
          <w:tcPr>
            <w:tcW w:w="6602" w:type="dxa"/>
            <w:vAlign w:val="top"/>
          </w:tcPr>
          <w:p>
            <w:pPr>
              <w:ind w:left="3032"/>
              <w:spacing w:before="34" w:line="20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b/>
                <w:bCs/>
                <w:spacing w:val="-7"/>
              </w:rPr>
              <w:t>省份</w:t>
            </w:r>
          </w:p>
        </w:tc>
      </w:tr>
      <w:tr>
        <w:trPr>
          <w:trHeight w:val="344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541"/>
              <w:spacing w:before="66" w:line="206" w:lineRule="auto"/>
              <w:rPr/>
            </w:pPr>
            <w:r>
              <w:rPr>
                <w:rFonts w:ascii="SimSun" w:hAnsi="SimSun" w:eastAsia="SimSun" w:cs="SimSun"/>
                <w:spacing w:val="-9"/>
              </w:rPr>
              <w:t>≥</w:t>
            </w:r>
            <w:r>
              <w:rPr>
                <w:spacing w:val="-9"/>
              </w:rPr>
              <w:t>40%</w:t>
            </w:r>
          </w:p>
        </w:tc>
        <w:tc>
          <w:tcPr>
            <w:tcW w:w="6602" w:type="dxa"/>
            <w:vAlign w:val="top"/>
          </w:tcPr>
          <w:p>
            <w:pPr>
              <w:ind w:left="704"/>
              <w:spacing w:before="101" w:line="226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浙江、福建、湖北、重庆、青海、宁夏、河北、辽宁、河南</w:t>
            </w:r>
          </w:p>
        </w:tc>
      </w:tr>
      <w:tr>
        <w:trPr>
          <w:trHeight w:val="682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46"/>
              <w:spacing w:before="237" w:line="216" w:lineRule="auto"/>
              <w:rPr>
                <w:rFonts w:ascii="SimSun" w:hAnsi="SimSun" w:eastAsia="SimSun" w:cs="SimSun"/>
              </w:rPr>
            </w:pPr>
            <w:r>
              <w:rPr>
                <w:spacing w:val="-6"/>
              </w:rPr>
              <w:t>[20%</w:t>
            </w:r>
            <w:r>
              <w:rPr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</w:rPr>
              <w:t>，</w:t>
            </w:r>
            <w:r>
              <w:rPr>
                <w:spacing w:val="-6"/>
              </w:rPr>
              <w:t>40%</w:t>
            </w:r>
            <w:r>
              <w:rPr>
                <w:rFonts w:ascii="SimSun" w:hAnsi="SimSun" w:eastAsia="SimSun" w:cs="SimSun"/>
                <w:spacing w:val="-6"/>
              </w:rPr>
              <w:t>）</w:t>
            </w:r>
          </w:p>
        </w:tc>
        <w:tc>
          <w:tcPr>
            <w:tcW w:w="6602" w:type="dxa"/>
            <w:vAlign w:val="top"/>
          </w:tcPr>
          <w:p>
            <w:pPr>
              <w:ind w:left="606"/>
              <w:spacing w:before="102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8"/>
              </w:rPr>
              <w:t>上海、江苏、陕西、江西、海南、西藏、甘肃、北京、山西、</w:t>
            </w:r>
          </w:p>
          <w:p>
            <w:pPr>
              <w:ind w:left="2710"/>
              <w:spacing w:before="106" w:line="222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7"/>
              </w:rPr>
              <w:t>黑龙江、山东</w:t>
            </w:r>
          </w:p>
        </w:tc>
      </w:tr>
      <w:tr>
        <w:trPr>
          <w:trHeight w:val="349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563"/>
              <w:spacing w:before="111" w:line="198" w:lineRule="auto"/>
              <w:rPr/>
            </w:pPr>
            <w:r>
              <w:rPr>
                <w:spacing w:val="-2"/>
              </w:rPr>
              <w:t>&lt;20%</w:t>
            </w:r>
          </w:p>
        </w:tc>
        <w:tc>
          <w:tcPr>
            <w:tcW w:w="6602" w:type="dxa"/>
            <w:vAlign w:val="top"/>
          </w:tcPr>
          <w:p>
            <w:pPr>
              <w:ind w:left="608"/>
              <w:spacing w:before="106" w:line="226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spacing w:val="9"/>
              </w:rPr>
              <w:t>安徽、广东、广西、贵州、云南、新疆、天津、内蒙古、吉林</w:t>
            </w:r>
          </w:p>
        </w:tc>
      </w:tr>
    </w:tbl>
    <w:p>
      <w:pPr>
        <w:spacing w:line="426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二、天翼云电脑政企版发展问题原因分析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4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．定位不够清晰</w:t>
      </w:r>
    </w:p>
    <w:p>
      <w:pPr>
        <w:pStyle w:val="BodyText"/>
        <w:ind w:left="26" w:firstLine="605"/>
        <w:spacing w:before="318" w:line="259" w:lineRule="auto"/>
        <w:jc w:val="both"/>
        <w:rPr/>
      </w:pPr>
      <w:r>
        <w:rPr>
          <w:spacing w:val="-7"/>
        </w:rPr>
        <w:t>天翼云电脑政企版目前以提供通用能力为主。在公有云市场，</w:t>
      </w:r>
      <w:r>
        <w:rPr>
          <w:spacing w:val="-4"/>
        </w:rPr>
        <w:t>多数应用场景均可以用更加稳定的笔记本电脑替代，用户比价后</w:t>
      </w:r>
      <w:r>
        <w:rPr>
          <w:spacing w:val="-8"/>
        </w:rPr>
        <w:t>感知价格偏贵。以天翼云电脑政企版单实例桌面为</w:t>
      </w:r>
      <w:r>
        <w:rPr>
          <w:spacing w:val="-9"/>
        </w:rPr>
        <w:t>例，</w:t>
      </w:r>
      <w:r>
        <w:rPr>
          <w:spacing w:val="-29"/>
        </w:rPr>
        <w:t xml:space="preserve"> </w:t>
      </w:r>
      <w:r>
        <w:rPr>
          <w:spacing w:val="-9"/>
        </w:rPr>
        <w:t>官网购买</w:t>
      </w:r>
      <w:r>
        <w:rPr>
          <w:spacing w:val="-4"/>
        </w:rPr>
        <w:t>配置为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4"/>
        </w:rPr>
        <w:t>核</w:t>
      </w:r>
      <w:r>
        <w:rPr>
          <w:rFonts w:ascii="Times New Roman" w:hAnsi="Times New Roman" w:eastAsia="Times New Roman" w:cs="Times New Roman"/>
          <w:spacing w:val="-4"/>
        </w:rPr>
        <w:t>+8G+1T+1Mbit/s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4"/>
        </w:rPr>
        <w:t>带宽的三年费用约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2.1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4"/>
        </w:rPr>
        <w:t>万人民币，</w:t>
      </w:r>
    </w:p>
    <w:p>
      <w:pPr>
        <w:pStyle w:val="BodyText"/>
        <w:ind w:left="25" w:right="231" w:firstLine="4"/>
        <w:spacing w:line="268" w:lineRule="auto"/>
        <w:jc w:val="both"/>
        <w:rPr/>
      </w:pPr>
      <w:r>
        <w:rPr>
          <w:spacing w:val="-2"/>
        </w:rPr>
        <w:t>性能远低于同价位笔记本电脑，当前以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2~5.5 </w:t>
      </w:r>
      <w:r>
        <w:rPr>
          <w:spacing w:val="-2"/>
        </w:rPr>
        <w:t>折后价格推广仍不</w:t>
      </w:r>
      <w:r>
        <w:rPr>
          <w:spacing w:val="-9"/>
        </w:rPr>
        <w:t>具吸引力。而私有云和定制化场景需求旺盛， 如金融、医疗和政</w:t>
      </w:r>
      <w:r>
        <w:rPr>
          <w:spacing w:val="5"/>
        </w:rPr>
        <w:t>府、信创客户等，但目前云电脑政企版私有</w:t>
      </w:r>
      <w:r>
        <w:rPr>
          <w:spacing w:val="4"/>
        </w:rPr>
        <w:t>云用户数占比</w:t>
      </w:r>
      <w:r>
        <w:rPr>
          <w:rFonts w:ascii="Times New Roman" w:hAnsi="Times New Roman" w:eastAsia="Times New Roman" w:cs="Times New Roman"/>
          <w:sz w:val="13"/>
          <w:szCs w:val="13"/>
          <w:spacing w:val="4"/>
          <w:position w:val="6"/>
        </w:rPr>
        <w:t>2</w:t>
      </w:r>
      <w:r>
        <w:rPr>
          <w:spacing w:val="4"/>
        </w:rPr>
        <w:t>仅为</w:t>
      </w:r>
      <w:r>
        <w:rPr>
          <w:rFonts w:ascii="Times New Roman" w:hAnsi="Times New Roman" w:eastAsia="Times New Roman" w:cs="Times New Roman"/>
          <w:spacing w:val="-2"/>
        </w:rPr>
        <w:t>1.8%</w:t>
      </w:r>
      <w:r>
        <w:rPr>
          <w:spacing w:val="-2"/>
        </w:rPr>
        <w:t>。</w:t>
      </w:r>
    </w:p>
    <w:p>
      <w:pPr>
        <w:pStyle w:val="BodyText"/>
        <w:ind w:left="624"/>
        <w:spacing w:before="21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．产品体验不佳</w:t>
      </w:r>
    </w:p>
    <w:p>
      <w:pPr>
        <w:pStyle w:val="BodyText"/>
        <w:ind w:left="624"/>
        <w:spacing w:before="323" w:line="217" w:lineRule="auto"/>
        <w:rPr/>
      </w:pPr>
      <w:r>
        <w:rPr>
          <w:spacing w:val="-10"/>
        </w:rPr>
        <w:t>①稳定性较差：蓝屏、白屏、数据备份频次高， 部分软件无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>
        <w:pict>
          <v:shape id="_x0000_s2" style="position:absolute;margin-left:0.72599pt;margin-top:10.5951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82"/>
        <w:spacing w:before="72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13"/>
          <w:w w:val="103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</w:rPr>
        <w:t>流失率=（累计新增用户数-累计净增用户数）/用户到达数*100%</w:t>
      </w:r>
    </w:p>
    <w:p>
      <w:pPr>
        <w:ind w:left="380"/>
        <w:spacing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7"/>
          <w:w w:val="103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position w:val="2"/>
        </w:rPr>
        <w:t>私有云用户数占比=私有云用户到达数/云电脑用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户累计到达数*100%</w:t>
      </w:r>
    </w:p>
    <w:p>
      <w:pPr>
        <w:spacing w:line="296" w:lineRule="exact"/>
        <w:sectPr>
          <w:pgSz w:w="11907" w:h="16839"/>
          <w:pgMar w:top="1431" w:right="1566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7" w:right="110"/>
        <w:spacing w:before="85" w:line="261" w:lineRule="auto"/>
        <w:rPr/>
      </w:pPr>
      <w:r>
        <w:rPr>
          <w:spacing w:val="-4"/>
        </w:rPr>
        <w:t>法流畅运行；公有云模式下经常出现高延时、断线且无法自动重</w:t>
      </w:r>
      <w:r>
        <w:rPr>
          <w:spacing w:val="-10"/>
        </w:rPr>
        <w:t>连等问题。</w:t>
      </w:r>
    </w:p>
    <w:p>
      <w:pPr>
        <w:pStyle w:val="BodyText"/>
        <w:ind w:left="27" w:right="107" w:firstLine="596"/>
        <w:spacing w:before="270"/>
        <w:rPr/>
      </w:pPr>
      <w:r>
        <w:rPr>
          <w:spacing w:val="-4"/>
        </w:rPr>
        <w:t>②软件不兼容：目前公有云模式下的云电脑政企版在实例端</w:t>
      </w:r>
      <w:r>
        <w:rPr>
          <w:spacing w:val="-4"/>
        </w:rPr>
        <w:t>使用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Windows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Server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4"/>
        </w:rPr>
        <w:t>系统，软件兼容性较差。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1" w:right="107" w:firstLine="592"/>
        <w:spacing w:before="98" w:line="239" w:lineRule="auto"/>
        <w:rPr/>
      </w:pPr>
      <w:r>
        <w:rPr>
          <w:spacing w:val="-4"/>
        </w:rPr>
        <w:t>③外设不适配：如互联网打印机和其他硬件设备存在接入不</w:t>
      </w:r>
      <w:r>
        <w:rPr>
          <w:spacing w:val="-4"/>
        </w:rPr>
        <w:t>兼容问题，导致外设无法使用。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3" w:right="109" w:firstLine="590"/>
        <w:spacing w:before="98"/>
        <w:rPr/>
      </w:pPr>
      <w:r>
        <w:rPr>
          <w:spacing w:val="-1"/>
        </w:rPr>
        <w:t>④存盗版风险：目前在服务器端使用 </w:t>
      </w:r>
      <w:r>
        <w:rPr>
          <w:rFonts w:ascii="Times New Roman" w:hAnsi="Times New Roman" w:eastAsia="Times New Roman" w:cs="Times New Roman"/>
          <w:spacing w:val="-1"/>
        </w:rPr>
        <w:t>Win10  </w:t>
      </w:r>
      <w:r>
        <w:rPr>
          <w:spacing w:val="-1"/>
        </w:rPr>
        <w:t>操作系统存在</w:t>
      </w:r>
      <w:r>
        <w:rPr>
          <w:spacing w:val="-7"/>
        </w:rPr>
        <w:t>盗版和合规性问题。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．服务体系不完善</w:t>
      </w:r>
    </w:p>
    <w:p>
      <w:pPr>
        <w:ind w:firstLine="1406"/>
        <w:spacing w:before="214" w:line="2286" w:lineRule="exact"/>
        <w:rPr/>
      </w:pPr>
      <w:r>
        <w:rPr>
          <w:position w:val="-45"/>
        </w:rPr>
        <w:drawing>
          <wp:inline distT="0" distB="0" distL="0" distR="0">
            <wp:extent cx="3544021" cy="145154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44021" cy="145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1"/>
        <w:spacing w:before="179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4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1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线上群方式故障处理体外循环示意图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4" w:firstLine="610"/>
        <w:spacing w:before="98" w:line="249" w:lineRule="auto"/>
        <w:rPr/>
      </w:pPr>
      <w:r>
        <w:rPr>
          <w:spacing w:val="-4"/>
        </w:rPr>
        <w:t>①属地的支撑能力建设不足：一是属地区县一级的支撑</w:t>
      </w:r>
      <w:r>
        <w:rPr>
          <w:spacing w:val="-5"/>
        </w:rPr>
        <w:t>力量</w:t>
      </w:r>
      <w:r>
        <w:rPr>
          <w:spacing w:val="-9"/>
        </w:rPr>
        <w:t>建设不足，人员数量、技术能力未培养到位； 二是省内的云省分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/</w:t>
      </w:r>
      <w:r>
        <w:rPr>
          <w:spacing w:val="4"/>
        </w:rPr>
        <w:t>云中台对一线支撑也缺乏相应的技术能力与平台权限；三是没</w:t>
      </w:r>
      <w:r>
        <w:rPr/>
        <w:t>有官方排障手册及排障工具和渠道，无法快速定位和解决问题。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107" w:firstLine="598"/>
        <w:spacing w:before="98" w:line="249" w:lineRule="auto"/>
        <w:rPr/>
      </w:pPr>
      <w:r>
        <w:rPr>
          <w:spacing w:val="-4"/>
        </w:rPr>
        <w:t>②故障处理严重依赖体外循环：主要通过线上群和直接找熟</w:t>
      </w:r>
      <w:r>
        <w:rPr>
          <w:spacing w:val="-4"/>
        </w:rPr>
        <w:t>人两种方式，使故障问题大量存在于线上群中，无法在工单系统</w:t>
      </w:r>
      <w:r>
        <w:rPr>
          <w:spacing w:val="-4"/>
        </w:rPr>
        <w:t>留痕，导致无法统计分析、不可控、不可管、追责难、考核穿透</w:t>
      </w:r>
      <w:r>
        <w:rPr>
          <w:spacing w:val="-3"/>
        </w:rPr>
        <w:t>难等问题，无法推动问题的优化整改。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．省专协同不到位</w:t>
      </w:r>
    </w:p>
    <w:p>
      <w:pPr>
        <w:pStyle w:val="BodyText"/>
        <w:ind w:left="34" w:right="21" w:firstLine="590"/>
        <w:spacing w:before="319" w:line="268" w:lineRule="auto"/>
        <w:rPr/>
      </w:pPr>
      <w:r>
        <w:rPr>
          <w:spacing w:val="-1"/>
        </w:rPr>
        <w:t>①信息不同步：一是在新产品上线或新功能、资费调整时，</w:t>
      </w:r>
      <w:r>
        <w:rPr>
          <w:spacing w:val="1"/>
        </w:rPr>
        <w:t>云公司与省公司之间缺乏信息同步机制，导致售前</w:t>
      </w:r>
      <w:r>
        <w:rPr>
          <w:rFonts w:ascii="Times New Roman" w:hAnsi="Times New Roman" w:eastAsia="Times New Roman" w:cs="Times New Roman"/>
          <w:spacing w:val="1"/>
        </w:rPr>
        <w:t>\</w:t>
      </w:r>
      <w:r>
        <w:rPr>
          <w:spacing w:val="1"/>
        </w:rPr>
        <w:t>中</w:t>
      </w:r>
      <w:r>
        <w:rPr>
          <w:rFonts w:ascii="Times New Roman" w:hAnsi="Times New Roman" w:eastAsia="Times New Roman" w:cs="Times New Roman"/>
          <w:spacing w:val="1"/>
        </w:rPr>
        <w:t>\</w:t>
      </w:r>
      <w:r>
        <w:rPr/>
        <w:t>后过程遇</w:t>
      </w:r>
    </w:p>
    <w:p>
      <w:pPr>
        <w:spacing w:line="268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34"/>
        <w:spacing w:before="87" w:line="220" w:lineRule="auto"/>
        <w:rPr/>
      </w:pPr>
      <w:r>
        <w:rPr>
          <w:spacing w:val="-12"/>
        </w:rPr>
        <w:t>到阻碍。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6" w:right="84" w:firstLine="597"/>
        <w:spacing w:before="97" w:line="246" w:lineRule="auto"/>
        <w:rPr/>
      </w:pPr>
      <w:r>
        <w:rPr>
          <w:spacing w:val="-4"/>
        </w:rPr>
        <w:t>②系统不互通：省专之间系统在计费、运维、终端管理等方</w:t>
      </w:r>
      <w:r>
        <w:rPr>
          <w:spacing w:val="-4"/>
        </w:rPr>
        <w:t>面规则标准不一致，如计费向上和向下取整不一致，导致对账有</w:t>
      </w:r>
      <w:r>
        <w:rPr>
          <w:spacing w:val="-13"/>
        </w:rPr>
        <w:t>偏差。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6" w:right="83" w:firstLine="597"/>
        <w:spacing w:before="98" w:line="251" w:lineRule="auto"/>
        <w:rPr/>
      </w:pPr>
      <w:r>
        <w:rPr>
          <w:spacing w:val="-6"/>
        </w:rPr>
        <w:t>③协同流程有断点：一是省内通过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400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spacing w:val="-6"/>
        </w:rPr>
        <w:t>电话升级问题，只能</w:t>
      </w:r>
      <w:r>
        <w:rPr>
          <w:spacing w:val="-4"/>
        </w:rPr>
        <w:t>被动等待工程师回拨，无法与工程师建立直接联系；二是省内售</w:t>
      </w:r>
      <w:r>
        <w:rPr>
          <w:spacing w:val="-4"/>
        </w:rPr>
        <w:t>后通过集团电子运维系统寻求升级支撑时，响应不及时；三是对</w:t>
      </w:r>
      <w:r>
        <w:rPr>
          <w:spacing w:val="-4"/>
        </w:rPr>
        <w:t>于客户报障，客户经理无法看到故障处理状态和回复信息，甚至</w:t>
      </w:r>
      <w:r>
        <w:rPr>
          <w:spacing w:val="-7"/>
        </w:rPr>
        <w:t>需要找客户了解。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三、天翼云电脑政企版发展建议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．明确场景方向</w:t>
      </w:r>
    </w:p>
    <w:p>
      <w:pPr>
        <w:pStyle w:val="BodyText"/>
        <w:ind w:left="33" w:right="84" w:firstLine="611"/>
        <w:spacing w:before="318" w:line="260" w:lineRule="auto"/>
        <w:jc w:val="both"/>
        <w:rPr/>
      </w:pPr>
      <w:r>
        <w:rPr>
          <w:spacing w:val="-5"/>
        </w:rPr>
        <w:t>当前通用化产品不能满足行业客户的个性化需求，限制了产</w:t>
      </w:r>
      <w:r>
        <w:rPr>
          <w:spacing w:val="-8"/>
        </w:rPr>
        <w:t>品在垂直行业的纵深发展。为了提升用户质态，</w:t>
      </w:r>
      <w:r>
        <w:rPr>
          <w:spacing w:val="-39"/>
        </w:rPr>
        <w:t xml:space="preserve"> </w:t>
      </w:r>
      <w:r>
        <w:rPr>
          <w:spacing w:val="-8"/>
        </w:rPr>
        <w:t>提高云资</w:t>
      </w:r>
      <w:r>
        <w:rPr>
          <w:spacing w:val="-9"/>
        </w:rPr>
        <w:t>源的高</w:t>
      </w:r>
      <w:r>
        <w:rPr>
          <w:spacing w:val="-9"/>
        </w:rPr>
        <w:t>效利用，达到质、量双优， 建议深耕行业，将私有云</w:t>
      </w:r>
      <w:r>
        <w:rPr>
          <w:spacing w:val="-10"/>
        </w:rPr>
        <w:t>与行业应用</w:t>
      </w:r>
      <w:r>
        <w:rPr>
          <w:spacing w:val="-2"/>
        </w:rPr>
        <w:t>的云电脑相结合，为行业客户提供定制化的</w:t>
      </w:r>
      <w:r>
        <w:rPr>
          <w:spacing w:val="-3"/>
        </w:rPr>
        <w:t>云电脑解决方案。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．产品能力提升</w:t>
      </w:r>
    </w:p>
    <w:p>
      <w:pPr>
        <w:pStyle w:val="BodyText"/>
        <w:ind w:left="28" w:right="83" w:firstLine="596"/>
        <w:spacing w:before="320" w:line="246" w:lineRule="auto"/>
        <w:rPr/>
      </w:pPr>
      <w:r>
        <w:rPr>
          <w:spacing w:val="-9"/>
        </w:rPr>
        <w:t>①建立问题反馈平台：建立类似阿里云</w:t>
      </w:r>
      <w:r>
        <w:rPr>
          <w:spacing w:val="-21"/>
        </w:rPr>
        <w:t xml:space="preserve"> </w:t>
      </w:r>
      <w:r>
        <w:rPr>
          <w:spacing w:val="-9"/>
        </w:rPr>
        <w:t>“聆听平台”，收集</w:t>
      </w:r>
      <w:r>
        <w:rPr>
          <w:spacing w:val="-4"/>
        </w:rPr>
        <w:t>客户和一线人员建议和诉求，形成问题清单，作为产品迭代升级</w:t>
      </w:r>
      <w:r>
        <w:rPr>
          <w:spacing w:val="-5"/>
        </w:rPr>
        <w:t>的输入源和检验对照表。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6" w:right="2" w:firstLine="597"/>
        <w:spacing w:before="97" w:line="245" w:lineRule="auto"/>
        <w:rPr/>
      </w:pPr>
      <w:r>
        <w:rPr>
          <w:spacing w:val="-12"/>
        </w:rPr>
        <w:t>②以客户为中心提升产品能力：加强产品设计、升级与迭代，</w:t>
      </w:r>
      <w:r>
        <w:rPr>
          <w:spacing w:val="-4"/>
        </w:rPr>
        <w:t>精细提炼挖掘客户需求与细分场景，匹配客户实际需求与市场需</w:t>
      </w:r>
      <w:r>
        <w:rPr>
          <w:spacing w:val="-3"/>
        </w:rPr>
        <w:t>要，向客户形成价值卖点，以破解价格困局。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．服务支撑能力提升</w:t>
      </w:r>
    </w:p>
    <w:p>
      <w:pPr>
        <w:pStyle w:val="BodyText"/>
        <w:ind w:left="27" w:firstLine="597"/>
        <w:spacing w:before="322" w:line="260" w:lineRule="auto"/>
        <w:jc w:val="both"/>
        <w:rPr/>
      </w:pPr>
      <w:r>
        <w:rPr>
          <w:spacing w:val="-12"/>
        </w:rPr>
        <w:t>①优化故障处理流程：一方面优化处理流程，减少冗余作业；</w:t>
      </w:r>
      <w:r>
        <w:rPr>
          <w:spacing w:val="-1"/>
        </w:rPr>
        <w:t>二是引入多媒体报障方式，将翼连群等新渠道同传统渠道结合，</w:t>
      </w:r>
      <w:r>
        <w:rPr>
          <w:spacing w:val="-3"/>
        </w:rPr>
        <w:t>提升处理效率；三是明确责任界面，避免相互推诿。</w:t>
      </w:r>
    </w:p>
    <w:p>
      <w:pPr>
        <w:spacing w:line="260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ind w:left="28" w:right="232" w:firstLine="595"/>
        <w:spacing w:before="84" w:line="246" w:lineRule="auto"/>
        <w:rPr/>
      </w:pPr>
      <w:r>
        <w:rPr>
          <w:spacing w:val="-4"/>
        </w:rPr>
        <w:t>②赋能一线，加强队伍建设：云公司应对省公司一线</w:t>
      </w:r>
      <w:r>
        <w:rPr>
          <w:spacing w:val="-5"/>
        </w:rPr>
        <w:t>人员加</w:t>
      </w:r>
      <w:r>
        <w:rPr>
          <w:spacing w:val="-6"/>
        </w:rPr>
        <w:t>强培训支撑力度，完善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10000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6"/>
        </w:rPr>
        <w:t>号、营业厅的知识库，并赋予一线</w:t>
      </w:r>
      <w:r>
        <w:rPr>
          <w:spacing w:val="-4"/>
        </w:rPr>
        <w:t>人员更多的业务办理和变更的权限。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7" w:right="233" w:firstLine="585"/>
        <w:spacing w:before="98"/>
        <w:rPr/>
      </w:pPr>
      <w:r>
        <w:rPr>
          <w:spacing w:val="-4"/>
        </w:rPr>
        <w:t>③构建云公司远程在线支持的机制和能力，为省公司一线人</w:t>
      </w:r>
      <w:r>
        <w:rPr>
          <w:spacing w:val="-4"/>
        </w:rPr>
        <w:t>员和客户实时解决服务和使用中的问题。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8" w:right="235" w:firstLine="595"/>
        <w:spacing w:before="97" w:line="239" w:lineRule="auto"/>
        <w:rPr/>
      </w:pPr>
      <w:r>
        <w:rPr>
          <w:spacing w:val="-4"/>
        </w:rPr>
        <w:t>④建设完善的运维保障工具和手册：建议由集团牵头</w:t>
      </w:r>
      <w:r>
        <w:rPr>
          <w:spacing w:val="-5"/>
        </w:rPr>
        <w:t>，发布</w:t>
      </w:r>
      <w:r>
        <w:rPr>
          <w:spacing w:val="-3"/>
        </w:rPr>
        <w:t>完善的排障手册和排障工具供一线运维人员使用。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．省专协同体系优化</w:t>
      </w:r>
    </w:p>
    <w:p>
      <w:pPr>
        <w:pStyle w:val="BodyText"/>
        <w:ind w:left="25" w:right="235" w:firstLine="599"/>
        <w:spacing w:before="322" w:line="246" w:lineRule="auto"/>
        <w:rPr/>
      </w:pPr>
      <w:r>
        <w:rPr>
          <w:spacing w:val="-4"/>
        </w:rPr>
        <w:t>①完善协同机制：建议集团公司牵头、省公司和专</w:t>
      </w:r>
      <w:r>
        <w:rPr>
          <w:spacing w:val="-5"/>
        </w:rPr>
        <w:t>业公司参</w:t>
      </w:r>
      <w:r>
        <w:rPr>
          <w:spacing w:val="-4"/>
        </w:rPr>
        <w:t>与，成立产品委员会，定期沟通、解决产品的市场发展、服务支</w:t>
      </w:r>
      <w:r>
        <w:rPr>
          <w:spacing w:val="-5"/>
        </w:rPr>
        <w:t>撑、产品优化等问题。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25" w:firstLine="598"/>
        <w:spacing w:before="97" w:line="249" w:lineRule="auto"/>
        <w:rPr/>
      </w:pPr>
      <w:r>
        <w:rPr>
          <w:spacing w:val="-7"/>
        </w:rPr>
        <w:t>②完善约束机制：目前省公司对客户有产品和服务标准承诺，</w:t>
      </w:r>
      <w:r>
        <w:rPr>
          <w:spacing w:val="-4"/>
        </w:rPr>
        <w:t>专业公司也应对省公司建立相应的承诺标准，据此赋予省公司对</w:t>
      </w:r>
      <w:r>
        <w:rPr>
          <w:spacing w:val="-4"/>
        </w:rPr>
        <w:t>专业公司的考核权，从而提升专业公司对省公司的赋能和支撑力</w:t>
      </w:r>
      <w:r>
        <w:rPr>
          <w:spacing w:val="-6"/>
        </w:rPr>
        <w:t>度，促进省专协同。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6" w:right="233" w:firstLine="597"/>
        <w:spacing w:before="99" w:line="246" w:lineRule="auto"/>
        <w:rPr/>
      </w:pPr>
      <w:r>
        <w:rPr>
          <w:spacing w:val="-4"/>
        </w:rPr>
        <w:t>③完善激励机制：建立收入双计双考的激励机制，对质、量</w:t>
      </w:r>
      <w:r>
        <w:rPr>
          <w:spacing w:val="-4"/>
        </w:rPr>
        <w:t>双优的情况，在计算收入时提高双方奖励系数，从而激发省专协</w:t>
      </w:r>
      <w:r>
        <w:rPr>
          <w:spacing w:val="-7"/>
        </w:rPr>
        <w:t>同发展的积极性。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9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46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290855</wp:posOffset>
            </wp:positionH>
            <wp:positionV relativeFrom="paragraph">
              <wp:posOffset>219719</wp:posOffset>
            </wp:positionV>
            <wp:extent cx="813816" cy="108356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816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14"/>
        <w:spacing w:before="92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孙恺泽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【15321059032】</w:t>
      </w:r>
    </w:p>
    <w:p>
      <w:pPr>
        <w:ind w:left="2535" w:right="444" w:firstLine="269"/>
        <w:spacing w:before="121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一级分析师，主要从事组织架构、政企市场</w:t>
      </w:r>
      <w:r>
        <w:rPr>
          <w:rFonts w:ascii="KaiTi" w:hAnsi="KaiTi" w:eastAsia="KaiTi" w:cs="KaiTi"/>
          <w:sz w:val="28"/>
          <w:szCs w:val="28"/>
          <w:spacing w:val="-2"/>
        </w:rPr>
        <w:t>战略、数字政府、融媒体、物联网技术等领域</w:t>
      </w:r>
      <w:r>
        <w:rPr>
          <w:rFonts w:ascii="KaiTi" w:hAnsi="KaiTi" w:eastAsia="KaiTi" w:cs="KaiTi"/>
          <w:sz w:val="28"/>
          <w:szCs w:val="28"/>
          <w:spacing w:val="-12"/>
        </w:rPr>
        <w:t>的研究。</w:t>
      </w:r>
    </w:p>
    <w:p>
      <w:pPr>
        <w:spacing w:line="227" w:lineRule="auto"/>
        <w:sectPr>
          <w:pgSz w:w="11907" w:h="16839"/>
          <w:pgMar w:top="1431" w:right="1566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ind w:left="2516"/>
        <w:spacing w:before="149" w:line="221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1421891</wp:posOffset>
            </wp:positionH>
            <wp:positionV relativeFrom="page">
              <wp:posOffset>938784</wp:posOffset>
            </wp:positionV>
            <wp:extent cx="824484" cy="669798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484" cy="669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b/>
          <w:bCs/>
          <w:spacing w:val="-5"/>
        </w:rPr>
        <w:t>徐静</w:t>
      </w:r>
    </w:p>
    <w:p>
      <w:pPr>
        <w:ind w:left="2514" w:right="225" w:firstLine="301"/>
        <w:spacing w:before="114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学士，高级工程师，在市场、客户服务等研</w:t>
      </w:r>
      <w:r>
        <w:rPr>
          <w:rFonts w:ascii="KaiTi" w:hAnsi="KaiTi" w:eastAsia="KaiTi" w:cs="KaiTi"/>
          <w:sz w:val="28"/>
          <w:szCs w:val="28"/>
          <w:spacing w:val="-1"/>
        </w:rPr>
        <w:t>究领域耕耘多年，近年专注于四融产品和政企</w:t>
      </w:r>
      <w:r>
        <w:rPr>
          <w:rFonts w:ascii="KaiTi" w:hAnsi="KaiTi" w:eastAsia="KaiTi" w:cs="KaiTi"/>
          <w:sz w:val="28"/>
          <w:szCs w:val="28"/>
          <w:spacing w:val="-4"/>
        </w:rPr>
        <w:t>客户感知提升。</w:t>
      </w:r>
    </w:p>
    <w:p>
      <w:pPr>
        <w:ind w:left="2564"/>
        <w:spacing w:before="256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7"/>
        </w:rPr>
        <w:t>肖胜</w:t>
      </w:r>
    </w:p>
    <w:p>
      <w:pPr>
        <w:ind w:left="2521" w:right="225" w:firstLine="278"/>
        <w:spacing w:before="114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硕士，在市场、客户、政企运营与服务体系</w:t>
      </w:r>
      <w:r>
        <w:rPr>
          <w:rFonts w:ascii="KaiTi" w:hAnsi="KaiTi" w:eastAsia="KaiTi" w:cs="KaiTi"/>
          <w:sz w:val="28"/>
          <w:szCs w:val="28"/>
          <w:spacing w:val="-1"/>
        </w:rPr>
        <w:t>等研究领域耕耘多年，近年专注于产业数字化</w:t>
      </w:r>
      <w:r>
        <w:rPr>
          <w:rFonts w:ascii="KaiTi" w:hAnsi="KaiTi" w:eastAsia="KaiTi" w:cs="KaiTi"/>
          <w:sz w:val="28"/>
          <w:szCs w:val="28"/>
          <w:spacing w:val="-4"/>
        </w:rPr>
        <w:t>业务和政企客户感知提升。</w:t>
      </w:r>
    </w:p>
    <w:p>
      <w:pPr>
        <w:ind w:left="2517"/>
        <w:spacing w:before="256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周蔚文</w:t>
      </w:r>
    </w:p>
    <w:p>
      <w:pPr>
        <w:ind w:left="2790"/>
        <w:spacing w:before="118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4"/>
        </w:rPr>
        <w:t>超过</w:t>
      </w:r>
      <w:r>
        <w:rPr>
          <w:rFonts w:ascii="KaiTi" w:hAnsi="KaiTi" w:eastAsia="KaiTi" w:cs="KaiTi"/>
          <w:sz w:val="28"/>
          <w:szCs w:val="28"/>
          <w:spacing w:val="-36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15</w:t>
      </w:r>
      <w:r>
        <w:rPr>
          <w:rFonts w:ascii="KaiTi" w:hAnsi="KaiTi" w:eastAsia="KaiTi" w:cs="KaiTi"/>
          <w:sz w:val="28"/>
          <w:szCs w:val="28"/>
          <w:spacing w:val="-5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年通信市场与客户研究工作经验，</w:t>
      </w:r>
    </w:p>
    <w:p>
      <w:pPr>
        <w:ind w:left="2532" w:right="225" w:hanging="2"/>
        <w:spacing w:before="15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长期从事客户体验、政企客户服务、产数市场</w:t>
      </w:r>
      <w:r>
        <w:rPr>
          <w:rFonts w:ascii="KaiTi" w:hAnsi="KaiTi" w:eastAsia="KaiTi" w:cs="KaiTi"/>
          <w:sz w:val="28"/>
          <w:szCs w:val="28"/>
          <w:spacing w:val="-5"/>
        </w:rPr>
        <w:t>洞察与跟踪等研究工作。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2526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刘敬东</w:t>
      </w:r>
    </w:p>
    <w:p>
      <w:pPr>
        <w:ind w:left="2508" w:right="228" w:firstLine="295"/>
        <w:spacing w:before="112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分析师，硕士，长期从事电信新产品、客服</w:t>
      </w:r>
      <w:r>
        <w:rPr>
          <w:rFonts w:ascii="KaiTi" w:hAnsi="KaiTi" w:eastAsia="KaiTi" w:cs="KaiTi"/>
          <w:sz w:val="28"/>
          <w:szCs w:val="28"/>
        </w:rPr>
        <w:t>服务、数字化转型等领域的研究。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515"/>
        <w:spacing w:before="9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何出尘</w:t>
      </w:r>
    </w:p>
    <w:p>
      <w:pPr>
        <w:ind w:left="2513" w:right="227" w:firstLine="287"/>
        <w:spacing w:before="108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硕士，主要从事客户体验、政企服务、融媒</w:t>
      </w:r>
      <w:r>
        <w:rPr>
          <w:rFonts w:ascii="KaiTi" w:hAnsi="KaiTi" w:eastAsia="KaiTi" w:cs="KaiTi"/>
          <w:sz w:val="28"/>
          <w:szCs w:val="28"/>
          <w:spacing w:val="-3"/>
        </w:rPr>
        <w:t>体、数字经济等研究工作。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6" w:lineRule="auto"/>
        <w:rPr>
          <w:rFonts w:ascii="Arial"/>
          <w:sz w:val="21"/>
        </w:rPr>
      </w:pPr>
      <w:r/>
    </w:p>
    <w:p>
      <w:pPr>
        <w:ind w:left="2527"/>
        <w:spacing w:before="9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7"/>
        </w:rPr>
        <w:t>王国伟</w:t>
      </w:r>
    </w:p>
    <w:p>
      <w:pPr>
        <w:ind w:left="2515" w:right="505" w:firstLine="285"/>
        <w:spacing w:before="119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硕士，近年来主要从事视联网、渠道数字</w:t>
      </w:r>
      <w:r>
        <w:rPr>
          <w:rFonts w:ascii="KaiTi" w:hAnsi="KaiTi" w:eastAsia="KaiTi" w:cs="KaiTi"/>
          <w:sz w:val="28"/>
          <w:szCs w:val="28"/>
          <w:spacing w:val="-1"/>
        </w:rPr>
        <w:t>化转型、云电脑等专业研究。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2023-07-07T08:57:45Z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2025-11-04T15:55:02</vt:filetime>
  </property>
</Properties>
</file>