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FCC" w:rsidRPr="001368A8" w:rsidRDefault="00380072">
      <w:pPr>
        <w:spacing w:line="360" w:lineRule="auto"/>
        <w:jc w:val="center"/>
        <w:rPr>
          <w:b/>
        </w:rPr>
      </w:pPr>
      <w:bookmarkStart w:id="0" w:name="_GoBack"/>
      <w:bookmarkEnd w:id="0"/>
      <w:r w:rsidRPr="001368A8">
        <w:rPr>
          <w:rFonts w:hint="eastAsia"/>
          <w:b/>
        </w:rPr>
        <w:t>欧盟委员会 “数字化十年”</w:t>
      </w:r>
      <w:r w:rsidR="001368A8" w:rsidRPr="001368A8">
        <w:rPr>
          <w:rFonts w:hint="eastAsia"/>
          <w:b/>
        </w:rPr>
        <w:t>所</w:t>
      </w:r>
      <w:r>
        <w:rPr>
          <w:rFonts w:hint="eastAsia"/>
          <w:b/>
        </w:rPr>
        <w:t>取得</w:t>
      </w:r>
      <w:r w:rsidRPr="001368A8">
        <w:rPr>
          <w:rFonts w:hint="eastAsia"/>
          <w:b/>
        </w:rPr>
        <w:t>成就及</w:t>
      </w:r>
      <w:r w:rsidR="001368A8" w:rsidRPr="001368A8">
        <w:rPr>
          <w:rFonts w:hint="eastAsia"/>
          <w:b/>
        </w:rPr>
        <w:t>经验总结</w:t>
      </w:r>
    </w:p>
    <w:p w:rsidR="00DD0FCC" w:rsidRDefault="00380072">
      <w:pPr>
        <w:spacing w:line="360" w:lineRule="auto"/>
      </w:pPr>
      <w:r>
        <w:rPr>
          <w:rFonts w:hint="eastAsia"/>
        </w:rPr>
        <w:t>2</w:t>
      </w:r>
      <w:r>
        <w:t>021</w:t>
      </w:r>
      <w:r>
        <w:rPr>
          <w:rFonts w:hint="eastAsia"/>
        </w:rPr>
        <w:t>年3月，欧盟委员会发布《</w:t>
      </w:r>
      <w:r>
        <w:t>2030年数字</w:t>
      </w:r>
      <w:r>
        <w:rPr>
          <w:rFonts w:hint="eastAsia"/>
        </w:rPr>
        <w:t>化</w:t>
      </w:r>
      <w:r>
        <w:t>指南针</w:t>
      </w:r>
      <w:r>
        <w:rPr>
          <w:rFonts w:hint="eastAsia"/>
        </w:rPr>
        <w:t>：</w:t>
      </w:r>
      <w:r>
        <w:t>欧洲数字</w:t>
      </w:r>
      <w:r>
        <w:rPr>
          <w:rFonts w:hint="eastAsia"/>
        </w:rPr>
        <w:t>化</w:t>
      </w:r>
      <w:r>
        <w:t>十年之路</w:t>
      </w:r>
      <w:r>
        <w:rPr>
          <w:rFonts w:hint="eastAsia"/>
        </w:rPr>
        <w:t>》，主要从数字化技能、数字化基础设施、数字化企业和数字化治理四个方面提出数字化战略指南，设定2</w:t>
      </w:r>
      <w:r>
        <w:t>030</w:t>
      </w:r>
      <w:r>
        <w:rPr>
          <w:rFonts w:hint="eastAsia"/>
        </w:rPr>
        <w:t>年要实现的数字化战略目标（如下图所示）。</w:t>
      </w:r>
    </w:p>
    <w:p w:rsidR="00DD0FCC" w:rsidRDefault="00380072">
      <w:pPr>
        <w:spacing w:line="360" w:lineRule="auto"/>
      </w:pPr>
      <w:r>
        <w:rPr>
          <w:noProof/>
        </w:rPr>
        <w:drawing>
          <wp:inline distT="0" distB="0" distL="0" distR="0">
            <wp:extent cx="5274310" cy="281876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2818940"/>
                    </a:xfrm>
                    <a:prstGeom prst="rect">
                      <a:avLst/>
                    </a:prstGeom>
                    <a:noFill/>
                    <a:ln>
                      <a:noFill/>
                    </a:ln>
                  </pic:spPr>
                </pic:pic>
              </a:graphicData>
            </a:graphic>
          </wp:inline>
        </w:drawing>
      </w:r>
    </w:p>
    <w:p w:rsidR="001368A8" w:rsidRPr="001368A8" w:rsidRDefault="001368A8">
      <w:pPr>
        <w:spacing w:line="360" w:lineRule="auto"/>
        <w:rPr>
          <w:b/>
        </w:rPr>
      </w:pPr>
      <w:r w:rsidRPr="001368A8">
        <w:rPr>
          <w:rFonts w:hint="eastAsia"/>
          <w:b/>
        </w:rPr>
        <w:t>一、欧盟委员会“数字化十年”成就总结</w:t>
      </w:r>
    </w:p>
    <w:p w:rsidR="00DD0FCC" w:rsidRDefault="00380072">
      <w:pPr>
        <w:spacing w:line="360" w:lineRule="auto"/>
      </w:pPr>
      <w:r>
        <w:rPr>
          <w:rFonts w:hint="eastAsia"/>
        </w:rPr>
        <w:t>3月8日，欧盟委员会发布《欧洲数字化十年成就》，总结了过去四年，欧盟委员会制定法规，采取措施，确保全社会获得数字化技术，最小化对公民的相关风险，并开展战略性投资，在技术、A</w:t>
      </w:r>
      <w:r>
        <w:t>I</w:t>
      </w:r>
      <w:r>
        <w:rPr>
          <w:rFonts w:hint="eastAsia"/>
        </w:rPr>
        <w:t>、数据以及平台等相关方面取得的成就。</w:t>
      </w:r>
    </w:p>
    <w:p w:rsidR="00DD0FCC" w:rsidRDefault="00223D3E">
      <w:pPr>
        <w:spacing w:line="360" w:lineRule="auto"/>
      </w:pPr>
      <w:r>
        <w:rPr>
          <w:rFonts w:hint="eastAsia"/>
          <w:b/>
          <w:bCs/>
        </w:rPr>
        <w:t>（一）</w:t>
      </w:r>
      <w:r w:rsidR="00380072">
        <w:rPr>
          <w:rFonts w:hint="eastAsia"/>
          <w:b/>
          <w:bCs/>
        </w:rPr>
        <w:t>技术：通过欧洲《芯片法案》提高欧盟在半导体方面的独立性</w:t>
      </w:r>
    </w:p>
    <w:p w:rsidR="00DD0FCC" w:rsidRDefault="00380072">
      <w:pPr>
        <w:spacing w:line="360" w:lineRule="auto"/>
      </w:pPr>
      <w:r>
        <w:rPr>
          <w:rFonts w:hint="eastAsia"/>
          <w:b/>
        </w:rPr>
        <w:t>半导体短缺凸显了欧洲对</w:t>
      </w:r>
      <w:r w:rsidR="001368A8">
        <w:rPr>
          <w:rFonts w:hint="eastAsia"/>
          <w:b/>
        </w:rPr>
        <w:t>几家</w:t>
      </w:r>
      <w:r>
        <w:rPr>
          <w:rFonts w:hint="eastAsia"/>
          <w:b/>
        </w:rPr>
        <w:t>非欧盟供应商的依赖性。</w:t>
      </w:r>
      <w:r>
        <w:rPr>
          <w:rFonts w:hint="eastAsia"/>
        </w:rPr>
        <w:t>于</w:t>
      </w:r>
      <w:r>
        <w:t>2023年9月生效的</w:t>
      </w:r>
      <w:r>
        <w:rPr>
          <w:b/>
        </w:rPr>
        <w:t>《欧洲芯片法》</w:t>
      </w:r>
      <w:r>
        <w:t>通过促进制造业</w:t>
      </w:r>
      <w:r w:rsidR="001368A8">
        <w:rPr>
          <w:rFonts w:hint="eastAsia"/>
        </w:rPr>
        <w:t>，</w:t>
      </w:r>
      <w:r>
        <w:t>刺激欧洲设计生态系统，并支持整个价值链的规模扩大和创新，增强欧洲的竞争力和韧性。通过</w:t>
      </w:r>
      <w:r>
        <w:rPr>
          <w:rFonts w:hint="eastAsia"/>
        </w:rPr>
        <w:t>《</w:t>
      </w:r>
      <w:r>
        <w:t>芯片法</w:t>
      </w:r>
      <w:r>
        <w:rPr>
          <w:rFonts w:hint="eastAsia"/>
        </w:rPr>
        <w:t>案》</w:t>
      </w:r>
      <w:r>
        <w:t>，欧盟</w:t>
      </w:r>
      <w:r>
        <w:rPr>
          <w:rFonts w:hint="eastAsia"/>
        </w:rPr>
        <w:t>设定</w:t>
      </w:r>
      <w:r>
        <w:t>目标</w:t>
      </w:r>
      <w:r>
        <w:rPr>
          <w:rFonts w:hint="eastAsia"/>
        </w:rPr>
        <w:t>，</w:t>
      </w:r>
      <w:r>
        <w:t>到2030年将其在全球半导体市场的份额翻倍至20%</w:t>
      </w:r>
      <w:r>
        <w:rPr>
          <w:rFonts w:hint="eastAsia"/>
        </w:rPr>
        <w:t>，目前已经引发价值超过</w:t>
      </w:r>
      <w:r>
        <w:t>1000亿欧元的公共和私人投资计划，包括：</w:t>
      </w:r>
      <w:r>
        <w:rPr>
          <w:rFonts w:hint="eastAsia"/>
        </w:rPr>
        <w:t>1、</w:t>
      </w:r>
      <w:r>
        <w:t>英特尔在德国马格德堡宣布了一个大型晶圆厂，投资额为300亿欧元。</w:t>
      </w:r>
      <w:proofErr w:type="gramStart"/>
      <w:r>
        <w:t>该晶圆厂</w:t>
      </w:r>
      <w:proofErr w:type="gramEnd"/>
      <w:r>
        <w:t>将生产最先进的两纳米以下芯片</w:t>
      </w:r>
      <w:r>
        <w:rPr>
          <w:rFonts w:hint="eastAsia"/>
        </w:rPr>
        <w:t>；2、</w:t>
      </w:r>
      <w:r>
        <w:t>英特尔还宣布进一步投资120亿欧元以扩大他们在爱尔兰的晶圆厂</w:t>
      </w:r>
      <w:r>
        <w:rPr>
          <w:rFonts w:hint="eastAsia"/>
        </w:rPr>
        <w:t>；3、</w:t>
      </w:r>
      <w:r>
        <w:t>英飞凌将投资50</w:t>
      </w:r>
      <w:r w:rsidR="00223D3E">
        <w:t>亿欧元在德国德累斯顿</w:t>
      </w:r>
      <w:r>
        <w:t>扩大模拟、混合信号和电源电路的生产。</w:t>
      </w:r>
    </w:p>
    <w:p w:rsidR="00DD0FCC" w:rsidRDefault="00380072">
      <w:pPr>
        <w:spacing w:line="360" w:lineRule="auto"/>
      </w:pPr>
      <w:r>
        <w:rPr>
          <w:rFonts w:hint="eastAsia"/>
        </w:rPr>
        <w:t>此外，根据国家援助规则，委员会已经批准了法国和意大利支持在克罗勒和卡塔尼亚建设首个微芯片制造设施。批准的援助金额接近</w:t>
      </w:r>
      <w:r>
        <w:t>32亿欧元，整体投资价值超过80亿欧元。</w:t>
      </w:r>
      <w:r>
        <w:rPr>
          <w:rFonts w:hint="eastAsia"/>
        </w:rPr>
        <w:t>委员会还批准了一个重要的共同欧洲利益项目，支持微电子和通信技术的整个价值链的研究、创新和首次工业部署。成员国提供的</w:t>
      </w:r>
      <w:r>
        <w:t>81亿欧元</w:t>
      </w:r>
      <w:proofErr w:type="gramStart"/>
      <w:r>
        <w:t>公共支持</w:t>
      </w:r>
      <w:proofErr w:type="gramEnd"/>
      <w:r>
        <w:t>预计将释放额外的137亿欧元的私人投</w:t>
      </w:r>
      <w:r>
        <w:lastRenderedPageBreak/>
        <w:t>资。</w:t>
      </w:r>
    </w:p>
    <w:p w:rsidR="00DD0FCC" w:rsidRDefault="00223D3E">
      <w:pPr>
        <w:spacing w:line="360" w:lineRule="auto"/>
      </w:pPr>
      <w:r>
        <w:rPr>
          <w:rFonts w:hint="eastAsia"/>
          <w:b/>
        </w:rPr>
        <w:t>（</w:t>
      </w:r>
      <w:r w:rsidR="00380072">
        <w:rPr>
          <w:rFonts w:hint="eastAsia"/>
          <w:b/>
        </w:rPr>
        <w:t>二</w:t>
      </w:r>
      <w:r>
        <w:rPr>
          <w:rFonts w:hint="eastAsia"/>
          <w:b/>
        </w:rPr>
        <w:t>）</w:t>
      </w:r>
      <w:r w:rsidR="00380072">
        <w:rPr>
          <w:rFonts w:hint="eastAsia"/>
          <w:b/>
          <w:bCs/>
        </w:rPr>
        <w:t>AI</w:t>
      </w:r>
      <w:r w:rsidR="00380072">
        <w:rPr>
          <w:rFonts w:hint="eastAsia"/>
        </w:rPr>
        <w:t>：</w:t>
      </w:r>
      <w:r w:rsidR="00380072">
        <w:rPr>
          <w:rFonts w:hint="eastAsia"/>
          <w:b/>
        </w:rPr>
        <w:t>确保</w:t>
      </w:r>
      <w:r w:rsidR="00380072">
        <w:rPr>
          <w:b/>
        </w:rPr>
        <w:t>AI系统在人类控制之下安全、透明、道德、无偏见</w:t>
      </w:r>
      <w:r w:rsidR="00380072">
        <w:rPr>
          <w:rFonts w:hint="eastAsia"/>
          <w:b/>
        </w:rPr>
        <w:t>地使用</w:t>
      </w:r>
    </w:p>
    <w:p w:rsidR="00DD0FCC" w:rsidRDefault="00380072">
      <w:pPr>
        <w:spacing w:line="360" w:lineRule="auto"/>
      </w:pPr>
      <w:r>
        <w:rPr>
          <w:rFonts w:hint="eastAsia"/>
        </w:rPr>
        <w:t>A</w:t>
      </w:r>
      <w:r>
        <w:t>I为</w:t>
      </w:r>
      <w:r>
        <w:rPr>
          <w:rFonts w:hint="eastAsia"/>
        </w:rPr>
        <w:t>人类</w:t>
      </w:r>
      <w:r>
        <w:t>社会带来的潜在好处是多方面的，从改进医疗保健到</w:t>
      </w:r>
      <w:r>
        <w:rPr>
          <w:rFonts w:hint="eastAsia"/>
        </w:rPr>
        <w:t>提供</w:t>
      </w:r>
      <w:r>
        <w:t>更好的教育。</w:t>
      </w:r>
      <w:r>
        <w:rPr>
          <w:rFonts w:hint="eastAsia"/>
        </w:rPr>
        <w:t>在</w:t>
      </w:r>
      <w:proofErr w:type="spellStart"/>
      <w:r>
        <w:rPr>
          <w:rFonts w:hint="eastAsia"/>
        </w:rPr>
        <w:t>ChatGPT</w:t>
      </w:r>
      <w:proofErr w:type="spellEnd"/>
      <w:r>
        <w:rPr>
          <w:rFonts w:hint="eastAsia"/>
        </w:rPr>
        <w:t>及相关服务成为大众现象之前，欧盟委员会已经预见到AI在人们生活中的影响。通过制定</w:t>
      </w:r>
      <w:r>
        <w:rPr>
          <w:rFonts w:hint="eastAsia"/>
          <w:b/>
        </w:rPr>
        <w:t>《AI法案》</w:t>
      </w:r>
      <w:r>
        <w:rPr>
          <w:rFonts w:hint="eastAsia"/>
        </w:rPr>
        <w:t>（注：已于3月1</w:t>
      </w:r>
      <w:r>
        <w:t>3</w:t>
      </w:r>
      <w:r>
        <w:rPr>
          <w:rFonts w:hint="eastAsia"/>
        </w:rPr>
        <w:t>日由欧盟议会正式通过），欧盟成为世界上第一个设置安全可信护栏防范风险的司法管辖区</w:t>
      </w:r>
      <w:r>
        <w:t>。该法案</w:t>
      </w:r>
      <w:r>
        <w:rPr>
          <w:rFonts w:hint="eastAsia"/>
        </w:rPr>
        <w:t>遵循</w:t>
      </w:r>
      <w:r>
        <w:t>以人为本和</w:t>
      </w:r>
      <w:r>
        <w:rPr>
          <w:rFonts w:hint="eastAsia"/>
        </w:rPr>
        <w:t>友好</w:t>
      </w:r>
      <w:r>
        <w:t>创新</w:t>
      </w:r>
      <w:r>
        <w:rPr>
          <w:rFonts w:hint="eastAsia"/>
        </w:rPr>
        <w:t>原则</w:t>
      </w:r>
      <w:r>
        <w:t>，在必要时对AI进行规范，以解决对健康、安全和基本权利</w:t>
      </w:r>
      <w:r>
        <w:rPr>
          <w:rFonts w:hint="eastAsia"/>
        </w:rPr>
        <w:t>带来</w:t>
      </w:r>
      <w:r>
        <w:t>的风险，并确保为创新提供公平的竞争环境，而不会为大多数</w:t>
      </w:r>
      <w:r>
        <w:rPr>
          <w:rFonts w:hint="eastAsia"/>
        </w:rPr>
        <w:t>企业对用例使用</w:t>
      </w:r>
      <w:r>
        <w:t>增加额外</w:t>
      </w:r>
      <w:r>
        <w:rPr>
          <w:rFonts w:hint="eastAsia"/>
        </w:rPr>
        <w:t>的</w:t>
      </w:r>
      <w:r>
        <w:t>负担。</w:t>
      </w:r>
      <w:r>
        <w:rPr>
          <w:rFonts w:hint="eastAsia"/>
        </w:rPr>
        <w:t>通过《</w:t>
      </w:r>
      <w:r>
        <w:t>AI法案</w:t>
      </w:r>
      <w:r>
        <w:rPr>
          <w:rFonts w:hint="eastAsia"/>
        </w:rPr>
        <w:t>》</w:t>
      </w:r>
      <w:r>
        <w:t>，欧盟</w:t>
      </w:r>
      <w:r>
        <w:rPr>
          <w:rFonts w:hint="eastAsia"/>
        </w:rPr>
        <w:t>也</w:t>
      </w:r>
      <w:r>
        <w:t>为可信AI的全球护栏发展做出贡献。</w:t>
      </w:r>
    </w:p>
    <w:p w:rsidR="00DD0FCC" w:rsidRDefault="00380072">
      <w:pPr>
        <w:spacing w:line="360" w:lineRule="auto"/>
      </w:pPr>
      <w:r>
        <w:rPr>
          <w:rFonts w:hint="eastAsia"/>
        </w:rPr>
        <w:t>委员会设定了一个目标，即每年在</w:t>
      </w:r>
      <w:r>
        <w:t>AI研究和创新上投资超过10亿欧元，目的是在</w:t>
      </w:r>
      <w:r>
        <w:rPr>
          <w:rFonts w:hint="eastAsia"/>
        </w:rPr>
        <w:t>数字化战略的</w:t>
      </w:r>
      <w:r>
        <w:t>十年内每年</w:t>
      </w:r>
      <w:r>
        <w:rPr>
          <w:rFonts w:hint="eastAsia"/>
        </w:rPr>
        <w:t>都能</w:t>
      </w:r>
      <w:r>
        <w:t>吸引更多的AI投资。这个目标在2022年已经大幅超额完成，当年动员</w:t>
      </w:r>
      <w:r>
        <w:rPr>
          <w:rFonts w:hint="eastAsia"/>
        </w:rPr>
        <w:t>到</w:t>
      </w:r>
      <w:r>
        <w:t>超过30亿欧元的欧盟资金。</w:t>
      </w:r>
    </w:p>
    <w:p w:rsidR="00DD0FCC" w:rsidRDefault="00380072">
      <w:pPr>
        <w:spacing w:line="360" w:lineRule="auto"/>
      </w:pPr>
      <w:r>
        <w:rPr>
          <w:rFonts w:hint="eastAsia"/>
        </w:rPr>
        <w:t>另外，开发</w:t>
      </w:r>
      <w:r>
        <w:t>AI模型，获取超级计算机的访问至关重要</w:t>
      </w:r>
      <w:r>
        <w:rPr>
          <w:rFonts w:hint="eastAsia"/>
        </w:rPr>
        <w:t>，可</w:t>
      </w:r>
      <w:r>
        <w:t>将算法的训练时间从数月或数年减少到仅</w:t>
      </w:r>
      <w:r>
        <w:rPr>
          <w:rFonts w:hint="eastAsia"/>
        </w:rPr>
        <w:t>仅</w:t>
      </w:r>
      <w:r>
        <w:t>几周。欧盟目前拥有三台世界级的超级计算机</w:t>
      </w:r>
      <w:r>
        <w:rPr>
          <w:rFonts w:hint="eastAsia"/>
        </w:rPr>
        <w:t>，分别</w:t>
      </w:r>
      <w:r>
        <w:t>位于芬兰、意大利和西班牙</w:t>
      </w:r>
      <w:r>
        <w:rPr>
          <w:rFonts w:hint="eastAsia"/>
        </w:rPr>
        <w:t>，</w:t>
      </w:r>
      <w:r>
        <w:t>为欧洲的AI初创公司、中小企业和更广泛的AI社区提供访问权限。</w:t>
      </w:r>
    </w:p>
    <w:p w:rsidR="00DD0FCC" w:rsidRDefault="00223D3E">
      <w:pPr>
        <w:spacing w:line="360" w:lineRule="auto"/>
        <w:rPr>
          <w:b/>
        </w:rPr>
      </w:pPr>
      <w:r>
        <w:rPr>
          <w:rFonts w:hint="eastAsia"/>
          <w:b/>
        </w:rPr>
        <w:t>（</w:t>
      </w:r>
      <w:r w:rsidR="00380072">
        <w:rPr>
          <w:rFonts w:hint="eastAsia"/>
          <w:b/>
        </w:rPr>
        <w:t>三</w:t>
      </w:r>
      <w:r>
        <w:rPr>
          <w:rFonts w:hint="eastAsia"/>
          <w:b/>
        </w:rPr>
        <w:t>）</w:t>
      </w:r>
      <w:r w:rsidR="00380072">
        <w:rPr>
          <w:rFonts w:hint="eastAsia"/>
          <w:b/>
        </w:rPr>
        <w:t>数据：</w:t>
      </w:r>
      <w:r w:rsidR="00380072">
        <w:rPr>
          <w:b/>
        </w:rPr>
        <w:t>以</w:t>
      </w:r>
      <w:r w:rsidR="00380072">
        <w:rPr>
          <w:rFonts w:hint="eastAsia"/>
          <w:b/>
        </w:rPr>
        <w:t>可信</w:t>
      </w:r>
      <w:r w:rsidR="00380072">
        <w:rPr>
          <w:b/>
        </w:rPr>
        <w:t>安全方式</w:t>
      </w:r>
      <w:r w:rsidR="00380072">
        <w:rPr>
          <w:rFonts w:hint="eastAsia"/>
          <w:b/>
        </w:rPr>
        <w:t>挖</w:t>
      </w:r>
      <w:r w:rsidR="00380072">
        <w:rPr>
          <w:b/>
        </w:rPr>
        <w:t>掘</w:t>
      </w:r>
      <w:r w:rsidR="00380072">
        <w:rPr>
          <w:rFonts w:hint="eastAsia"/>
          <w:b/>
        </w:rPr>
        <w:t>并释放</w:t>
      </w:r>
      <w:r w:rsidR="00380072">
        <w:rPr>
          <w:b/>
        </w:rPr>
        <w:t>数据的经济</w:t>
      </w:r>
      <w:r w:rsidR="00380072">
        <w:rPr>
          <w:rFonts w:hint="eastAsia"/>
          <w:b/>
        </w:rPr>
        <w:t>价值</w:t>
      </w:r>
    </w:p>
    <w:p w:rsidR="00DD0FCC" w:rsidRDefault="00380072">
      <w:pPr>
        <w:spacing w:line="360" w:lineRule="auto"/>
        <w:rPr>
          <w:bCs/>
        </w:rPr>
      </w:pPr>
      <w:r>
        <w:rPr>
          <w:rFonts w:hint="eastAsia"/>
          <w:b/>
          <w:bCs/>
        </w:rPr>
        <w:t>数据是数字化产品和服务的构建块，AI革命将由数据驱动。</w:t>
      </w:r>
      <w:r>
        <w:rPr>
          <w:rFonts w:hint="eastAsia"/>
          <w:bCs/>
        </w:rPr>
        <w:t>获取并使用</w:t>
      </w:r>
      <w:r w:rsidR="00223D3E">
        <w:rPr>
          <w:rFonts w:hint="eastAsia"/>
          <w:bCs/>
        </w:rPr>
        <w:t>数量</w:t>
      </w:r>
      <w:r>
        <w:rPr>
          <w:rFonts w:hint="eastAsia"/>
          <w:bCs/>
        </w:rPr>
        <w:t>不断增长的数据，是经济增长、竞争力、创新和创造就业的关键要素。</w:t>
      </w:r>
    </w:p>
    <w:p w:rsidR="00DD0FCC" w:rsidRDefault="00380072">
      <w:pPr>
        <w:spacing w:line="360" w:lineRule="auto"/>
        <w:rPr>
          <w:bCs/>
        </w:rPr>
      </w:pPr>
      <w:r>
        <w:rPr>
          <w:rFonts w:hint="eastAsia"/>
          <w:bCs/>
        </w:rPr>
        <w:t>自</w:t>
      </w:r>
      <w:r>
        <w:rPr>
          <w:bCs/>
        </w:rPr>
        <w:t>2023年9月全面实施以来，</w:t>
      </w:r>
      <w:r>
        <w:rPr>
          <w:b/>
          <w:bCs/>
        </w:rPr>
        <w:t>《数据治理法案》</w:t>
      </w:r>
      <w:r>
        <w:rPr>
          <w:bCs/>
        </w:rPr>
        <w:t>制定了对数据中介提高信任的要求，并加强了数据共享机制。它使得在包括健康和</w:t>
      </w:r>
      <w:r>
        <w:rPr>
          <w:rFonts w:hint="eastAsia"/>
          <w:bCs/>
        </w:rPr>
        <w:t>出行</w:t>
      </w:r>
      <w:r>
        <w:rPr>
          <w:bCs/>
        </w:rPr>
        <w:t>在内的关键</w:t>
      </w:r>
      <w:r>
        <w:rPr>
          <w:rFonts w:hint="eastAsia"/>
          <w:bCs/>
        </w:rPr>
        <w:t>行业和</w:t>
      </w:r>
      <w:r>
        <w:rPr>
          <w:bCs/>
        </w:rPr>
        <w:t>领域创建欧洲共同数据空间成为可能，这些空间促</w:t>
      </w:r>
      <w:r>
        <w:rPr>
          <w:rFonts w:hint="eastAsia"/>
          <w:bCs/>
        </w:rPr>
        <w:t>成数据</w:t>
      </w:r>
      <w:r>
        <w:rPr>
          <w:bCs/>
        </w:rPr>
        <w:t>以受控</w:t>
      </w:r>
      <w:r>
        <w:rPr>
          <w:rFonts w:hint="eastAsia"/>
          <w:bCs/>
        </w:rPr>
        <w:t>、可信</w:t>
      </w:r>
      <w:r>
        <w:rPr>
          <w:bCs/>
        </w:rPr>
        <w:t>和安全的方式汇集和共享。</w:t>
      </w:r>
    </w:p>
    <w:p w:rsidR="00DD0FCC" w:rsidRDefault="00380072">
      <w:pPr>
        <w:spacing w:line="360" w:lineRule="auto"/>
        <w:rPr>
          <w:bCs/>
        </w:rPr>
      </w:pPr>
      <w:r>
        <w:rPr>
          <w:rFonts w:hint="eastAsia"/>
        </w:rPr>
        <w:t>为了释放数据价值潜力，将于</w:t>
      </w:r>
      <w:r>
        <w:t>2025年9月</w:t>
      </w:r>
      <w:r>
        <w:rPr>
          <w:rFonts w:hint="eastAsia"/>
        </w:rPr>
        <w:t>实施</w:t>
      </w:r>
      <w:r>
        <w:t>的</w:t>
      </w:r>
      <w:r>
        <w:rPr>
          <w:b/>
        </w:rPr>
        <w:t>《数据法案》</w:t>
      </w:r>
      <w:r>
        <w:rPr>
          <w:rFonts w:hint="eastAsia"/>
        </w:rPr>
        <w:t>要求所有连接设备类型的用户数据开放共享用于创新，并要求数据处理服务具公平和</w:t>
      </w:r>
      <w:proofErr w:type="gramStart"/>
      <w:r>
        <w:rPr>
          <w:rFonts w:hint="eastAsia"/>
        </w:rPr>
        <w:t>可</w:t>
      </w:r>
      <w:proofErr w:type="gramEnd"/>
      <w:r>
        <w:rPr>
          <w:rFonts w:hint="eastAsia"/>
        </w:rPr>
        <w:t>竞争性，为可信数据中介和数据空间建立相关标准，创建</w:t>
      </w:r>
      <w:r>
        <w:t>促进公司、个人和公共部门</w:t>
      </w:r>
      <w:r>
        <w:rPr>
          <w:rFonts w:hint="eastAsia"/>
        </w:rPr>
        <w:t>之间</w:t>
      </w:r>
      <w:r>
        <w:t>数据共享的流程和</w:t>
      </w:r>
      <w:r>
        <w:rPr>
          <w:rFonts w:hint="eastAsia"/>
        </w:rPr>
        <w:t>架构。该法案</w:t>
      </w:r>
      <w:r>
        <w:t>通过解锁工业数据</w:t>
      </w:r>
      <w:r>
        <w:rPr>
          <w:rFonts w:hint="eastAsia"/>
        </w:rPr>
        <w:t>，</w:t>
      </w:r>
      <w:r>
        <w:t>通过更容易的迁移和公平的合同条款促进欧盟数据经济，从而推动</w:t>
      </w:r>
      <w:r>
        <w:rPr>
          <w:rFonts w:hint="eastAsia"/>
        </w:rPr>
        <w:t>欧洲</w:t>
      </w:r>
      <w:proofErr w:type="gramStart"/>
      <w:r>
        <w:rPr>
          <w:rFonts w:hint="eastAsia"/>
        </w:rPr>
        <w:t>云市场</w:t>
      </w:r>
      <w:proofErr w:type="gramEnd"/>
      <w:r>
        <w:rPr>
          <w:rFonts w:hint="eastAsia"/>
        </w:rPr>
        <w:t>更具</w:t>
      </w:r>
      <w:r>
        <w:t>竞争力和可靠</w:t>
      </w:r>
      <w:r>
        <w:rPr>
          <w:rFonts w:hint="eastAsia"/>
        </w:rPr>
        <w:t>性。</w:t>
      </w:r>
      <w:r>
        <w:t>因为</w:t>
      </w:r>
      <w:r>
        <w:rPr>
          <w:rFonts w:hint="eastAsia"/>
        </w:rPr>
        <w:t>面向并</w:t>
      </w:r>
      <w:r>
        <w:t>解决目前导致数据利用不足的法律、经济和技术</w:t>
      </w:r>
      <w:r>
        <w:rPr>
          <w:rFonts w:hint="eastAsia"/>
        </w:rPr>
        <w:t>相关</w:t>
      </w:r>
      <w:r>
        <w:t>挑战，到2028年</w:t>
      </w:r>
      <w:r>
        <w:rPr>
          <w:rFonts w:hint="eastAsia"/>
        </w:rPr>
        <w:t>预计</w:t>
      </w:r>
      <w:r>
        <w:t>新规则可能</w:t>
      </w:r>
      <w:r>
        <w:rPr>
          <w:rFonts w:hint="eastAsia"/>
        </w:rPr>
        <w:t>为欧盟带来</w:t>
      </w:r>
      <w:r>
        <w:t>2700亿欧元</w:t>
      </w:r>
      <w:r>
        <w:rPr>
          <w:rFonts w:hint="eastAsia"/>
        </w:rPr>
        <w:t>的新增</w:t>
      </w:r>
      <w:r>
        <w:t>GDP</w:t>
      </w:r>
      <w:r>
        <w:rPr>
          <w:rFonts w:hint="eastAsia"/>
        </w:rPr>
        <w:t>。</w:t>
      </w:r>
    </w:p>
    <w:p w:rsidR="00DD0FCC" w:rsidRDefault="00380072">
      <w:pPr>
        <w:spacing w:line="360" w:lineRule="auto"/>
        <w:rPr>
          <w:color w:val="000000" w:themeColor="text1"/>
        </w:rPr>
      </w:pPr>
      <w:r>
        <w:rPr>
          <w:rFonts w:hint="eastAsia"/>
          <w:color w:val="000000" w:themeColor="text1"/>
        </w:rPr>
        <w:t>另外，</w:t>
      </w:r>
      <w:r>
        <w:rPr>
          <w:rFonts w:hint="eastAsia"/>
          <w:b/>
          <w:color w:val="000000" w:themeColor="text1"/>
        </w:rPr>
        <w:t>《网络韧性法案》</w:t>
      </w:r>
      <w:r>
        <w:rPr>
          <w:rFonts w:hint="eastAsia"/>
          <w:color w:val="000000" w:themeColor="text1"/>
        </w:rPr>
        <w:t>通过为在欧盟销售的所有连接设备设定高级网络安全标准，保证数据安全。</w:t>
      </w:r>
    </w:p>
    <w:p w:rsidR="00DD0FCC" w:rsidRDefault="00223D3E">
      <w:pPr>
        <w:spacing w:line="360" w:lineRule="auto"/>
      </w:pPr>
      <w:r>
        <w:rPr>
          <w:rFonts w:hint="eastAsia"/>
          <w:b/>
          <w:bCs/>
        </w:rPr>
        <w:t>（</w:t>
      </w:r>
      <w:r w:rsidR="00380072">
        <w:rPr>
          <w:rFonts w:hint="eastAsia"/>
          <w:b/>
          <w:bCs/>
        </w:rPr>
        <w:t>四</w:t>
      </w:r>
      <w:r>
        <w:rPr>
          <w:rFonts w:hint="eastAsia"/>
          <w:b/>
          <w:bCs/>
        </w:rPr>
        <w:t>）</w:t>
      </w:r>
      <w:r w:rsidR="00380072">
        <w:rPr>
          <w:rFonts w:hint="eastAsia"/>
          <w:b/>
          <w:bCs/>
        </w:rPr>
        <w:t>平台：赋予在线用户权力并以此设定全球标杆</w:t>
      </w:r>
    </w:p>
    <w:p w:rsidR="00DD0FCC" w:rsidRDefault="00380072">
      <w:pPr>
        <w:spacing w:line="360" w:lineRule="auto"/>
      </w:pPr>
      <w:r>
        <w:rPr>
          <w:rFonts w:hint="eastAsia"/>
          <w:b/>
        </w:rPr>
        <w:lastRenderedPageBreak/>
        <w:t>《数字服务法案（D</w:t>
      </w:r>
      <w:r>
        <w:rPr>
          <w:b/>
        </w:rPr>
        <w:t>SA</w:t>
      </w:r>
      <w:r>
        <w:rPr>
          <w:rFonts w:hint="eastAsia"/>
          <w:b/>
        </w:rPr>
        <w:t>）》</w:t>
      </w:r>
      <w:r>
        <w:rPr>
          <w:rFonts w:hint="eastAsia"/>
        </w:rPr>
        <w:t>对最大的平台施加更大的责任，对在线平台有关非法内容、虚假信息和其他社会风险的问责制设定了新标准。自2024年2月17日起，DSA的一般义务适用于所有在线平台，</w:t>
      </w:r>
      <w:r>
        <w:rPr>
          <w:rFonts w:hint="eastAsia"/>
          <w:bCs/>
        </w:rPr>
        <w:t>义务包括：发布用户数量和透明度报告</w:t>
      </w:r>
      <w:r>
        <w:rPr>
          <w:rFonts w:hint="eastAsia"/>
        </w:rPr>
        <w:t>；</w:t>
      </w:r>
      <w:r>
        <w:rPr>
          <w:rFonts w:hint="eastAsia"/>
          <w:bCs/>
        </w:rPr>
        <w:t>拥有清晰的使用条款和条件并适当执行</w:t>
      </w:r>
      <w:r>
        <w:rPr>
          <w:rFonts w:hint="eastAsia"/>
        </w:rPr>
        <w:t>；</w:t>
      </w:r>
      <w:r>
        <w:rPr>
          <w:rFonts w:hint="eastAsia"/>
          <w:bCs/>
        </w:rPr>
        <w:t>删除非法内容</w:t>
      </w:r>
      <w:r>
        <w:rPr>
          <w:rFonts w:hint="eastAsia"/>
        </w:rPr>
        <w:t>；</w:t>
      </w:r>
      <w:r>
        <w:rPr>
          <w:rFonts w:hint="eastAsia"/>
          <w:bCs/>
        </w:rPr>
        <w:t>提供内容审查的理由声明和寻求救济的途径</w:t>
      </w:r>
      <w:r>
        <w:rPr>
          <w:rFonts w:hint="eastAsia"/>
        </w:rPr>
        <w:t>；</w:t>
      </w:r>
      <w:r>
        <w:rPr>
          <w:rFonts w:hint="eastAsia"/>
          <w:bCs/>
        </w:rPr>
        <w:t>以及禁止针对未成年人的广告定向或基于敏感个人数据的广告</w:t>
      </w:r>
      <w:r>
        <w:rPr>
          <w:rFonts w:hint="eastAsia"/>
        </w:rPr>
        <w:t>。</w:t>
      </w:r>
    </w:p>
    <w:p w:rsidR="00DD0FCC" w:rsidRDefault="00380072">
      <w:pPr>
        <w:spacing w:line="360" w:lineRule="auto"/>
      </w:pPr>
      <w:r>
        <w:rPr>
          <w:rFonts w:hint="eastAsia"/>
          <w:bCs/>
        </w:rPr>
        <w:t>每月达到超过4500万用户的大型在线平台或搜索引擎受到更严格的规定，</w:t>
      </w:r>
      <w:r>
        <w:rPr>
          <w:rFonts w:hint="eastAsia"/>
        </w:rPr>
        <w:t>规定包括：</w:t>
      </w:r>
      <w:r>
        <w:rPr>
          <w:rFonts w:hint="eastAsia"/>
          <w:bCs/>
        </w:rPr>
        <w:t>允许用户选择退出他们看到的内容的个性化</w:t>
      </w:r>
      <w:r>
        <w:rPr>
          <w:rFonts w:hint="eastAsia"/>
        </w:rPr>
        <w:t>；</w:t>
      </w:r>
      <w:r>
        <w:rPr>
          <w:rFonts w:hint="eastAsia"/>
          <w:bCs/>
        </w:rPr>
        <w:t>在其界面上发布所有广告的存储库，包括</w:t>
      </w:r>
      <w:proofErr w:type="gramStart"/>
      <w:r>
        <w:rPr>
          <w:rFonts w:hint="eastAsia"/>
          <w:bCs/>
        </w:rPr>
        <w:t>谁推广</w:t>
      </w:r>
      <w:proofErr w:type="gramEnd"/>
      <w:r>
        <w:rPr>
          <w:rFonts w:hint="eastAsia"/>
          <w:bCs/>
        </w:rPr>
        <w:t>了它们</w:t>
      </w:r>
      <w:r>
        <w:rPr>
          <w:rFonts w:hint="eastAsia"/>
        </w:rPr>
        <w:t>；</w:t>
      </w:r>
      <w:r>
        <w:rPr>
          <w:rFonts w:hint="eastAsia"/>
          <w:bCs/>
        </w:rPr>
        <w:t>停止基于敏感个人数据的定向广告，以及对儿童的广告</w:t>
      </w:r>
      <w:r>
        <w:rPr>
          <w:rFonts w:hint="eastAsia"/>
        </w:rPr>
        <w:t>；</w:t>
      </w:r>
      <w:r>
        <w:rPr>
          <w:rFonts w:hint="eastAsia"/>
          <w:bCs/>
        </w:rPr>
        <w:t>并允许研究人员访问数据</w:t>
      </w:r>
      <w:r>
        <w:rPr>
          <w:rFonts w:hint="eastAsia"/>
        </w:rPr>
        <w:t>。</w:t>
      </w:r>
      <w:r>
        <w:rPr>
          <w:rFonts w:hint="eastAsia"/>
          <w:bCs/>
        </w:rPr>
        <w:t>DSA正在显示其影响力</w:t>
      </w:r>
      <w:r>
        <w:rPr>
          <w:rFonts w:hint="eastAsia"/>
        </w:rPr>
        <w:t>，委员会先后对X公司和</w:t>
      </w:r>
      <w:proofErr w:type="spellStart"/>
      <w:r>
        <w:rPr>
          <w:rFonts w:hint="eastAsia"/>
        </w:rPr>
        <w:t>TikTok</w:t>
      </w:r>
      <w:proofErr w:type="spellEnd"/>
      <w:r>
        <w:rPr>
          <w:rFonts w:hint="eastAsia"/>
        </w:rPr>
        <w:t>开启了正式程序。</w:t>
      </w:r>
    </w:p>
    <w:p w:rsidR="00DD0FCC" w:rsidRDefault="00380072">
      <w:pPr>
        <w:spacing w:line="360" w:lineRule="auto"/>
      </w:pPr>
      <w:r>
        <w:rPr>
          <w:rFonts w:hint="eastAsia"/>
          <w:b/>
        </w:rPr>
        <w:t>《数字市场法案（D</w:t>
      </w:r>
      <w:r>
        <w:rPr>
          <w:b/>
        </w:rPr>
        <w:t>MA</w:t>
      </w:r>
      <w:r>
        <w:rPr>
          <w:rFonts w:hint="eastAsia"/>
          <w:b/>
        </w:rPr>
        <w:t>）》</w:t>
      </w:r>
      <w:r>
        <w:rPr>
          <w:rFonts w:hint="eastAsia"/>
          <w:bCs/>
        </w:rPr>
        <w:t>将为商家创造挑战“守门人”的机会，确保公平、开放和竞争性的数字化市场。</w:t>
      </w:r>
      <w:r>
        <w:rPr>
          <w:rFonts w:hint="eastAsia"/>
        </w:rPr>
        <w:t>2023年9月，委员会根据DMA确定了六个“守门人”公司：Alphabet、亚马逊、苹果、字节跳动、Meta和微软，它们是最大的全球数字化公司，总共占据了22个核心平台服务，因其规模和作为商业用户</w:t>
      </w:r>
      <w:proofErr w:type="gramStart"/>
      <w:r>
        <w:rPr>
          <w:rFonts w:hint="eastAsia"/>
        </w:rPr>
        <w:t>触达用户</w:t>
      </w:r>
      <w:proofErr w:type="gramEnd"/>
      <w:r>
        <w:rPr>
          <w:rFonts w:hint="eastAsia"/>
        </w:rPr>
        <w:t>的通道角色，在内部市场中占据特别重要的位置。自2024年3月起，要求六个“守门人”公司需确保完全遵守DMA规定的义务。</w:t>
      </w:r>
    </w:p>
    <w:p w:rsidR="00DD0FCC" w:rsidRDefault="00380072">
      <w:pPr>
        <w:spacing w:line="360" w:lineRule="auto"/>
      </w:pPr>
      <w:r>
        <w:rPr>
          <w:rFonts w:hint="eastAsia"/>
        </w:rPr>
        <w:t>新规则阻止“守门人”平台基于自身利益并利用其经济实力排挤其他创新型企业，赋予中小企业和初创企业权力，并确保消费者从优质服务和更多透明度中受益。例如，“守门人”不再能在自己的平台上进行自我优先推荐；用户可以从他们的设备中删除预装软件，并可以从替代应用商店下载应用程序；企业可以获得免费的广告数据，并可以在“守门人”平台外达成协议；开发者可以使用替代性的支付或识别系统。</w:t>
      </w:r>
    </w:p>
    <w:p w:rsidR="00DD0FCC" w:rsidRDefault="00223D3E">
      <w:pPr>
        <w:spacing w:line="360" w:lineRule="auto"/>
      </w:pPr>
      <w:r>
        <w:rPr>
          <w:rFonts w:hint="eastAsia"/>
          <w:b/>
        </w:rPr>
        <w:t>（</w:t>
      </w:r>
      <w:r w:rsidR="00380072">
        <w:rPr>
          <w:rFonts w:hint="eastAsia"/>
          <w:b/>
        </w:rPr>
        <w:t>五</w:t>
      </w:r>
      <w:r>
        <w:rPr>
          <w:rFonts w:hint="eastAsia"/>
          <w:b/>
        </w:rPr>
        <w:t>）</w:t>
      </w:r>
      <w:r w:rsidR="00380072">
        <w:rPr>
          <w:rFonts w:hint="eastAsia"/>
          <w:b/>
        </w:rPr>
        <w:t>基础设施：</w:t>
      </w:r>
      <w:r w:rsidR="00380072">
        <w:rPr>
          <w:rFonts w:hint="eastAsia"/>
          <w:b/>
          <w:bCs/>
        </w:rPr>
        <w:t>加强网络安全和对网络威胁的抵御能力</w:t>
      </w:r>
    </w:p>
    <w:p w:rsidR="00DD0FCC" w:rsidRDefault="00380072">
      <w:pPr>
        <w:spacing w:line="360" w:lineRule="auto"/>
      </w:pPr>
      <w:r>
        <w:rPr>
          <w:rFonts w:hint="eastAsia"/>
        </w:rPr>
        <w:t>随着关键基础设施的网络攻击和旨在利用漏洞的攻击数量日益增多，复杂性也在增长。</w:t>
      </w:r>
    </w:p>
    <w:p w:rsidR="00DD0FCC" w:rsidRDefault="00380072">
      <w:pPr>
        <w:spacing w:line="360" w:lineRule="auto"/>
      </w:pPr>
      <w:r>
        <w:rPr>
          <w:rFonts w:hint="eastAsia"/>
          <w:b/>
        </w:rPr>
        <w:t>《</w:t>
      </w:r>
      <w:r>
        <w:rPr>
          <w:b/>
        </w:rPr>
        <w:t>NIS2指令</w:t>
      </w:r>
      <w:r>
        <w:rPr>
          <w:rFonts w:hint="eastAsia"/>
          <w:b/>
        </w:rPr>
        <w:t>》</w:t>
      </w:r>
      <w:r>
        <w:rPr>
          <w:b/>
        </w:rPr>
        <w:t>是欧盟的网络安全立法</w:t>
      </w:r>
      <w:r>
        <w:rPr>
          <w:rFonts w:hint="eastAsia"/>
        </w:rPr>
        <w:t>，是对</w:t>
      </w:r>
      <w:r>
        <w:t>2016年的欧盟网络安全规则</w:t>
      </w:r>
      <w:r w:rsidR="00223D3E">
        <w:rPr>
          <w:rFonts w:hint="eastAsia"/>
        </w:rPr>
        <w:t>的</w:t>
      </w:r>
      <w:r>
        <w:rPr>
          <w:rFonts w:hint="eastAsia"/>
        </w:rPr>
        <w:t>更新版本，于</w:t>
      </w:r>
      <w:r>
        <w:t>2023年生效。该指令</w:t>
      </w:r>
      <w:r>
        <w:rPr>
          <w:rFonts w:hint="eastAsia"/>
        </w:rPr>
        <w:t>完善</w:t>
      </w:r>
      <w:r>
        <w:t>了现有的法律框架，以跟上数字化增长的步伐以及网络安全威胁环境</w:t>
      </w:r>
      <w:r w:rsidR="00223D3E">
        <w:t>的不断演变</w:t>
      </w:r>
      <w:r>
        <w:t>。通过将网络安全规则的范围扩展到新的行业和实体</w:t>
      </w:r>
      <w:r>
        <w:rPr>
          <w:rFonts w:hint="eastAsia"/>
        </w:rPr>
        <w:t>，涵盖比如电信提供商、邮政服务、公共管理和医疗保健等新的领域，</w:t>
      </w:r>
      <w:r>
        <w:t>它进一步提高了公共和私营实体、主管机构以及整个欧盟的韧性和事件响应能力。</w:t>
      </w:r>
      <w:r>
        <w:rPr>
          <w:rFonts w:hint="eastAsia"/>
          <w:b/>
          <w:color w:val="000000" w:themeColor="text1"/>
        </w:rPr>
        <w:t>2023年12月达成的《网络韧性法案》提高了数字产品的网络安全水平</w:t>
      </w:r>
      <w:r>
        <w:rPr>
          <w:rFonts w:hint="eastAsia"/>
        </w:rPr>
        <w:t>。它为欧洲市场上所有的硬件和软件引入了网络安全要求，从婴儿监视器、智能手表和计算机游戏到防火墙和路由器。</w:t>
      </w:r>
      <w:r>
        <w:rPr>
          <w:rFonts w:hint="eastAsia"/>
          <w:b/>
        </w:rPr>
        <w:t>2024年3月由共同立法者达成的《欧盟网络团结法案》将改善整个欧盟对网络威胁的响应。</w:t>
      </w:r>
      <w:r>
        <w:rPr>
          <w:rFonts w:hint="eastAsia"/>
        </w:rPr>
        <w:t>它包括加强欧盟内部合作、增强威胁检测和意识、加强关键实体的准备情况以及加强危机管理和响应能力的措施。</w:t>
      </w:r>
    </w:p>
    <w:p w:rsidR="00DD0FCC" w:rsidRDefault="00223D3E">
      <w:pPr>
        <w:spacing w:line="360" w:lineRule="auto"/>
        <w:rPr>
          <w:b/>
        </w:rPr>
      </w:pPr>
      <w:r>
        <w:rPr>
          <w:rFonts w:hint="eastAsia"/>
          <w:b/>
        </w:rPr>
        <w:lastRenderedPageBreak/>
        <w:t>二、</w:t>
      </w:r>
      <w:r w:rsidRPr="00223D3E">
        <w:rPr>
          <w:rFonts w:hint="eastAsia"/>
          <w:b/>
        </w:rPr>
        <w:t>欧盟委员会“数字化十年”</w:t>
      </w:r>
      <w:r w:rsidR="00F24A54">
        <w:rPr>
          <w:rFonts w:hint="eastAsia"/>
          <w:b/>
        </w:rPr>
        <w:t>所取得</w:t>
      </w:r>
      <w:r w:rsidRPr="00223D3E">
        <w:rPr>
          <w:rFonts w:hint="eastAsia"/>
          <w:b/>
        </w:rPr>
        <w:t>成就</w:t>
      </w:r>
      <w:r>
        <w:rPr>
          <w:rFonts w:hint="eastAsia"/>
          <w:b/>
        </w:rPr>
        <w:t>的经验</w:t>
      </w:r>
      <w:r w:rsidRPr="00223D3E">
        <w:rPr>
          <w:rFonts w:hint="eastAsia"/>
          <w:b/>
        </w:rPr>
        <w:t>总结</w:t>
      </w:r>
    </w:p>
    <w:p w:rsidR="00DD0FCC" w:rsidRDefault="00380072">
      <w:pPr>
        <w:spacing w:line="360" w:lineRule="auto"/>
        <w:rPr>
          <w:b/>
        </w:rPr>
      </w:pPr>
      <w:r>
        <w:rPr>
          <w:rFonts w:hint="eastAsia"/>
          <w:b/>
        </w:rPr>
        <w:t>1、制度：完善数字化相关基础制度和法规体系，建立以人为中心的安全开放的数字环境</w:t>
      </w:r>
    </w:p>
    <w:p w:rsidR="00DD0FCC" w:rsidRDefault="00380072">
      <w:pPr>
        <w:spacing w:line="360" w:lineRule="auto"/>
      </w:pPr>
      <w:r>
        <w:rPr>
          <w:rFonts w:hint="eastAsia"/>
        </w:rPr>
        <w:t>欧盟委员会认为，为使所有欧洲人都能充分利用数字机会和技术，在数字空间中，需要确保线下适用的权利同样可以在线上行使。因此，人们使用的数字技术和服务必须符合适用法律框架，使人们能够执行他们的权利，如隐私权和数据保护权、言论自由权、儿童权利和消费者权利。同时需将数字原则根植于欧盟主要法律之中，尤其是《欧洲联盟条约》（TEU）、《欧洲联盟运作条约》（TFEU）、《基本权利宪章》和欧洲联盟法院的判例法，比如《消费者销售和保证指令》《欧洲无障碍法案》《欧洲电子通信法典》《视听媒体服务指令》《单一数字网关条例》或《网络安全法案》等次级立法，以及迅速制定和通过的比如《芯片法案》《A</w:t>
      </w:r>
      <w:r>
        <w:t>I</w:t>
      </w:r>
      <w:r>
        <w:rPr>
          <w:rFonts w:hint="eastAsia"/>
        </w:rPr>
        <w:t>法案》《数据治理法案》《数据法案》《数字服务法案》《数字市场法案》《</w:t>
      </w:r>
      <w:r>
        <w:t>NIS2指令》</w:t>
      </w:r>
      <w:r>
        <w:rPr>
          <w:rFonts w:hint="eastAsia"/>
        </w:rPr>
        <w:t>《网络韧性法案》和《欧盟网络团结法案》等法案和指令。</w:t>
      </w:r>
    </w:p>
    <w:p w:rsidR="00DD0FCC" w:rsidRDefault="00380072">
      <w:pPr>
        <w:spacing w:line="360" w:lineRule="auto"/>
        <w:rPr>
          <w:b/>
        </w:rPr>
      </w:pPr>
      <w:r>
        <w:rPr>
          <w:b/>
        </w:rPr>
        <w:t>2</w:t>
      </w:r>
      <w:r>
        <w:rPr>
          <w:rFonts w:hint="eastAsia"/>
          <w:b/>
        </w:rPr>
        <w:t>、治理：汇集成员国代表，从政策层面建立全面的数字化发展治理机制以及监测系统</w:t>
      </w:r>
    </w:p>
    <w:p w:rsidR="00DD0FCC" w:rsidRDefault="00380072">
      <w:pPr>
        <w:spacing w:line="360" w:lineRule="auto"/>
      </w:pPr>
      <w:r>
        <w:rPr>
          <w:rFonts w:hint="eastAsia"/>
        </w:rPr>
        <w:t>围绕政策计划设立相应治理机制，使委员会能够通过协调并与成员国紧密合作，采取共同承诺以及欧盟和国家层面的措施，同时考虑其他数字政策和倡议实施情况。委员会以数字政策的方式提出数字化指南针计划，由欧洲议会和理事会共同决策通过，并将重点放在共同目标实现的交付和持续承诺上。计划针对四个方面，设定一系列具体目标；并将“数字十年”相应进展评估设计为1</w:t>
      </w:r>
      <w:r>
        <w:t>1个指标，纳入原欧盟</w:t>
      </w:r>
      <w:r>
        <w:rPr>
          <w:rFonts w:hint="eastAsia"/>
        </w:rPr>
        <w:t>数字经济和社会指数（DESI）监测系统，通过D</w:t>
      </w:r>
      <w:r>
        <w:t>ESI</w:t>
      </w:r>
      <w:r>
        <w:rPr>
          <w:rFonts w:hint="eastAsia"/>
        </w:rPr>
        <w:t>一共包括3</w:t>
      </w:r>
      <w:r>
        <w:t>2个</w:t>
      </w:r>
      <w:r>
        <w:rPr>
          <w:rFonts w:hint="eastAsia"/>
        </w:rPr>
        <w:t>指标的指标体系，委员会分析和报告联盟及其成员国在多个政策维度上的总体数字绩效，包括它们实现四大方面数字目标的进展，同时评估成员国层面发展不足的领域，以及如何通过欧盟或国家层面的措施和建议来解决具体差距问题。</w:t>
      </w:r>
    </w:p>
    <w:p w:rsidR="00DD0FCC" w:rsidRDefault="00380072">
      <w:pPr>
        <w:spacing w:line="360" w:lineRule="auto"/>
        <w:rPr>
          <w:b/>
        </w:rPr>
      </w:pPr>
      <w:r>
        <w:rPr>
          <w:b/>
        </w:rPr>
        <w:t>3</w:t>
      </w:r>
      <w:r>
        <w:rPr>
          <w:rFonts w:hint="eastAsia"/>
          <w:b/>
        </w:rPr>
        <w:t>、投资：整合成员国和欧盟资源，以投资流动和创新为引擎，建立开放繁荣的数字经济</w:t>
      </w:r>
    </w:p>
    <w:p w:rsidR="00DD0FCC" w:rsidRDefault="00380072">
      <w:pPr>
        <w:spacing w:line="360" w:lineRule="auto"/>
      </w:pPr>
      <w:r>
        <w:rPr>
          <w:rFonts w:hint="eastAsia"/>
        </w:rPr>
        <w:t>对于数字化转型所必需的大型技术项目，以及前沿数字化能力建设，需要资金保证和所有参与者达成共识，通过整合成员国和欧盟资源才能实现。欧洲理事会呼吁进一步加强在使用欧盟和国家基金方面关键技术项目的协同效应。充分利用《恢复与韧性设施条例》和《技术支援工具》，结合国家恢复和韧性计划的资金联合力量，确定并开展“多国项目”的投资。</w:t>
      </w:r>
    </w:p>
    <w:p w:rsidR="00DD0FCC" w:rsidRDefault="00380072">
      <w:pPr>
        <w:spacing w:line="360" w:lineRule="auto"/>
      </w:pPr>
      <w:r>
        <w:rPr>
          <w:rFonts w:hint="eastAsia"/>
        </w:rPr>
        <w:t>此外，为更长远的未来做准备，寻求确保从欧盟预算、成员国和行业多方动员开展投资。比如，在这一背景下，欧盟委员会的数据战略宣布了一个关于欧洲数据空间的高影响力项目，包括数据共享架构和治理机制，以及欧洲节能可信的云到边缘基础设施及相关服务联盟，计划在</w:t>
      </w:r>
      <w:r>
        <w:t>2021至2027年期间，投资总资金将达40亿至60亿欧元</w:t>
      </w:r>
      <w:r>
        <w:rPr>
          <w:rFonts w:hint="eastAsia"/>
        </w:rPr>
        <w:t>。</w:t>
      </w:r>
    </w:p>
    <w:p w:rsidR="00DD0FCC" w:rsidRDefault="00DD0FCC">
      <w:pPr>
        <w:spacing w:line="360" w:lineRule="auto"/>
      </w:pPr>
    </w:p>
    <w:sectPr w:rsidR="00DD0F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93B"/>
    <w:rsid w:val="00016BB4"/>
    <w:rsid w:val="000328F2"/>
    <w:rsid w:val="0004197E"/>
    <w:rsid w:val="000B5758"/>
    <w:rsid w:val="000D27A1"/>
    <w:rsid w:val="000F662E"/>
    <w:rsid w:val="00106215"/>
    <w:rsid w:val="00134470"/>
    <w:rsid w:val="001368A8"/>
    <w:rsid w:val="001613A6"/>
    <w:rsid w:val="00173216"/>
    <w:rsid w:val="001A6FF5"/>
    <w:rsid w:val="001B528E"/>
    <w:rsid w:val="001E63C7"/>
    <w:rsid w:val="00223D3E"/>
    <w:rsid w:val="00224C8C"/>
    <w:rsid w:val="002269A2"/>
    <w:rsid w:val="00285C9F"/>
    <w:rsid w:val="002C0CF9"/>
    <w:rsid w:val="002E22B0"/>
    <w:rsid w:val="002F7AD0"/>
    <w:rsid w:val="00303388"/>
    <w:rsid w:val="00321823"/>
    <w:rsid w:val="00365DED"/>
    <w:rsid w:val="00380072"/>
    <w:rsid w:val="00390B67"/>
    <w:rsid w:val="003B69B5"/>
    <w:rsid w:val="003B7BC6"/>
    <w:rsid w:val="003F6F02"/>
    <w:rsid w:val="00423460"/>
    <w:rsid w:val="00424868"/>
    <w:rsid w:val="00480F98"/>
    <w:rsid w:val="004969B0"/>
    <w:rsid w:val="004F0914"/>
    <w:rsid w:val="0050684F"/>
    <w:rsid w:val="00530D4E"/>
    <w:rsid w:val="005338F3"/>
    <w:rsid w:val="00592693"/>
    <w:rsid w:val="00594439"/>
    <w:rsid w:val="005A061A"/>
    <w:rsid w:val="005A2C58"/>
    <w:rsid w:val="005E0CEE"/>
    <w:rsid w:val="00617832"/>
    <w:rsid w:val="0062420C"/>
    <w:rsid w:val="00641CF8"/>
    <w:rsid w:val="006B26BB"/>
    <w:rsid w:val="006C7C0D"/>
    <w:rsid w:val="00763339"/>
    <w:rsid w:val="00770601"/>
    <w:rsid w:val="007A0E0B"/>
    <w:rsid w:val="007A23F4"/>
    <w:rsid w:val="007E06C5"/>
    <w:rsid w:val="00812563"/>
    <w:rsid w:val="00825797"/>
    <w:rsid w:val="00855B41"/>
    <w:rsid w:val="008855B5"/>
    <w:rsid w:val="008D2465"/>
    <w:rsid w:val="009054BE"/>
    <w:rsid w:val="00920311"/>
    <w:rsid w:val="009438E9"/>
    <w:rsid w:val="00962A78"/>
    <w:rsid w:val="009917D5"/>
    <w:rsid w:val="009973B0"/>
    <w:rsid w:val="00A13EB9"/>
    <w:rsid w:val="00A8793B"/>
    <w:rsid w:val="00AC226D"/>
    <w:rsid w:val="00AE0323"/>
    <w:rsid w:val="00B0063B"/>
    <w:rsid w:val="00B074BA"/>
    <w:rsid w:val="00B35875"/>
    <w:rsid w:val="00B6065F"/>
    <w:rsid w:val="00B61E56"/>
    <w:rsid w:val="00B917D6"/>
    <w:rsid w:val="00BA7A4D"/>
    <w:rsid w:val="00BE4760"/>
    <w:rsid w:val="00BF7755"/>
    <w:rsid w:val="00C023DC"/>
    <w:rsid w:val="00C118BF"/>
    <w:rsid w:val="00C2130E"/>
    <w:rsid w:val="00C36499"/>
    <w:rsid w:val="00C84FED"/>
    <w:rsid w:val="00C9141C"/>
    <w:rsid w:val="00C93C90"/>
    <w:rsid w:val="00CF2D5D"/>
    <w:rsid w:val="00D069B8"/>
    <w:rsid w:val="00D43CEB"/>
    <w:rsid w:val="00D87C15"/>
    <w:rsid w:val="00DD0FCC"/>
    <w:rsid w:val="00DD41E9"/>
    <w:rsid w:val="00E27957"/>
    <w:rsid w:val="00E34B08"/>
    <w:rsid w:val="00E37176"/>
    <w:rsid w:val="00E80DB5"/>
    <w:rsid w:val="00E92CBD"/>
    <w:rsid w:val="00EF2BD7"/>
    <w:rsid w:val="00F120FB"/>
    <w:rsid w:val="00F2030B"/>
    <w:rsid w:val="00F24A54"/>
    <w:rsid w:val="00F53A8F"/>
    <w:rsid w:val="00F655BE"/>
    <w:rsid w:val="00F6716F"/>
    <w:rsid w:val="00F72B6D"/>
    <w:rsid w:val="00F81D29"/>
    <w:rsid w:val="23504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CDBD49-3C69-444C-9EC8-9D6B44D35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603</Words>
  <Characters>3442</Characters>
  <Application>Microsoft Office Word</Application>
  <DocSecurity>0</DocSecurity>
  <Lines>28</Lines>
  <Paragraphs>8</Paragraphs>
  <ScaleCrop>false</ScaleCrop>
  <Company>HP Inc.</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漆晨曦</cp:lastModifiedBy>
  <cp:revision>2</cp:revision>
  <dcterms:created xsi:type="dcterms:W3CDTF">2024-07-02T10:09:00Z</dcterms:created>
  <dcterms:modified xsi:type="dcterms:W3CDTF">2024-07-02T10:09:00Z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7CF0A97B142B48E785BB2EB4A1D14588_13</vt:lpwstr>
  </property>
</Properties>
</file>