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heme="minorEastAsia" w:hAnsiTheme="minorEastAsia"/>
          <w:b/>
          <w:bCs/>
          <w:sz w:val="36"/>
          <w:szCs w:val="36"/>
        </w:rPr>
      </w:pPr>
      <w:r>
        <w:rPr>
          <w:rFonts w:asciiTheme="minorEastAsia" w:hAnsiTheme="minorEastAsia"/>
          <w:b/>
          <w:bCs/>
          <w:sz w:val="36"/>
          <w:szCs w:val="36"/>
        </w:rPr>
        <w:t>央企布局战略性新兴产业</w:t>
      </w:r>
      <w:r>
        <w:rPr>
          <w:rFonts w:hint="eastAsia" w:asciiTheme="minorEastAsia" w:hAnsiTheme="minorEastAsia"/>
          <w:b/>
          <w:bCs/>
          <w:sz w:val="36"/>
          <w:szCs w:val="36"/>
        </w:rPr>
        <w:t>的模式分析及启示</w:t>
      </w:r>
    </w:p>
    <w:p>
      <w:pPr>
        <w:spacing w:after="156" w:afterLines="50" w:line="360" w:lineRule="auto"/>
        <w:jc w:val="center"/>
        <w:rPr>
          <w:rFonts w:asciiTheme="minorEastAsia" w:hAnsiTheme="minorEastAsia"/>
          <w:b/>
          <w:bCs/>
          <w:sz w:val="24"/>
          <w:szCs w:val="24"/>
        </w:rPr>
      </w:pPr>
      <w:r>
        <w:rPr>
          <w:rFonts w:hint="eastAsia" w:asciiTheme="minorEastAsia" w:hAnsiTheme="minorEastAsia"/>
          <w:b/>
          <w:bCs/>
          <w:sz w:val="24"/>
          <w:szCs w:val="24"/>
        </w:rPr>
        <w:t>李娟  王洪军</w:t>
      </w:r>
    </w:p>
    <w:p>
      <w:pPr>
        <w:spacing w:after="312" w:afterLines="100" w:line="360" w:lineRule="auto"/>
        <w:ind w:firstLine="480" w:firstLineChars="200"/>
        <w:rPr>
          <w:rFonts w:asciiTheme="minorEastAsia" w:hAnsiTheme="minorEastAsia"/>
          <w:sz w:val="24"/>
          <w:szCs w:val="24"/>
        </w:rPr>
      </w:pPr>
      <w:r>
        <w:rPr>
          <w:rFonts w:asciiTheme="minorEastAsia" w:hAnsiTheme="minorEastAsia"/>
          <w:sz w:val="24"/>
          <w:szCs w:val="24"/>
        </w:rPr>
        <w:t>战略性新兴产业</w:t>
      </w:r>
      <w:r>
        <w:rPr>
          <w:rFonts w:hint="eastAsia" w:asciiTheme="minorEastAsia" w:hAnsiTheme="minorEastAsia"/>
          <w:sz w:val="24"/>
          <w:szCs w:val="24"/>
        </w:rPr>
        <w:t>（</w:t>
      </w:r>
      <w:r>
        <w:rPr>
          <w:rFonts w:asciiTheme="minorEastAsia" w:hAnsiTheme="minorEastAsia"/>
          <w:sz w:val="24"/>
          <w:szCs w:val="24"/>
        </w:rPr>
        <w:t>以下简称“战新产业”</w:t>
      </w:r>
      <w:r>
        <w:rPr>
          <w:rFonts w:hint="eastAsia" w:asciiTheme="minorEastAsia" w:hAnsiTheme="minorEastAsia"/>
          <w:sz w:val="24"/>
          <w:szCs w:val="24"/>
        </w:rPr>
        <w:t>）</w:t>
      </w:r>
      <w:r>
        <w:rPr>
          <w:rFonts w:asciiTheme="minorEastAsia" w:hAnsiTheme="minorEastAsia"/>
          <w:sz w:val="24"/>
          <w:szCs w:val="24"/>
        </w:rPr>
        <w:t>是引领我国经济高质量发展的新引擎，而</w:t>
      </w:r>
      <w:r>
        <w:rPr>
          <w:rFonts w:hint="eastAsia" w:asciiTheme="minorEastAsia" w:hAnsiTheme="minorEastAsia"/>
          <w:sz w:val="24"/>
          <w:szCs w:val="24"/>
        </w:rPr>
        <w:t>央企</w:t>
      </w:r>
      <w:r>
        <w:rPr>
          <w:rFonts w:asciiTheme="minorEastAsia" w:hAnsiTheme="minorEastAsia"/>
          <w:sz w:val="24"/>
          <w:szCs w:val="24"/>
        </w:rPr>
        <w:t>作为发动引擎的排头兵，肩负着培育和发展战新产业的重要职责和使命</w:t>
      </w:r>
      <w:r>
        <w:rPr>
          <w:rFonts w:hint="eastAsia" w:asciiTheme="minorEastAsia" w:hAnsiTheme="minorEastAsia"/>
          <w:sz w:val="24"/>
          <w:szCs w:val="24"/>
        </w:rPr>
        <w:t>。在顶层设计规划下，</w:t>
      </w:r>
      <w:r>
        <w:rPr>
          <w:rFonts w:asciiTheme="minorEastAsia" w:hAnsiTheme="minorEastAsia"/>
          <w:sz w:val="24"/>
          <w:szCs w:val="24"/>
        </w:rPr>
        <w:t>央企</w:t>
      </w:r>
      <w:r>
        <w:rPr>
          <w:rFonts w:hint="eastAsia" w:asciiTheme="minorEastAsia" w:hAnsiTheme="minorEastAsia"/>
          <w:sz w:val="24"/>
          <w:szCs w:val="24"/>
        </w:rPr>
        <w:t>加快发展</w:t>
      </w:r>
      <w:r>
        <w:rPr>
          <w:rFonts w:asciiTheme="minorEastAsia" w:hAnsiTheme="minorEastAsia"/>
          <w:sz w:val="24"/>
          <w:szCs w:val="24"/>
        </w:rPr>
        <w:t>战新产业来塑造新动能，推动估值体系的重塑。本</w:t>
      </w:r>
      <w:r>
        <w:rPr>
          <w:rFonts w:hint="eastAsia" w:asciiTheme="minorEastAsia" w:hAnsiTheme="minorEastAsia"/>
          <w:sz w:val="24"/>
          <w:szCs w:val="24"/>
        </w:rPr>
        <w:t>文</w:t>
      </w:r>
      <w:r>
        <w:rPr>
          <w:rFonts w:asciiTheme="minorEastAsia" w:hAnsiTheme="minorEastAsia"/>
          <w:sz w:val="24"/>
          <w:szCs w:val="24"/>
        </w:rPr>
        <w:t>通过</w:t>
      </w:r>
      <w:r>
        <w:rPr>
          <w:rFonts w:hint="eastAsia" w:asciiTheme="minorEastAsia" w:hAnsiTheme="minorEastAsia"/>
          <w:sz w:val="24"/>
          <w:szCs w:val="24"/>
        </w:rPr>
        <w:t>分析央企布局</w:t>
      </w:r>
      <w:r>
        <w:rPr>
          <w:rFonts w:asciiTheme="minorEastAsia" w:hAnsiTheme="minorEastAsia"/>
          <w:sz w:val="24"/>
          <w:szCs w:val="24"/>
        </w:rPr>
        <w:t>战新产业的</w:t>
      </w:r>
      <w:r>
        <w:rPr>
          <w:rFonts w:hint="eastAsia" w:asciiTheme="minorEastAsia" w:hAnsiTheme="minorEastAsia"/>
          <w:sz w:val="24"/>
          <w:szCs w:val="24"/>
        </w:rPr>
        <w:t>现状和模式，进</w:t>
      </w:r>
      <w:r>
        <w:rPr>
          <w:rFonts w:asciiTheme="minorEastAsia" w:hAnsiTheme="minorEastAsia"/>
          <w:sz w:val="24"/>
          <w:szCs w:val="24"/>
        </w:rPr>
        <w:t>一步</w:t>
      </w:r>
      <w:r>
        <w:rPr>
          <w:rFonts w:hint="eastAsia" w:asciiTheme="minorEastAsia" w:hAnsiTheme="minorEastAsia"/>
          <w:sz w:val="24"/>
          <w:szCs w:val="24"/>
        </w:rPr>
        <w:t>思考如何处理好战新</w:t>
      </w:r>
      <w:r>
        <w:rPr>
          <w:rFonts w:asciiTheme="minorEastAsia" w:hAnsiTheme="minorEastAsia"/>
          <w:sz w:val="24"/>
          <w:szCs w:val="24"/>
        </w:rPr>
        <w:t>产业业务</w:t>
      </w:r>
      <w:r>
        <w:rPr>
          <w:rFonts w:hint="eastAsia" w:asciiTheme="minorEastAsia" w:hAnsiTheme="minorEastAsia"/>
          <w:sz w:val="24"/>
          <w:szCs w:val="24"/>
        </w:rPr>
        <w:t>与既有业务</w:t>
      </w:r>
      <w:r>
        <w:rPr>
          <w:rFonts w:asciiTheme="minorEastAsia" w:hAnsiTheme="minorEastAsia"/>
          <w:sz w:val="24"/>
          <w:szCs w:val="24"/>
        </w:rPr>
        <w:t>及</w:t>
      </w:r>
      <w:r>
        <w:rPr>
          <w:rFonts w:hint="eastAsia" w:asciiTheme="minorEastAsia" w:hAnsiTheme="minorEastAsia"/>
          <w:sz w:val="24"/>
          <w:szCs w:val="24"/>
        </w:rPr>
        <w:t>传统管理的关系，</w:t>
      </w:r>
      <w:r>
        <w:rPr>
          <w:rFonts w:asciiTheme="minorEastAsia" w:hAnsiTheme="minorEastAsia"/>
          <w:sz w:val="24"/>
          <w:szCs w:val="24"/>
        </w:rPr>
        <w:t>探索如何</w:t>
      </w:r>
      <w:r>
        <w:rPr>
          <w:rFonts w:hint="eastAsia" w:asciiTheme="minorEastAsia" w:hAnsiTheme="minorEastAsia"/>
          <w:sz w:val="24"/>
          <w:szCs w:val="24"/>
        </w:rPr>
        <w:t>构建适宜匹配的发展逻辑与管理机制</w:t>
      </w:r>
      <w:r>
        <w:rPr>
          <w:rFonts w:asciiTheme="minorEastAsia" w:hAnsiTheme="minorEastAsia"/>
          <w:sz w:val="24"/>
          <w:szCs w:val="24"/>
        </w:rPr>
        <w:t>。</w:t>
      </w:r>
    </w:p>
    <w:p>
      <w:pPr>
        <w:pStyle w:val="37"/>
        <w:numPr>
          <w:ilvl w:val="0"/>
          <w:numId w:val="1"/>
        </w:numPr>
        <w:spacing w:line="360" w:lineRule="auto"/>
        <w:rPr>
          <w:rFonts w:asciiTheme="minorEastAsia" w:hAnsiTheme="minorEastAsia"/>
          <w:b/>
          <w:bCs/>
          <w:sz w:val="28"/>
          <w:szCs w:val="28"/>
        </w:rPr>
      </w:pPr>
      <w:r>
        <w:rPr>
          <w:rFonts w:hint="eastAsia" w:asciiTheme="minorEastAsia" w:hAnsiTheme="minorEastAsia"/>
          <w:b/>
          <w:bCs/>
          <w:sz w:val="28"/>
          <w:szCs w:val="28"/>
        </w:rPr>
        <w:t>推动央企</w:t>
      </w:r>
      <w:r>
        <w:rPr>
          <w:rFonts w:asciiTheme="minorEastAsia" w:hAnsiTheme="minorEastAsia"/>
          <w:b/>
          <w:bCs/>
          <w:sz w:val="28"/>
          <w:szCs w:val="28"/>
        </w:rPr>
        <w:t>布局战新产业</w:t>
      </w:r>
      <w:r>
        <w:rPr>
          <w:rFonts w:hint="eastAsia" w:asciiTheme="minorEastAsia" w:hAnsiTheme="minorEastAsia"/>
          <w:b/>
          <w:bCs/>
          <w:sz w:val="28"/>
          <w:szCs w:val="28"/>
        </w:rPr>
        <w:t>的</w:t>
      </w:r>
      <w:r>
        <w:rPr>
          <w:rFonts w:hint="eastAsia" w:asciiTheme="minorEastAsia" w:hAnsiTheme="minorEastAsia"/>
          <w:b/>
          <w:bCs/>
          <w:sz w:val="28"/>
          <w:szCs w:val="28"/>
          <w:lang w:val="en-US" w:eastAsia="zh-CN"/>
        </w:rPr>
        <w:t>现状</w:t>
      </w:r>
      <w:bookmarkStart w:id="0" w:name="_GoBack"/>
      <w:bookmarkEnd w:id="0"/>
      <w:r>
        <w:rPr>
          <w:rFonts w:hint="eastAsia" w:asciiTheme="minorEastAsia" w:hAnsiTheme="minorEastAsia"/>
          <w:b/>
          <w:bCs/>
          <w:sz w:val="28"/>
          <w:szCs w:val="28"/>
        </w:rPr>
        <w:t>及趋势</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近年</w:t>
      </w:r>
      <w:r>
        <w:rPr>
          <w:rFonts w:asciiTheme="minorEastAsia" w:hAnsiTheme="minorEastAsia"/>
          <w:sz w:val="24"/>
          <w:szCs w:val="24"/>
        </w:rPr>
        <w:t>来，国资委密切推动央企加快发展战新产业</w:t>
      </w:r>
      <w:r>
        <w:rPr>
          <w:rFonts w:hint="eastAsia" w:asciiTheme="minorEastAsia" w:hAnsiTheme="minorEastAsia"/>
          <w:sz w:val="24"/>
          <w:szCs w:val="24"/>
        </w:rPr>
        <w:t>，部署启动了</w:t>
      </w:r>
      <w:r>
        <w:rPr>
          <w:rFonts w:asciiTheme="minorEastAsia" w:hAnsiTheme="minorEastAsia"/>
          <w:sz w:val="24"/>
          <w:szCs w:val="24"/>
        </w:rPr>
        <w:t>“战新产业焕新行动”</w:t>
      </w:r>
      <w:r>
        <w:rPr>
          <w:rFonts w:hint="eastAsia" w:asciiTheme="minorEastAsia" w:hAnsiTheme="minorEastAsia"/>
          <w:sz w:val="24"/>
          <w:szCs w:val="24"/>
        </w:rPr>
        <w:t>、</w:t>
      </w:r>
      <w:r>
        <w:rPr>
          <w:rFonts w:asciiTheme="minorEastAsia" w:hAnsiTheme="minorEastAsia"/>
          <w:sz w:val="24"/>
          <w:szCs w:val="24"/>
        </w:rPr>
        <w:t>“未来产业启航行动”</w:t>
      </w:r>
      <w:r>
        <w:rPr>
          <w:rFonts w:hint="eastAsia" w:asciiTheme="minorEastAsia" w:hAnsiTheme="minorEastAsia"/>
          <w:sz w:val="24"/>
          <w:szCs w:val="24"/>
        </w:rPr>
        <w:t>等多个专项行动。2023年</w:t>
      </w:r>
      <w:r>
        <w:rPr>
          <w:rFonts w:asciiTheme="minorEastAsia" w:hAnsiTheme="minorEastAsia"/>
          <w:sz w:val="24"/>
          <w:szCs w:val="24"/>
        </w:rPr>
        <w:t>7</w:t>
      </w:r>
      <w:r>
        <w:rPr>
          <w:rFonts w:hint="eastAsia" w:asciiTheme="minorEastAsia" w:hAnsiTheme="minorEastAsia"/>
          <w:sz w:val="24"/>
          <w:szCs w:val="24"/>
        </w:rPr>
        <w:t>月，国资委多次强调央企要加紧布局战略性新兴产业，基调提升为“全力以赴发展”、“抓紧打造”；</w:t>
      </w:r>
      <w:r>
        <w:rPr>
          <w:rFonts w:asciiTheme="minorEastAsia" w:hAnsiTheme="minorEastAsia"/>
          <w:sz w:val="24"/>
          <w:szCs w:val="24"/>
        </w:rPr>
        <w:t>11月</w:t>
      </w:r>
      <w:r>
        <w:rPr>
          <w:rFonts w:hint="eastAsia" w:asciiTheme="minorEastAsia" w:hAnsiTheme="minorEastAsia"/>
          <w:sz w:val="24"/>
          <w:szCs w:val="24"/>
        </w:rPr>
        <w:t>，</w:t>
      </w:r>
      <w:r>
        <w:rPr>
          <w:rFonts w:asciiTheme="minorEastAsia" w:hAnsiTheme="minorEastAsia"/>
          <w:sz w:val="24"/>
          <w:szCs w:val="24"/>
        </w:rPr>
        <w:t>国资委召开中央企业负责人专题会议，</w:t>
      </w:r>
      <w:r>
        <w:rPr>
          <w:rFonts w:hint="eastAsia" w:asciiTheme="minorEastAsia" w:hAnsiTheme="minorEastAsia"/>
          <w:sz w:val="24"/>
          <w:szCs w:val="24"/>
        </w:rPr>
        <w:t>再次强调</w:t>
      </w:r>
      <w:r>
        <w:rPr>
          <w:rFonts w:asciiTheme="minorEastAsia" w:hAnsiTheme="minorEastAsia"/>
          <w:sz w:val="24"/>
          <w:szCs w:val="24"/>
        </w:rPr>
        <w:t>加快发展战略性新兴产业，培育孵化一批独角兽企业，联合建设一批战略性新兴产业集群</w:t>
      </w:r>
      <w:r>
        <w:rPr>
          <w:rFonts w:hint="eastAsia" w:asciiTheme="minorEastAsia" w:hAnsiTheme="minorEastAsia"/>
          <w:sz w:val="24"/>
          <w:szCs w:val="24"/>
        </w:rPr>
        <w:t>；今</w:t>
      </w:r>
      <w:r>
        <w:rPr>
          <w:rFonts w:asciiTheme="minorEastAsia" w:hAnsiTheme="minorEastAsia"/>
          <w:sz w:val="24"/>
          <w:szCs w:val="24"/>
        </w:rPr>
        <w:t>年</w:t>
      </w:r>
      <w:r>
        <w:rPr>
          <w:rFonts w:hint="eastAsia" w:asciiTheme="minorEastAsia" w:hAnsiTheme="minorEastAsia"/>
          <w:sz w:val="24"/>
          <w:szCs w:val="24"/>
        </w:rPr>
        <w:t>1月，</w:t>
      </w:r>
      <w:r>
        <w:rPr>
          <w:rFonts w:asciiTheme="minorEastAsia" w:hAnsiTheme="minorEastAsia"/>
          <w:sz w:val="24"/>
          <w:szCs w:val="24"/>
        </w:rPr>
        <w:t>国资委召开地方国资委负责人会议</w:t>
      </w:r>
      <w:r>
        <w:rPr>
          <w:rFonts w:hint="eastAsia" w:asciiTheme="minorEastAsia" w:hAnsiTheme="minorEastAsia"/>
          <w:sz w:val="24"/>
          <w:szCs w:val="24"/>
        </w:rPr>
        <w:t>强调</w:t>
      </w:r>
      <w:r>
        <w:rPr>
          <w:rFonts w:asciiTheme="minorEastAsia" w:hAnsiTheme="minorEastAsia"/>
          <w:sz w:val="24"/>
          <w:szCs w:val="24"/>
        </w:rPr>
        <w:t>国有企业要大力发展战略性新兴产业和未来产业</w:t>
      </w:r>
      <w:r>
        <w:rPr>
          <w:rFonts w:hint="eastAsia" w:asciiTheme="minorEastAsia" w:hAnsiTheme="minorEastAsia"/>
          <w:sz w:val="24"/>
          <w:szCs w:val="24"/>
        </w:rPr>
        <w:t>，</w:t>
      </w:r>
      <w:r>
        <w:rPr>
          <w:rFonts w:asciiTheme="minorEastAsia" w:hAnsiTheme="minorEastAsia"/>
          <w:sz w:val="24"/>
          <w:szCs w:val="24"/>
        </w:rPr>
        <w:t>在更大范围、更深层次推进国有资本优化配置</w:t>
      </w:r>
      <w:r>
        <w:rPr>
          <w:rFonts w:hint="eastAsia" w:asciiTheme="minorEastAsia" w:hAnsiTheme="minorEastAsia"/>
          <w:sz w:val="24"/>
          <w:szCs w:val="24"/>
        </w:rPr>
        <w:t>。在一系列专项行动指引推动下，央企布局战新产业呈现以下趋势：</w:t>
      </w:r>
    </w:p>
    <w:p>
      <w:pPr>
        <w:spacing w:line="360" w:lineRule="auto"/>
        <w:ind w:firstLine="482" w:firstLineChars="200"/>
        <w:rPr>
          <w:rFonts w:asciiTheme="minorEastAsia" w:hAnsiTheme="minorEastAsia"/>
          <w:sz w:val="24"/>
          <w:szCs w:val="24"/>
        </w:rPr>
      </w:pPr>
      <w:r>
        <w:rPr>
          <w:rFonts w:hint="eastAsia" w:asciiTheme="minorEastAsia" w:hAnsiTheme="minorEastAsia"/>
          <w:b/>
          <w:bCs/>
          <w:sz w:val="24"/>
          <w:szCs w:val="24"/>
        </w:rPr>
        <w:t>趋势一：在战新产业的投资力度逐年增大</w:t>
      </w:r>
      <w:r>
        <w:rPr>
          <w:rFonts w:hint="eastAsia" w:asciiTheme="minorEastAsia" w:hAnsiTheme="minorEastAsia"/>
          <w:sz w:val="24"/>
          <w:szCs w:val="24"/>
        </w:rPr>
        <w:t>。</w:t>
      </w:r>
      <w:r>
        <w:rPr>
          <w:rFonts w:asciiTheme="minorEastAsia" w:hAnsiTheme="minorEastAsia"/>
          <w:sz w:val="24"/>
          <w:szCs w:val="24"/>
        </w:rPr>
        <w:t>根据国资委公布</w:t>
      </w:r>
      <w:r>
        <w:rPr>
          <w:rFonts w:hint="eastAsia" w:asciiTheme="minorEastAsia" w:hAnsiTheme="minorEastAsia"/>
          <w:sz w:val="24"/>
          <w:szCs w:val="24"/>
        </w:rPr>
        <w:t>数据，</w:t>
      </w:r>
      <w:r>
        <w:rPr>
          <w:rFonts w:asciiTheme="minorEastAsia" w:hAnsiTheme="minorEastAsia"/>
          <w:sz w:val="24"/>
          <w:szCs w:val="24"/>
        </w:rPr>
        <w:t>2018</w:t>
      </w:r>
      <w:r>
        <w:rPr>
          <w:rFonts w:hint="eastAsia" w:asciiTheme="minorEastAsia" w:hAnsiTheme="minorEastAsia"/>
          <w:sz w:val="24"/>
          <w:szCs w:val="24"/>
        </w:rPr>
        <w:t>年至</w:t>
      </w:r>
      <w:r>
        <w:rPr>
          <w:rFonts w:asciiTheme="minorEastAsia" w:hAnsiTheme="minorEastAsia"/>
          <w:sz w:val="24"/>
          <w:szCs w:val="24"/>
        </w:rPr>
        <w:t>202</w:t>
      </w:r>
      <w:r>
        <w:rPr>
          <w:rFonts w:hint="eastAsia" w:asciiTheme="minorEastAsia" w:hAnsiTheme="minorEastAsia"/>
          <w:sz w:val="24"/>
          <w:szCs w:val="24"/>
        </w:rPr>
        <w:t>2年，央企在战新产业领域投资规模由</w:t>
      </w:r>
      <w:r>
        <w:rPr>
          <w:rFonts w:asciiTheme="minorEastAsia" w:hAnsiTheme="minorEastAsia"/>
          <w:sz w:val="24"/>
          <w:szCs w:val="24"/>
        </w:rPr>
        <w:t>0.7</w:t>
      </w:r>
      <w:r>
        <w:rPr>
          <w:rFonts w:hint="eastAsia" w:asciiTheme="minorEastAsia" w:hAnsiTheme="minorEastAsia"/>
          <w:sz w:val="24"/>
          <w:szCs w:val="24"/>
        </w:rPr>
        <w:t>万亿元增长至1.5万亿元，复合增长率</w:t>
      </w:r>
      <w:r>
        <w:rPr>
          <w:rFonts w:asciiTheme="minorEastAsia" w:hAnsiTheme="minorEastAsia"/>
          <w:sz w:val="24"/>
          <w:szCs w:val="24"/>
        </w:rPr>
        <w:t>CAGR +2</w:t>
      </w:r>
      <w:r>
        <w:rPr>
          <w:rFonts w:hint="eastAsia" w:asciiTheme="minorEastAsia" w:hAnsiTheme="minorEastAsia"/>
          <w:sz w:val="24"/>
          <w:szCs w:val="24"/>
        </w:rPr>
        <w:t>1</w:t>
      </w:r>
      <w:r>
        <w:rPr>
          <w:rFonts w:asciiTheme="minorEastAsia" w:hAnsiTheme="minorEastAsia"/>
          <w:sz w:val="24"/>
          <w:szCs w:val="24"/>
        </w:rPr>
        <w:t>%</w:t>
      </w:r>
      <w:r>
        <w:rPr>
          <w:rFonts w:hint="eastAsia" w:asciiTheme="minorEastAsia" w:hAnsiTheme="minorEastAsia"/>
          <w:sz w:val="24"/>
          <w:szCs w:val="24"/>
        </w:rPr>
        <w:t xml:space="preserve">，占全部投资比重由 </w:t>
      </w:r>
      <w:r>
        <w:rPr>
          <w:rFonts w:asciiTheme="minorEastAsia" w:hAnsiTheme="minorEastAsia"/>
          <w:sz w:val="24"/>
          <w:szCs w:val="24"/>
        </w:rPr>
        <w:t>12.8%</w:t>
      </w:r>
      <w:r>
        <w:rPr>
          <w:rFonts w:hint="eastAsia" w:asciiTheme="minorEastAsia" w:hAnsiTheme="minorEastAsia"/>
          <w:sz w:val="24"/>
          <w:szCs w:val="24"/>
        </w:rPr>
        <w:t>提升至27</w:t>
      </w:r>
      <w:r>
        <w:rPr>
          <w:rFonts w:asciiTheme="minorEastAsia" w:hAnsiTheme="minorEastAsia"/>
          <w:sz w:val="24"/>
          <w:szCs w:val="24"/>
        </w:rPr>
        <w:t>%</w:t>
      </w:r>
      <w:r>
        <w:rPr>
          <w:rFonts w:hint="eastAsia" w:asciiTheme="minorEastAsia" w:hAnsiTheme="minorEastAsia"/>
          <w:sz w:val="24"/>
          <w:szCs w:val="24"/>
        </w:rPr>
        <w:t>。</w:t>
      </w:r>
      <w:r>
        <w:rPr>
          <w:rFonts w:asciiTheme="minorEastAsia" w:hAnsiTheme="minorEastAsia"/>
          <w:sz w:val="24"/>
          <w:szCs w:val="24"/>
        </w:rPr>
        <w:t>202</w:t>
      </w:r>
      <w:r>
        <w:rPr>
          <w:rFonts w:hint="eastAsia" w:asciiTheme="minorEastAsia" w:hAnsiTheme="minorEastAsia"/>
          <w:sz w:val="24"/>
          <w:szCs w:val="24"/>
        </w:rPr>
        <w:t>3</w:t>
      </w:r>
      <w:r>
        <w:rPr>
          <w:rFonts w:asciiTheme="minorEastAsia" w:hAnsiTheme="minorEastAsia"/>
          <w:sz w:val="24"/>
          <w:szCs w:val="24"/>
        </w:rPr>
        <w:t>年完成投资2.18万亿元</w:t>
      </w:r>
      <w:r>
        <w:rPr>
          <w:rFonts w:hint="eastAsia" w:asciiTheme="minorEastAsia" w:hAnsiTheme="minorEastAsia"/>
          <w:sz w:val="24"/>
          <w:szCs w:val="24"/>
        </w:rPr>
        <w:t>，</w:t>
      </w:r>
      <w:r>
        <w:rPr>
          <w:rFonts w:asciiTheme="minorEastAsia" w:hAnsiTheme="minorEastAsia"/>
          <w:sz w:val="24"/>
          <w:szCs w:val="24"/>
        </w:rPr>
        <w:t>同比增长 32.1%，占全部投资的比重实现36%的新高</w:t>
      </w:r>
      <w:r>
        <w:rPr>
          <w:rFonts w:hint="eastAsia" w:asciiTheme="minorEastAsia" w:hAnsiTheme="minorEastAsia"/>
          <w:sz w:val="24"/>
          <w:szCs w:val="24"/>
        </w:rPr>
        <w:t>。</w:t>
      </w:r>
    </w:p>
    <w:p>
      <w:pPr>
        <w:spacing w:line="360" w:lineRule="auto"/>
        <w:jc w:val="center"/>
        <w:rPr>
          <w:rFonts w:asciiTheme="minorEastAsia" w:hAnsiTheme="minorEastAsia"/>
          <w:sz w:val="24"/>
          <w:szCs w:val="24"/>
        </w:rPr>
      </w:pPr>
      <w:r>
        <w:drawing>
          <wp:inline distT="0" distB="0" distL="0" distR="0">
            <wp:extent cx="4260850" cy="2184400"/>
            <wp:effectExtent l="0" t="0" r="0" b="0"/>
            <wp:docPr id="841921429" name="图表 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pPr>
        <w:ind w:right="1086" w:firstLine="361" w:firstLineChars="200"/>
        <w:jc w:val="right"/>
        <w:rPr>
          <w:rFonts w:asciiTheme="minorEastAsia" w:hAnsiTheme="minorEastAsia"/>
          <w:b/>
          <w:bCs/>
          <w:sz w:val="18"/>
          <w:szCs w:val="18"/>
        </w:rPr>
      </w:pPr>
      <w:r>
        <w:rPr>
          <w:rFonts w:hint="eastAsia" w:asciiTheme="minorEastAsia" w:hAnsiTheme="minorEastAsia"/>
          <w:b/>
          <w:bCs/>
          <w:sz w:val="18"/>
          <w:szCs w:val="18"/>
        </w:rPr>
        <w:t>数据来源：国资委、Wind</w:t>
      </w:r>
    </w:p>
    <w:p>
      <w:pPr>
        <w:spacing w:line="360" w:lineRule="auto"/>
        <w:ind w:firstLine="482" w:firstLineChars="200"/>
        <w:rPr>
          <w:rFonts w:asciiTheme="minorEastAsia" w:hAnsiTheme="minorEastAsia"/>
          <w:sz w:val="24"/>
          <w:szCs w:val="24"/>
        </w:rPr>
      </w:pPr>
      <w:r>
        <w:rPr>
          <w:rFonts w:hint="eastAsia" w:asciiTheme="minorEastAsia" w:hAnsiTheme="minorEastAsia"/>
          <w:b/>
          <w:bCs/>
          <w:sz w:val="24"/>
          <w:szCs w:val="24"/>
        </w:rPr>
        <w:t>趋势二：</w:t>
      </w:r>
      <w:r>
        <w:rPr>
          <w:rFonts w:asciiTheme="minorEastAsia" w:hAnsiTheme="minorEastAsia"/>
          <w:b/>
          <w:bCs/>
          <w:sz w:val="24"/>
          <w:szCs w:val="24"/>
        </w:rPr>
        <w:t>专业化整合</w:t>
      </w:r>
      <w:r>
        <w:rPr>
          <w:rFonts w:hint="eastAsia" w:asciiTheme="minorEastAsia" w:hAnsiTheme="minorEastAsia"/>
          <w:b/>
          <w:bCs/>
          <w:sz w:val="24"/>
          <w:szCs w:val="24"/>
        </w:rPr>
        <w:t>正</w:t>
      </w:r>
      <w:r>
        <w:rPr>
          <w:rFonts w:asciiTheme="minorEastAsia" w:hAnsiTheme="minorEastAsia"/>
          <w:b/>
          <w:bCs/>
          <w:sz w:val="24"/>
          <w:szCs w:val="24"/>
        </w:rPr>
        <w:t>成为布局的关键举措</w:t>
      </w:r>
      <w:r>
        <w:rPr>
          <w:rFonts w:hint="eastAsia" w:asciiTheme="minorEastAsia" w:hAnsiTheme="minorEastAsia"/>
          <w:b/>
          <w:bCs/>
          <w:sz w:val="24"/>
          <w:szCs w:val="24"/>
        </w:rPr>
        <w:t>。</w:t>
      </w:r>
      <w:r>
        <w:rPr>
          <w:rFonts w:asciiTheme="minorEastAsia" w:hAnsiTheme="minorEastAsia"/>
          <w:sz w:val="24"/>
          <w:szCs w:val="24"/>
        </w:rPr>
        <w:t>新一轮国企改革提出推动国有企业充分发挥科技创新、产业控制、安全支撑作用</w:t>
      </w:r>
      <w:r>
        <w:rPr>
          <w:rFonts w:hint="eastAsia" w:asciiTheme="minorEastAsia" w:hAnsiTheme="minorEastAsia"/>
          <w:sz w:val="24"/>
          <w:szCs w:val="24"/>
        </w:rPr>
        <w:t>，</w:t>
      </w:r>
      <w:r>
        <w:rPr>
          <w:rFonts w:asciiTheme="minorEastAsia" w:hAnsiTheme="minorEastAsia"/>
          <w:sz w:val="24"/>
          <w:szCs w:val="24"/>
        </w:rPr>
        <w:t>加快战新产业布局是央企发挥这三种战略功能作用的抓手，而专业化整合则</w:t>
      </w:r>
      <w:r>
        <w:rPr>
          <w:rFonts w:hint="eastAsia" w:asciiTheme="minorEastAsia" w:hAnsiTheme="minorEastAsia"/>
          <w:sz w:val="24"/>
          <w:szCs w:val="24"/>
        </w:rPr>
        <w:t>是</w:t>
      </w:r>
      <w:r>
        <w:rPr>
          <w:rFonts w:asciiTheme="minorEastAsia" w:hAnsiTheme="minorEastAsia"/>
          <w:sz w:val="24"/>
          <w:szCs w:val="24"/>
        </w:rPr>
        <w:t>关键举措。</w:t>
      </w:r>
      <w:r>
        <w:rPr>
          <w:rFonts w:hint="eastAsia" w:asciiTheme="minorEastAsia" w:hAnsiTheme="minorEastAsia"/>
          <w:sz w:val="24"/>
          <w:szCs w:val="24"/>
        </w:rPr>
        <w:t>通过专业化整合，推动资源向主业企业集中，有效增强规模实力，提升重点领域和产业链关键环节的保障支撑能力。目前已开展的专业化整合项目涵盖矿产资源、医疗机构、新型基础设施、生物技术、智能网联汽车等多个关键领域，其中不少是战新产业资源整合与合作的典范，如国家管网集团与中国石油储气库合作项目、通用技术集团与中国铁建医疗机构合作项目、中国诚通与中国三峡集团水电合作项目等。</w:t>
      </w:r>
    </w:p>
    <w:p>
      <w:pPr>
        <w:spacing w:after="312" w:afterLines="100" w:line="360" w:lineRule="auto"/>
        <w:ind w:firstLine="482" w:firstLineChars="200"/>
        <w:rPr>
          <w:rFonts w:asciiTheme="minorEastAsia" w:hAnsiTheme="minorEastAsia"/>
          <w:sz w:val="24"/>
          <w:szCs w:val="24"/>
        </w:rPr>
      </w:pPr>
      <w:r>
        <w:rPr>
          <w:rFonts w:hint="eastAsia" w:asciiTheme="minorEastAsia" w:hAnsiTheme="minorEastAsia"/>
          <w:b/>
          <w:bCs/>
          <w:sz w:val="24"/>
          <w:szCs w:val="24"/>
        </w:rPr>
        <w:t>趋势三：</w:t>
      </w:r>
      <w:r>
        <w:rPr>
          <w:rFonts w:asciiTheme="minorEastAsia" w:hAnsiTheme="minorEastAsia"/>
          <w:b/>
          <w:bCs/>
          <w:sz w:val="24"/>
          <w:szCs w:val="24"/>
        </w:rPr>
        <w:t>战新产业营收占比目标</w:t>
      </w:r>
      <w:r>
        <w:rPr>
          <w:rFonts w:hint="eastAsia" w:asciiTheme="minorEastAsia" w:hAnsiTheme="minorEastAsia"/>
          <w:b/>
          <w:bCs/>
          <w:sz w:val="24"/>
          <w:szCs w:val="24"/>
        </w:rPr>
        <w:t>越来越明确</w:t>
      </w:r>
      <w:r>
        <w:rPr>
          <w:rFonts w:asciiTheme="minorEastAsia" w:hAnsiTheme="minorEastAsia"/>
          <w:sz w:val="24"/>
          <w:szCs w:val="24"/>
        </w:rPr>
        <w:t>。前</w:t>
      </w:r>
      <w:r>
        <w:rPr>
          <w:rFonts w:hint="eastAsia" w:asciiTheme="minorEastAsia" w:hAnsiTheme="minorEastAsia"/>
          <w:sz w:val="24"/>
          <w:szCs w:val="24"/>
        </w:rPr>
        <w:t>几年</w:t>
      </w:r>
      <w:r>
        <w:rPr>
          <w:rFonts w:asciiTheme="minorEastAsia" w:hAnsiTheme="minorEastAsia"/>
          <w:sz w:val="24"/>
          <w:szCs w:val="24"/>
        </w:rPr>
        <w:t>，国家对于战新产业的期望是“达到世界先进水平”，对它营收情况的要求较为模糊。而国资委</w:t>
      </w:r>
      <w:r>
        <w:rPr>
          <w:rFonts w:hint="eastAsia" w:asciiTheme="minorEastAsia" w:hAnsiTheme="minorEastAsia"/>
          <w:sz w:val="24"/>
          <w:szCs w:val="24"/>
        </w:rPr>
        <w:t>在今年3月明确提出，</w:t>
      </w:r>
      <w:r>
        <w:rPr>
          <w:rFonts w:asciiTheme="minorEastAsia" w:hAnsiTheme="minorEastAsia"/>
          <w:sz w:val="24"/>
          <w:szCs w:val="24"/>
        </w:rPr>
        <w:t>产业升级要把战新产业和未来产业摆在突出位置，目标是到2025年中央企业战略性新兴产业收入占比达35%，在类脑智能、量子信息、可控核聚变等方面要提前布局。技术的发展和产业的成熟让我们的目标越来越明确。</w:t>
      </w:r>
    </w:p>
    <w:p>
      <w:pPr>
        <w:pStyle w:val="37"/>
        <w:numPr>
          <w:ilvl w:val="0"/>
          <w:numId w:val="1"/>
        </w:numPr>
        <w:spacing w:line="360" w:lineRule="auto"/>
        <w:rPr>
          <w:rFonts w:asciiTheme="minorEastAsia" w:hAnsiTheme="minorEastAsia"/>
          <w:b/>
          <w:bCs/>
          <w:sz w:val="28"/>
          <w:szCs w:val="28"/>
        </w:rPr>
      </w:pPr>
      <w:r>
        <w:rPr>
          <w:rFonts w:hint="eastAsia" w:asciiTheme="minorEastAsia" w:hAnsiTheme="minorEastAsia"/>
          <w:b/>
          <w:bCs/>
          <w:sz w:val="28"/>
          <w:szCs w:val="28"/>
        </w:rPr>
        <w:t>央企</w:t>
      </w:r>
      <w:r>
        <w:rPr>
          <w:rFonts w:asciiTheme="minorEastAsia" w:hAnsiTheme="minorEastAsia"/>
          <w:b/>
          <w:bCs/>
          <w:sz w:val="28"/>
          <w:szCs w:val="28"/>
        </w:rPr>
        <w:t>布局战新产业</w:t>
      </w:r>
      <w:r>
        <w:rPr>
          <w:rFonts w:hint="eastAsia" w:asciiTheme="minorEastAsia" w:hAnsiTheme="minorEastAsia"/>
          <w:b/>
          <w:bCs/>
          <w:sz w:val="28"/>
          <w:szCs w:val="28"/>
        </w:rPr>
        <w:t>的模式分析</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国资委直管的</w:t>
      </w:r>
      <w:r>
        <w:rPr>
          <w:rFonts w:asciiTheme="minorEastAsia" w:hAnsiTheme="minorEastAsia"/>
          <w:sz w:val="24"/>
          <w:szCs w:val="24"/>
        </w:rPr>
        <w:t>98</w:t>
      </w:r>
      <w:r>
        <w:rPr>
          <w:rFonts w:hint="eastAsia" w:asciiTheme="minorEastAsia" w:hAnsiTheme="minorEastAsia"/>
          <w:sz w:val="24"/>
          <w:szCs w:val="24"/>
        </w:rPr>
        <w:t>家央企，</w:t>
      </w:r>
      <w:r>
        <w:rPr>
          <w:rFonts w:asciiTheme="minorEastAsia" w:hAnsiTheme="minorEastAsia"/>
          <w:sz w:val="24"/>
          <w:szCs w:val="24"/>
        </w:rPr>
        <w:t>根据其主营业务</w:t>
      </w:r>
      <w:r>
        <w:rPr>
          <w:rFonts w:hint="eastAsia" w:asciiTheme="minorEastAsia" w:hAnsiTheme="minorEastAsia"/>
          <w:sz w:val="24"/>
          <w:szCs w:val="24"/>
        </w:rPr>
        <w:t>与战新产业关联性，可以大体分为三类</w:t>
      </w:r>
      <w:r>
        <w:rPr>
          <w:rFonts w:asciiTheme="minorEastAsia" w:hAnsiTheme="minorEastAsia"/>
          <w:sz w:val="24"/>
          <w:szCs w:val="24"/>
        </w:rPr>
        <w:t>。</w:t>
      </w:r>
      <w:r>
        <w:rPr>
          <w:rFonts w:hint="eastAsia" w:asciiTheme="minorEastAsia" w:hAnsiTheme="minorEastAsia"/>
          <w:b/>
          <w:bCs/>
          <w:sz w:val="24"/>
          <w:szCs w:val="24"/>
        </w:rPr>
        <w:t>第一类</w:t>
      </w:r>
      <w:r>
        <w:rPr>
          <w:rFonts w:asciiTheme="minorEastAsia" w:hAnsiTheme="minorEastAsia"/>
          <w:b/>
          <w:bCs/>
          <w:sz w:val="24"/>
          <w:szCs w:val="24"/>
        </w:rPr>
        <w:t>的</w:t>
      </w:r>
      <w:r>
        <w:rPr>
          <w:rFonts w:hint="eastAsia" w:asciiTheme="minorEastAsia" w:hAnsiTheme="minorEastAsia"/>
          <w:b/>
          <w:bCs/>
          <w:sz w:val="24"/>
          <w:szCs w:val="24"/>
        </w:rPr>
        <w:t>主业</w:t>
      </w:r>
      <w:r>
        <w:rPr>
          <w:rFonts w:asciiTheme="minorEastAsia" w:hAnsiTheme="minorEastAsia"/>
          <w:b/>
          <w:bCs/>
          <w:sz w:val="24"/>
          <w:szCs w:val="24"/>
        </w:rPr>
        <w:t>属于</w:t>
      </w:r>
      <w:r>
        <w:rPr>
          <w:rFonts w:hint="eastAsia" w:asciiTheme="minorEastAsia" w:hAnsiTheme="minorEastAsia"/>
          <w:b/>
          <w:bCs/>
          <w:sz w:val="24"/>
          <w:szCs w:val="24"/>
        </w:rPr>
        <w:t>战新产业领域</w:t>
      </w:r>
      <w:r>
        <w:rPr>
          <w:rFonts w:hint="eastAsia" w:asciiTheme="minorEastAsia" w:hAnsiTheme="minorEastAsia"/>
          <w:sz w:val="24"/>
          <w:szCs w:val="24"/>
        </w:rPr>
        <w:t>，例如通信类企业</w:t>
      </w:r>
      <w:r>
        <w:rPr>
          <w:rFonts w:asciiTheme="minorEastAsia" w:hAnsiTheme="minorEastAsia"/>
          <w:sz w:val="24"/>
          <w:szCs w:val="24"/>
        </w:rPr>
        <w:t>，</w:t>
      </w:r>
      <w:r>
        <w:rPr>
          <w:rFonts w:hint="eastAsia" w:asciiTheme="minorEastAsia" w:hAnsiTheme="minorEastAsia"/>
          <w:sz w:val="24"/>
          <w:szCs w:val="24"/>
        </w:rPr>
        <w:t>主要借助新信息技术和数字化转型的发展机遇拓展战新业务范围；</w:t>
      </w:r>
      <w:r>
        <w:rPr>
          <w:rFonts w:hint="eastAsia" w:asciiTheme="minorEastAsia" w:hAnsiTheme="minorEastAsia"/>
          <w:b/>
          <w:bCs/>
          <w:sz w:val="24"/>
          <w:szCs w:val="24"/>
        </w:rPr>
        <w:t>第二类</w:t>
      </w:r>
      <w:r>
        <w:rPr>
          <w:rFonts w:asciiTheme="minorEastAsia" w:hAnsiTheme="minorEastAsia"/>
          <w:b/>
          <w:bCs/>
          <w:sz w:val="24"/>
          <w:szCs w:val="24"/>
        </w:rPr>
        <w:t>的</w:t>
      </w:r>
      <w:r>
        <w:rPr>
          <w:rFonts w:hint="eastAsia" w:asciiTheme="minorEastAsia" w:hAnsiTheme="minorEastAsia"/>
          <w:b/>
          <w:bCs/>
          <w:sz w:val="24"/>
          <w:szCs w:val="24"/>
        </w:rPr>
        <w:t>主业属于传统行业</w:t>
      </w:r>
      <w:r>
        <w:rPr>
          <w:rFonts w:hint="eastAsia" w:asciiTheme="minorEastAsia" w:hAnsiTheme="minorEastAsia"/>
          <w:sz w:val="24"/>
          <w:szCs w:val="24"/>
        </w:rPr>
        <w:t>，例如能源类企业</w:t>
      </w:r>
      <w:r>
        <w:rPr>
          <w:rFonts w:asciiTheme="minorEastAsia" w:hAnsiTheme="minorEastAsia"/>
          <w:sz w:val="24"/>
          <w:szCs w:val="24"/>
        </w:rPr>
        <w:t>，</w:t>
      </w:r>
      <w:r>
        <w:rPr>
          <w:rFonts w:hint="eastAsia" w:asciiTheme="minorEastAsia" w:hAnsiTheme="minorEastAsia"/>
          <w:sz w:val="24"/>
          <w:szCs w:val="24"/>
        </w:rPr>
        <w:t>主要围绕传统主业的上下游布局战新产业；</w:t>
      </w:r>
      <w:r>
        <w:rPr>
          <w:rFonts w:hint="eastAsia" w:asciiTheme="minorEastAsia" w:hAnsiTheme="minorEastAsia"/>
          <w:b/>
          <w:bCs/>
          <w:sz w:val="24"/>
          <w:szCs w:val="24"/>
        </w:rPr>
        <w:t>第三类</w:t>
      </w:r>
      <w:r>
        <w:rPr>
          <w:rFonts w:asciiTheme="minorEastAsia" w:hAnsiTheme="minorEastAsia"/>
          <w:b/>
          <w:bCs/>
          <w:sz w:val="24"/>
          <w:szCs w:val="24"/>
        </w:rPr>
        <w:t>的</w:t>
      </w:r>
      <w:r>
        <w:rPr>
          <w:rFonts w:hint="eastAsia" w:asciiTheme="minorEastAsia" w:hAnsiTheme="minorEastAsia"/>
          <w:b/>
          <w:bCs/>
          <w:sz w:val="24"/>
          <w:szCs w:val="24"/>
        </w:rPr>
        <w:t>主业不从事具体实体业务</w:t>
      </w:r>
      <w:r>
        <w:rPr>
          <w:rFonts w:hint="eastAsia" w:asciiTheme="minorEastAsia" w:hAnsiTheme="minorEastAsia"/>
          <w:sz w:val="24"/>
          <w:szCs w:val="24"/>
        </w:rPr>
        <w:t>，例如</w:t>
      </w:r>
      <w:r>
        <w:rPr>
          <w:rFonts w:asciiTheme="minorEastAsia" w:hAnsiTheme="minorEastAsia"/>
          <w:sz w:val="24"/>
          <w:szCs w:val="24"/>
        </w:rPr>
        <w:t>专注</w:t>
      </w:r>
      <w:r>
        <w:rPr>
          <w:rFonts w:hint="eastAsia" w:asciiTheme="minorEastAsia" w:hAnsiTheme="minorEastAsia"/>
          <w:sz w:val="24"/>
          <w:szCs w:val="24"/>
        </w:rPr>
        <w:t>投资运营</w:t>
      </w:r>
      <w:r>
        <w:rPr>
          <w:rFonts w:asciiTheme="minorEastAsia" w:hAnsiTheme="minorEastAsia"/>
          <w:sz w:val="24"/>
          <w:szCs w:val="24"/>
        </w:rPr>
        <w:t>的国有资本</w:t>
      </w:r>
      <w:r>
        <w:rPr>
          <w:rFonts w:hint="eastAsia" w:asciiTheme="minorEastAsia" w:hAnsiTheme="minorEastAsia"/>
          <w:sz w:val="24"/>
          <w:szCs w:val="24"/>
        </w:rPr>
        <w:t>企业，通过组建基金、财务出资等方式投资战新产业，发挥产业引领作用。</w:t>
      </w:r>
      <w:r>
        <w:rPr>
          <w:rFonts w:asciiTheme="minorEastAsia" w:hAnsiTheme="minorEastAsia"/>
          <w:sz w:val="24"/>
          <w:szCs w:val="24"/>
        </w:rPr>
        <w:t>基于此分类，本文进一步选取了以中国电信、中国移动、国家电网</w:t>
      </w:r>
      <w:r>
        <w:rPr>
          <w:rFonts w:hint="eastAsia" w:asciiTheme="minorEastAsia" w:hAnsiTheme="minorEastAsia"/>
          <w:sz w:val="24"/>
          <w:szCs w:val="24"/>
        </w:rPr>
        <w:t>、</w:t>
      </w:r>
      <w:r>
        <w:rPr>
          <w:rFonts w:asciiTheme="minorEastAsia" w:hAnsiTheme="minorEastAsia"/>
          <w:sz w:val="24"/>
          <w:szCs w:val="24"/>
        </w:rPr>
        <w:t>中国</w:t>
      </w:r>
      <w:r>
        <w:rPr>
          <w:rFonts w:hint="eastAsia" w:asciiTheme="minorEastAsia" w:hAnsiTheme="minorEastAsia"/>
          <w:sz w:val="24"/>
          <w:szCs w:val="24"/>
        </w:rPr>
        <w:t>石化、中国诚通</w:t>
      </w:r>
      <w:r>
        <w:rPr>
          <w:rFonts w:asciiTheme="minorEastAsia" w:hAnsiTheme="minorEastAsia"/>
          <w:sz w:val="24"/>
          <w:szCs w:val="24"/>
        </w:rPr>
        <w:t>等为代表的央企，</w:t>
      </w:r>
      <w:r>
        <w:rPr>
          <w:rFonts w:hint="eastAsia" w:asciiTheme="minorEastAsia" w:hAnsiTheme="minorEastAsia"/>
          <w:sz w:val="24"/>
          <w:szCs w:val="24"/>
        </w:rPr>
        <w:t>梳理总结</w:t>
      </w:r>
      <w:r>
        <w:rPr>
          <w:rFonts w:asciiTheme="minorEastAsia" w:hAnsiTheme="minorEastAsia"/>
          <w:sz w:val="24"/>
          <w:szCs w:val="24"/>
        </w:rPr>
        <w:t>这些企业</w:t>
      </w:r>
      <w:r>
        <w:rPr>
          <w:rFonts w:hint="eastAsia" w:asciiTheme="minorEastAsia" w:hAnsiTheme="minorEastAsia"/>
          <w:sz w:val="24"/>
          <w:szCs w:val="24"/>
        </w:rPr>
        <w:t>近两年</w:t>
      </w:r>
      <w:r>
        <w:rPr>
          <w:rFonts w:asciiTheme="minorEastAsia" w:hAnsiTheme="minorEastAsia"/>
          <w:sz w:val="24"/>
          <w:szCs w:val="24"/>
        </w:rPr>
        <w:t>布局战新产业</w:t>
      </w:r>
      <w:r>
        <w:rPr>
          <w:rFonts w:hint="eastAsia" w:asciiTheme="minorEastAsia" w:hAnsiTheme="minorEastAsia"/>
          <w:sz w:val="24"/>
          <w:szCs w:val="24"/>
        </w:rPr>
        <w:t>的案例</w:t>
      </w:r>
      <w:r>
        <w:rPr>
          <w:rFonts w:asciiTheme="minorEastAsia" w:hAnsiTheme="minorEastAsia"/>
          <w:sz w:val="24"/>
          <w:szCs w:val="24"/>
        </w:rPr>
        <w:t>。案例分析表明，这些央企在战新产业</w:t>
      </w:r>
      <w:r>
        <w:rPr>
          <w:rFonts w:hint="eastAsia" w:asciiTheme="minorEastAsia" w:hAnsiTheme="minorEastAsia"/>
          <w:sz w:val="24"/>
          <w:szCs w:val="24"/>
        </w:rPr>
        <w:t>布局</w:t>
      </w:r>
      <w:r>
        <w:rPr>
          <w:rFonts w:asciiTheme="minorEastAsia" w:hAnsiTheme="minorEastAsia"/>
          <w:sz w:val="24"/>
          <w:szCs w:val="24"/>
        </w:rPr>
        <w:t>发展中取得了显著成效</w:t>
      </w:r>
      <w:r>
        <w:rPr>
          <w:rFonts w:hint="eastAsia" w:asciiTheme="minorEastAsia" w:hAnsiTheme="minorEastAsia"/>
          <w:sz w:val="24"/>
          <w:szCs w:val="24"/>
        </w:rPr>
        <w:t>，主要采用成立子公司、组建合资企业、投资参股、市场化基金投资四种模式布局战新产业，通过不同的布局模式达成转型升级、多元化发展、分享战新产业收益等战略目标。</w:t>
      </w:r>
    </w:p>
    <w:p>
      <w:pPr>
        <w:spacing w:line="360" w:lineRule="auto"/>
        <w:ind w:firstLine="482" w:firstLineChars="200"/>
        <w:rPr>
          <w:rFonts w:ascii="宋体" w:hAnsi="宋体"/>
          <w:sz w:val="24"/>
          <w:szCs w:val="24"/>
        </w:rPr>
      </w:pPr>
      <w:r>
        <w:rPr>
          <w:rFonts w:hint="eastAsia" w:ascii="宋体" w:hAnsi="宋体"/>
          <w:b/>
          <w:bCs/>
          <w:sz w:val="24"/>
          <w:szCs w:val="24"/>
        </w:rPr>
        <w:t>模式一：通过成立专业子公司的方式布局战新产业。</w:t>
      </w:r>
      <w:r>
        <w:rPr>
          <w:rFonts w:hint="eastAsia" w:ascii="宋体" w:hAnsi="宋体"/>
          <w:sz w:val="24"/>
          <w:szCs w:val="24"/>
        </w:rPr>
        <w:t>当某类战新业务在企业内有了一定的发展基础，具备培养成为未来核心业务的条件时，企业通常会成立子公司专职负责这类战新业务的进一步发展。比如中国电信集团投资成立量子信息科技集团、人工智能公司、无人科技公司等；南方电网集团成立储能股份公司、产业投资集团、综合能源股份公司等来分别负责不同的战新业务布局和拓展。在传统产业和业务上，央企成立的子公司主要服务于集团的主营业务。而在战新产业上，央企成立专业子公司的目的更倾向于主营业务的发展和延伸。例如中煤科工集团下属的天地奔牛，在煤炭开采的基础上专注于各类矿用高新设备的开发。</w:t>
      </w:r>
    </w:p>
    <w:p>
      <w:pPr>
        <w:spacing w:line="360" w:lineRule="auto"/>
        <w:ind w:firstLine="482" w:firstLineChars="200"/>
        <w:rPr>
          <w:rFonts w:hint="eastAsia" w:ascii="宋体" w:hAnsi="宋体"/>
          <w:sz w:val="24"/>
          <w:szCs w:val="24"/>
        </w:rPr>
      </w:pPr>
      <w:r>
        <w:rPr>
          <w:rFonts w:hint="eastAsia" w:ascii="宋体" w:hAnsi="宋体"/>
          <w:b/>
          <w:bCs/>
          <w:sz w:val="24"/>
          <w:szCs w:val="24"/>
        </w:rPr>
        <w:t>模式二：以战略联盟的方式布局战新产业。</w:t>
      </w:r>
      <w:r>
        <w:rPr>
          <w:rFonts w:hint="eastAsia" w:ascii="宋体" w:hAnsi="宋体"/>
          <w:sz w:val="24"/>
          <w:szCs w:val="24"/>
        </w:rPr>
        <w:t>多家集团就共同目标联合成立合资企业拓展战新业务。通过共同投资，共担风险，共享成果的合资模式，既可以充分利用和分享资源，又减少了单独投资研发布局的技术风险和市场风险。例如中国石化大力发展新能源业务，2022年联合中国石油、上汽集团、宁德时代、上海国际汽车城共同投资了上海捷能智电新能源科技有限公司。后者正成为新能源汽车充电领域的领军企业。在传统的企业联盟里，通常各方的实力相对均衡，强强抱团。而战新产业联盟通常会纳入一家体量相对较小但技术突出的企业，形成资源和技术互补的局面。</w:t>
      </w:r>
    </w:p>
    <w:p>
      <w:pPr>
        <w:spacing w:line="360" w:lineRule="auto"/>
        <w:ind w:firstLine="482" w:firstLineChars="200"/>
        <w:rPr>
          <w:rFonts w:ascii="宋体" w:hAnsi="宋体"/>
          <w:sz w:val="24"/>
          <w:szCs w:val="24"/>
        </w:rPr>
      </w:pPr>
      <w:r>
        <w:rPr>
          <w:rFonts w:hint="eastAsia" w:ascii="宋体" w:hAnsi="宋体"/>
          <w:b/>
          <w:bCs/>
          <w:sz w:val="24"/>
          <w:szCs w:val="24"/>
        </w:rPr>
        <w:t>模式三是通过投资参股的方式布局战新产业。</w:t>
      </w:r>
      <w:r>
        <w:rPr>
          <w:rFonts w:hint="eastAsia" w:ascii="宋体" w:hAnsi="宋体"/>
          <w:sz w:val="24"/>
          <w:szCs w:val="24"/>
        </w:rPr>
        <w:t>企业作为投资者和战略股东通过投资参股的方式进入体系外的战新产业科技公司。其目标是通过对不同产业领域和环节的投资渗入，进而较快地掌握战新产业链条的布局基础和产业能力，为未来可能的大规模进入做好准备。典型案例如中国移动入股大华股份、启明星辰、国博电子、海天瑞声等战新科技企业。然而不同于传统行业及业务的投资并购，战新产业具有难估值和高溢价的情况。央企在对战新产业投资参股的过程中可能会付出更高的代价。</w:t>
      </w:r>
    </w:p>
    <w:p>
      <w:pPr>
        <w:spacing w:after="312" w:afterLines="100" w:line="360" w:lineRule="auto"/>
        <w:ind w:firstLine="482" w:firstLineChars="200"/>
        <w:rPr>
          <w:rFonts w:asciiTheme="minorEastAsia" w:hAnsiTheme="minorEastAsia"/>
          <w:sz w:val="24"/>
          <w:szCs w:val="24"/>
        </w:rPr>
      </w:pPr>
      <w:r>
        <w:rPr>
          <w:rFonts w:hint="eastAsia" w:asciiTheme="minorEastAsia" w:hAnsiTheme="minorEastAsia"/>
          <w:b/>
          <w:bCs/>
          <w:sz w:val="24"/>
          <w:szCs w:val="24"/>
        </w:rPr>
        <w:t>模式四是打造投资平台，通过基金出资、股权投资等方式分享战新产业投资收益。</w:t>
      </w:r>
      <w:r>
        <w:rPr>
          <w:sz w:val="24"/>
          <w:szCs w:val="24"/>
        </w:rPr>
        <w:t>国家和</w:t>
      </w:r>
      <w:r>
        <w:rPr>
          <w:rFonts w:asciiTheme="minorEastAsia" w:hAnsiTheme="minorEastAsia"/>
          <w:sz w:val="24"/>
          <w:szCs w:val="24"/>
        </w:rPr>
        <w:t>企业</w:t>
      </w:r>
      <w:r>
        <w:rPr>
          <w:rFonts w:hint="eastAsia" w:asciiTheme="minorEastAsia" w:hAnsiTheme="minorEastAsia"/>
          <w:sz w:val="24"/>
          <w:szCs w:val="24"/>
        </w:rPr>
        <w:t>充分利用资本手段，例如</w:t>
      </w:r>
      <w:r>
        <w:rPr>
          <w:rFonts w:asciiTheme="minorEastAsia" w:hAnsiTheme="minorEastAsia"/>
          <w:sz w:val="24"/>
          <w:szCs w:val="24"/>
        </w:rPr>
        <w:t>设立</w:t>
      </w:r>
      <w:r>
        <w:rPr>
          <w:rFonts w:hint="eastAsia" w:asciiTheme="minorEastAsia" w:hAnsiTheme="minorEastAsia"/>
          <w:sz w:val="24"/>
          <w:szCs w:val="24"/>
        </w:rPr>
        <w:t>产业基金、打造</w:t>
      </w:r>
      <w:r>
        <w:rPr>
          <w:rFonts w:asciiTheme="minorEastAsia" w:hAnsiTheme="minorEastAsia"/>
          <w:sz w:val="24"/>
          <w:szCs w:val="24"/>
        </w:rPr>
        <w:t>股权</w:t>
      </w:r>
      <w:r>
        <w:rPr>
          <w:rFonts w:hint="eastAsia" w:asciiTheme="minorEastAsia" w:hAnsiTheme="minorEastAsia"/>
          <w:sz w:val="24"/>
          <w:szCs w:val="24"/>
        </w:rPr>
        <w:t>投资公司来发展战新业务。</w:t>
      </w:r>
      <w:r>
        <w:rPr>
          <w:rFonts w:asciiTheme="minorEastAsia" w:hAnsiTheme="minorEastAsia"/>
          <w:sz w:val="24"/>
          <w:szCs w:val="24"/>
        </w:rPr>
        <w:t>以</w:t>
      </w:r>
      <w:r>
        <w:rPr>
          <w:rFonts w:hint="eastAsia" w:asciiTheme="minorEastAsia" w:hAnsiTheme="minorEastAsia"/>
          <w:sz w:val="24"/>
          <w:szCs w:val="24"/>
        </w:rPr>
        <w:t>央企层面</w:t>
      </w:r>
      <w:r>
        <w:rPr>
          <w:rFonts w:asciiTheme="minorEastAsia" w:hAnsiTheme="minorEastAsia"/>
          <w:sz w:val="24"/>
          <w:szCs w:val="24"/>
        </w:rPr>
        <w:t>的</w:t>
      </w:r>
      <w:r>
        <w:rPr>
          <w:rFonts w:hint="eastAsia" w:asciiTheme="minorEastAsia" w:hAnsiTheme="minorEastAsia"/>
          <w:sz w:val="24"/>
          <w:szCs w:val="24"/>
        </w:rPr>
        <w:t>两家国家级资本运营公司</w:t>
      </w:r>
      <w:r>
        <w:rPr>
          <w:rFonts w:asciiTheme="minorEastAsia" w:hAnsiTheme="minorEastAsia"/>
          <w:sz w:val="24"/>
          <w:szCs w:val="24"/>
        </w:rPr>
        <w:t>之一的</w:t>
      </w:r>
      <w:r>
        <w:rPr>
          <w:rFonts w:hint="eastAsia" w:asciiTheme="minorEastAsia" w:hAnsiTheme="minorEastAsia"/>
          <w:sz w:val="24"/>
          <w:szCs w:val="24"/>
        </w:rPr>
        <w:t>中国诚通控股集团有限公司为例，</w:t>
      </w:r>
      <w:r>
        <w:rPr>
          <w:rFonts w:asciiTheme="minorEastAsia" w:hAnsiTheme="minorEastAsia"/>
          <w:sz w:val="24"/>
          <w:szCs w:val="24"/>
        </w:rPr>
        <w:t>其</w:t>
      </w:r>
      <w:r>
        <w:rPr>
          <w:rFonts w:hint="eastAsia" w:asciiTheme="minorEastAsia" w:hAnsiTheme="minorEastAsia"/>
          <w:sz w:val="24"/>
          <w:szCs w:val="24"/>
        </w:rPr>
        <w:t>受托管理中国国有企业结构调整基金，目前已与</w:t>
      </w:r>
      <w:r>
        <w:rPr>
          <w:rFonts w:asciiTheme="minorEastAsia" w:hAnsiTheme="minorEastAsia"/>
          <w:sz w:val="24"/>
          <w:szCs w:val="24"/>
        </w:rPr>
        <w:t>26</w:t>
      </w:r>
      <w:r>
        <w:rPr>
          <w:rFonts w:hint="eastAsia" w:asciiTheme="minorEastAsia" w:hAnsiTheme="minorEastAsia"/>
          <w:sz w:val="24"/>
          <w:szCs w:val="24"/>
        </w:rPr>
        <w:t>家央企、地方国企和金融机构建立股东关系，与</w:t>
      </w:r>
      <w:r>
        <w:rPr>
          <w:rFonts w:asciiTheme="minorEastAsia" w:hAnsiTheme="minorEastAsia"/>
          <w:sz w:val="24"/>
          <w:szCs w:val="24"/>
        </w:rPr>
        <w:t>70</w:t>
      </w:r>
      <w:r>
        <w:rPr>
          <w:rFonts w:hint="eastAsia" w:asciiTheme="minorEastAsia" w:hAnsiTheme="minorEastAsia"/>
          <w:sz w:val="24"/>
          <w:szCs w:val="24"/>
        </w:rPr>
        <w:t>余家央企和地方国企合作，大力培育战略性新兴产业，推动所出资企业实现高质量发展。</w:t>
      </w:r>
      <w:r>
        <w:rPr>
          <w:rFonts w:asciiTheme="minorEastAsia" w:hAnsiTheme="minorEastAsia"/>
          <w:sz w:val="24"/>
          <w:szCs w:val="24"/>
        </w:rPr>
        <w:t>许多大型国企下属也设立了股权投资公司</w:t>
      </w:r>
      <w:r>
        <w:rPr>
          <w:rFonts w:hint="eastAsia" w:asciiTheme="minorEastAsia" w:hAnsiTheme="minorEastAsia"/>
          <w:sz w:val="24"/>
          <w:szCs w:val="24"/>
        </w:rPr>
        <w:t>，</w:t>
      </w:r>
      <w:r>
        <w:rPr>
          <w:rFonts w:asciiTheme="minorEastAsia" w:hAnsiTheme="minorEastAsia"/>
          <w:sz w:val="24"/>
          <w:szCs w:val="24"/>
        </w:rPr>
        <w:t>如南航下属的南航资本，中国一汽集团下属的一汽股权投资（天津）有限公司等。这些企业通过股权投资的形式对战新企业进行控股。</w:t>
      </w:r>
      <w:r>
        <w:rPr>
          <w:rFonts w:hint="eastAsia" w:asciiTheme="minorEastAsia" w:hAnsiTheme="minorEastAsia"/>
          <w:sz w:val="24"/>
          <w:szCs w:val="24"/>
        </w:rPr>
        <w:t>随着国企相关的战新产业基金的设立和扩大，这种利用基金模式撬动战新产业布局和发展的模式，将会持续升级。</w:t>
      </w:r>
    </w:p>
    <w:p>
      <w:pPr>
        <w:pStyle w:val="37"/>
        <w:numPr>
          <w:ilvl w:val="0"/>
          <w:numId w:val="1"/>
        </w:numPr>
        <w:spacing w:line="360" w:lineRule="auto"/>
        <w:rPr>
          <w:rFonts w:asciiTheme="minorEastAsia" w:hAnsiTheme="minorEastAsia"/>
          <w:b/>
          <w:bCs/>
          <w:sz w:val="28"/>
          <w:szCs w:val="28"/>
        </w:rPr>
      </w:pPr>
      <w:r>
        <w:rPr>
          <w:rFonts w:hint="eastAsia" w:asciiTheme="minorEastAsia" w:hAnsiTheme="minorEastAsia"/>
          <w:b/>
          <w:bCs/>
          <w:sz w:val="28"/>
          <w:szCs w:val="28"/>
        </w:rPr>
        <w:t>央企布局战新产业的启示及思考</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根据国家</w:t>
      </w:r>
      <w:r>
        <w:rPr>
          <w:rFonts w:asciiTheme="minorEastAsia" w:hAnsiTheme="minorEastAsia"/>
          <w:sz w:val="24"/>
          <w:szCs w:val="24"/>
        </w:rPr>
        <w:t>“</w:t>
      </w:r>
      <w:r>
        <w:rPr>
          <w:rFonts w:hint="eastAsia" w:asciiTheme="minorEastAsia" w:hAnsiTheme="minorEastAsia"/>
          <w:sz w:val="24"/>
          <w:szCs w:val="24"/>
        </w:rPr>
        <w:t>十四五</w:t>
      </w:r>
      <w:r>
        <w:rPr>
          <w:rFonts w:asciiTheme="minorEastAsia" w:hAnsiTheme="minorEastAsia"/>
          <w:sz w:val="24"/>
          <w:szCs w:val="24"/>
        </w:rPr>
        <w:t>”</w:t>
      </w:r>
      <w:r>
        <w:rPr>
          <w:rFonts w:hint="eastAsia" w:asciiTheme="minorEastAsia" w:hAnsiTheme="minorEastAsia"/>
          <w:sz w:val="24"/>
          <w:szCs w:val="24"/>
        </w:rPr>
        <w:t>规划，战新产业有九大方向（绿色环保、新一代信息技术、生物、高端装备制造、新能源、新材料、新能源汽车、航空航天、海洋装备），同时九大方向下还有诸多细分领域，如何选择合适的战新产业赛道布局，是所有战略执行的前提和基础。依据前述分析，央企需要统筹考虑自身优势和产业前景，处理好战新业务与既有业务的关系，合理选择布局模式，构建适宜匹配的发展逻辑（如下图所示）。</w:t>
      </w:r>
    </w:p>
    <w:p>
      <w:pPr>
        <w:spacing w:line="360" w:lineRule="auto"/>
        <w:rPr>
          <w:rFonts w:asciiTheme="minorEastAsia" w:hAnsiTheme="minorEastAsia"/>
          <w:sz w:val="24"/>
          <w:szCs w:val="24"/>
        </w:rPr>
      </w:pPr>
      <w:r>
        <w:drawing>
          <wp:inline distT="0" distB="0" distL="0" distR="0">
            <wp:extent cx="5274310" cy="2087880"/>
            <wp:effectExtent l="0" t="0" r="2540" b="7620"/>
            <wp:docPr id="193450245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02459" name="图片 1" descr="图示&#10;&#10;描述已自动生成"/>
                    <pic:cNvPicPr>
                      <a:picLocks noChangeAspect="1"/>
                    </pic:cNvPicPr>
                  </pic:nvPicPr>
                  <pic:blipFill>
                    <a:blip r:embed="rId5"/>
                    <a:stretch>
                      <a:fillRect/>
                    </a:stretch>
                  </pic:blipFill>
                  <pic:spPr>
                    <a:xfrm>
                      <a:off x="0" y="0"/>
                      <a:ext cx="5274310" cy="2087880"/>
                    </a:xfrm>
                    <a:prstGeom prst="rect">
                      <a:avLst/>
                    </a:prstGeom>
                  </pic:spPr>
                </pic:pic>
              </a:graphicData>
            </a:graphic>
          </wp:inline>
        </w:drawing>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战新产业布局是个系统性工程，除了</w:t>
      </w:r>
      <w:r>
        <w:rPr>
          <w:rFonts w:asciiTheme="minorEastAsia" w:hAnsiTheme="minorEastAsia"/>
          <w:sz w:val="24"/>
          <w:szCs w:val="24"/>
        </w:rPr>
        <w:t>前</w:t>
      </w:r>
      <w:r>
        <w:rPr>
          <w:rFonts w:hint="eastAsia" w:asciiTheme="minorEastAsia" w:hAnsiTheme="minorEastAsia"/>
          <w:sz w:val="24"/>
          <w:szCs w:val="24"/>
        </w:rPr>
        <w:t>述</w:t>
      </w:r>
      <w:r>
        <w:rPr>
          <w:rFonts w:asciiTheme="minorEastAsia" w:hAnsiTheme="minorEastAsia"/>
          <w:sz w:val="24"/>
          <w:szCs w:val="24"/>
        </w:rPr>
        <w:t>的</w:t>
      </w:r>
      <w:r>
        <w:rPr>
          <w:rFonts w:hint="eastAsia" w:asciiTheme="minorEastAsia" w:hAnsiTheme="minorEastAsia"/>
          <w:sz w:val="24"/>
          <w:szCs w:val="24"/>
        </w:rPr>
        <w:t>模式</w:t>
      </w:r>
      <w:r>
        <w:rPr>
          <w:rFonts w:asciiTheme="minorEastAsia" w:hAnsiTheme="minorEastAsia"/>
          <w:sz w:val="24"/>
          <w:szCs w:val="24"/>
        </w:rPr>
        <w:t>分析，</w:t>
      </w:r>
      <w:r>
        <w:rPr>
          <w:rFonts w:hint="eastAsia" w:asciiTheme="minorEastAsia" w:hAnsiTheme="minorEastAsia"/>
          <w:sz w:val="24"/>
          <w:szCs w:val="24"/>
        </w:rPr>
        <w:t>组织体系和激励机制保障不可或缺，建议</w:t>
      </w:r>
      <w:r>
        <w:rPr>
          <w:rFonts w:hint="eastAsia" w:asciiTheme="minorEastAsia" w:hAnsiTheme="minorEastAsia"/>
          <w:b/>
          <w:bCs/>
          <w:sz w:val="24"/>
          <w:szCs w:val="24"/>
        </w:rPr>
        <w:t>一是建立差异化组织体系。</w:t>
      </w:r>
      <w:r>
        <w:rPr>
          <w:rFonts w:asciiTheme="minorEastAsia" w:hAnsiTheme="minorEastAsia"/>
          <w:sz w:val="24"/>
          <w:szCs w:val="24"/>
        </w:rPr>
        <w:t>企业需要</w:t>
      </w:r>
      <w:r>
        <w:rPr>
          <w:rFonts w:hint="eastAsia" w:asciiTheme="minorEastAsia" w:hAnsiTheme="minorEastAsia"/>
          <w:sz w:val="24"/>
          <w:szCs w:val="24"/>
        </w:rPr>
        <w:t>在实践中逐步建立国有制度体系与市场化制度体系相结合的适应战新发展的组织管理体系，提升企业全员参与战新产业的积极性。对战新业务的管理要区别于传统业务管理，例如组建相对独立的组织团队，确立导向清晰的产业目标，给予专项预算的资源配置，赋予创新探索的容错空间，设置有效合理的风险隔离</w:t>
      </w:r>
      <w:r>
        <w:rPr>
          <w:rFonts w:asciiTheme="minorEastAsia" w:hAnsiTheme="minorEastAsia"/>
          <w:sz w:val="24"/>
          <w:szCs w:val="24"/>
        </w:rPr>
        <w:t>等</w:t>
      </w:r>
      <w:r>
        <w:rPr>
          <w:rFonts w:hint="eastAsia" w:asciiTheme="minorEastAsia" w:hAnsiTheme="minorEastAsia"/>
          <w:sz w:val="24"/>
          <w:szCs w:val="24"/>
        </w:rPr>
        <w:t>。</w:t>
      </w:r>
      <w:r>
        <w:rPr>
          <w:rFonts w:hint="eastAsia" w:asciiTheme="minorEastAsia" w:hAnsiTheme="minorEastAsia"/>
          <w:b/>
          <w:bCs/>
          <w:sz w:val="24"/>
          <w:szCs w:val="24"/>
        </w:rPr>
        <w:t>二是构建市场化激励机制体系。</w:t>
      </w:r>
      <w:r>
        <w:rPr>
          <w:rFonts w:hint="eastAsia" w:asciiTheme="minorEastAsia" w:hAnsiTheme="minorEastAsia"/>
          <w:sz w:val="24"/>
          <w:szCs w:val="24"/>
        </w:rPr>
        <w:t>建立市场化的用人选聘机制是培育战新产业的核心关键</w:t>
      </w:r>
      <w:r>
        <w:rPr>
          <w:rFonts w:asciiTheme="minorEastAsia" w:hAnsiTheme="minorEastAsia"/>
          <w:sz w:val="24"/>
          <w:szCs w:val="24"/>
        </w:rPr>
        <w:t>。企业</w:t>
      </w:r>
      <w:r>
        <w:rPr>
          <w:rFonts w:hint="eastAsia" w:asciiTheme="minorEastAsia" w:hAnsiTheme="minorEastAsia"/>
          <w:sz w:val="24"/>
          <w:szCs w:val="24"/>
        </w:rPr>
        <w:t>除了提供市场化的待遇水平，还可以通过员工持股等将人才发展与战新产业发展相绑定，激发创造力，吸引保留战新产业所需要的市场化人才。目前已实施员工入股的包括宁夏神耀科技有限公司（国家能源集团子公司）、中国电器科学研究院有限公司（中国机械工业集团子公司）、欧冶云商股份有限公司（宝武集团子公司）等多家央企，取得了积极效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900ABF"/>
    <w:multiLevelType w:val="multilevel"/>
    <w:tmpl w:val="1B900ABF"/>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VhYjQ1MDQ1MmViYjJhNzEwMjk0Y2MwZTA5NDFkMzYifQ=="/>
  </w:docVars>
  <w:rsids>
    <w:rsidRoot w:val="00A53883"/>
    <w:rsid w:val="0000086D"/>
    <w:rsid w:val="000047A2"/>
    <w:rsid w:val="00020A43"/>
    <w:rsid w:val="000279CB"/>
    <w:rsid w:val="00044D7A"/>
    <w:rsid w:val="000514C7"/>
    <w:rsid w:val="0005252C"/>
    <w:rsid w:val="00073BA2"/>
    <w:rsid w:val="00077EBE"/>
    <w:rsid w:val="000878CB"/>
    <w:rsid w:val="000966F6"/>
    <w:rsid w:val="0009795F"/>
    <w:rsid w:val="000A07BF"/>
    <w:rsid w:val="000B1888"/>
    <w:rsid w:val="000B7A18"/>
    <w:rsid w:val="000D13F8"/>
    <w:rsid w:val="000E527B"/>
    <w:rsid w:val="000F2DC8"/>
    <w:rsid w:val="000F4EC3"/>
    <w:rsid w:val="00104A65"/>
    <w:rsid w:val="001050F0"/>
    <w:rsid w:val="001066A3"/>
    <w:rsid w:val="00116833"/>
    <w:rsid w:val="001228E6"/>
    <w:rsid w:val="001332E9"/>
    <w:rsid w:val="00135ED1"/>
    <w:rsid w:val="00140B7E"/>
    <w:rsid w:val="00167F75"/>
    <w:rsid w:val="0017165B"/>
    <w:rsid w:val="0017547C"/>
    <w:rsid w:val="001815D1"/>
    <w:rsid w:val="0018770D"/>
    <w:rsid w:val="00194597"/>
    <w:rsid w:val="00194FA0"/>
    <w:rsid w:val="0019523B"/>
    <w:rsid w:val="001A0443"/>
    <w:rsid w:val="001A6DD9"/>
    <w:rsid w:val="001A7587"/>
    <w:rsid w:val="001A75F1"/>
    <w:rsid w:val="001B1CD5"/>
    <w:rsid w:val="001B4066"/>
    <w:rsid w:val="001B410A"/>
    <w:rsid w:val="001B4E9D"/>
    <w:rsid w:val="001B634D"/>
    <w:rsid w:val="001C70BD"/>
    <w:rsid w:val="001E1C59"/>
    <w:rsid w:val="001E4945"/>
    <w:rsid w:val="001F06B6"/>
    <w:rsid w:val="001F156B"/>
    <w:rsid w:val="001F2B31"/>
    <w:rsid w:val="001F38D0"/>
    <w:rsid w:val="0020054C"/>
    <w:rsid w:val="00206D2E"/>
    <w:rsid w:val="00225DFF"/>
    <w:rsid w:val="00230492"/>
    <w:rsid w:val="002614C1"/>
    <w:rsid w:val="002648CE"/>
    <w:rsid w:val="0027054E"/>
    <w:rsid w:val="00273E48"/>
    <w:rsid w:val="00281207"/>
    <w:rsid w:val="00285509"/>
    <w:rsid w:val="00296B31"/>
    <w:rsid w:val="002A02BD"/>
    <w:rsid w:val="002B45F8"/>
    <w:rsid w:val="002B7198"/>
    <w:rsid w:val="002C121F"/>
    <w:rsid w:val="002C2971"/>
    <w:rsid w:val="002E2957"/>
    <w:rsid w:val="002F2760"/>
    <w:rsid w:val="002F5DDC"/>
    <w:rsid w:val="00317260"/>
    <w:rsid w:val="003209E5"/>
    <w:rsid w:val="0032162E"/>
    <w:rsid w:val="003238D4"/>
    <w:rsid w:val="00335F95"/>
    <w:rsid w:val="003360CC"/>
    <w:rsid w:val="0034037E"/>
    <w:rsid w:val="00346D35"/>
    <w:rsid w:val="00363741"/>
    <w:rsid w:val="00367A50"/>
    <w:rsid w:val="0037512A"/>
    <w:rsid w:val="0038198F"/>
    <w:rsid w:val="003B1FB4"/>
    <w:rsid w:val="003C3A67"/>
    <w:rsid w:val="003C676C"/>
    <w:rsid w:val="003C7EC2"/>
    <w:rsid w:val="003D4B00"/>
    <w:rsid w:val="003E3F1A"/>
    <w:rsid w:val="003F3859"/>
    <w:rsid w:val="003F5EE8"/>
    <w:rsid w:val="00404D60"/>
    <w:rsid w:val="00407454"/>
    <w:rsid w:val="00407656"/>
    <w:rsid w:val="0045320A"/>
    <w:rsid w:val="00461ABF"/>
    <w:rsid w:val="00474A0B"/>
    <w:rsid w:val="00475F63"/>
    <w:rsid w:val="004845D8"/>
    <w:rsid w:val="004877D0"/>
    <w:rsid w:val="004909EF"/>
    <w:rsid w:val="004A197A"/>
    <w:rsid w:val="004C0908"/>
    <w:rsid w:val="004C11C6"/>
    <w:rsid w:val="004C145F"/>
    <w:rsid w:val="004C247D"/>
    <w:rsid w:val="004C2AB0"/>
    <w:rsid w:val="004D7A78"/>
    <w:rsid w:val="004E0A81"/>
    <w:rsid w:val="004E1E71"/>
    <w:rsid w:val="004E2D21"/>
    <w:rsid w:val="004F3458"/>
    <w:rsid w:val="00502DB1"/>
    <w:rsid w:val="005118DD"/>
    <w:rsid w:val="005123F7"/>
    <w:rsid w:val="005204DD"/>
    <w:rsid w:val="00520923"/>
    <w:rsid w:val="00522C77"/>
    <w:rsid w:val="00540EA7"/>
    <w:rsid w:val="005424F4"/>
    <w:rsid w:val="005473D8"/>
    <w:rsid w:val="00574116"/>
    <w:rsid w:val="00575158"/>
    <w:rsid w:val="00575E80"/>
    <w:rsid w:val="00590267"/>
    <w:rsid w:val="005961B5"/>
    <w:rsid w:val="0059687D"/>
    <w:rsid w:val="00597ECD"/>
    <w:rsid w:val="005B56EF"/>
    <w:rsid w:val="005C7E6F"/>
    <w:rsid w:val="005D73CC"/>
    <w:rsid w:val="005E09BB"/>
    <w:rsid w:val="005F1B7C"/>
    <w:rsid w:val="005F379E"/>
    <w:rsid w:val="00607E35"/>
    <w:rsid w:val="00610146"/>
    <w:rsid w:val="00613CFA"/>
    <w:rsid w:val="00644760"/>
    <w:rsid w:val="00650618"/>
    <w:rsid w:val="006521A3"/>
    <w:rsid w:val="00654C09"/>
    <w:rsid w:val="00672FD3"/>
    <w:rsid w:val="006856A1"/>
    <w:rsid w:val="006865F0"/>
    <w:rsid w:val="00691A85"/>
    <w:rsid w:val="00696B69"/>
    <w:rsid w:val="00697B93"/>
    <w:rsid w:val="006A4463"/>
    <w:rsid w:val="006A496E"/>
    <w:rsid w:val="006A73C3"/>
    <w:rsid w:val="006B12D1"/>
    <w:rsid w:val="006B3DEF"/>
    <w:rsid w:val="006B5045"/>
    <w:rsid w:val="006C2124"/>
    <w:rsid w:val="006C62D9"/>
    <w:rsid w:val="006C69C0"/>
    <w:rsid w:val="006E1307"/>
    <w:rsid w:val="006E25C0"/>
    <w:rsid w:val="006E354F"/>
    <w:rsid w:val="00734791"/>
    <w:rsid w:val="00747F78"/>
    <w:rsid w:val="00754E66"/>
    <w:rsid w:val="00762AF9"/>
    <w:rsid w:val="00766269"/>
    <w:rsid w:val="0078292E"/>
    <w:rsid w:val="007846F7"/>
    <w:rsid w:val="00785DE4"/>
    <w:rsid w:val="00786851"/>
    <w:rsid w:val="00791A75"/>
    <w:rsid w:val="007A616C"/>
    <w:rsid w:val="007B1F86"/>
    <w:rsid w:val="007C51B6"/>
    <w:rsid w:val="007C7F01"/>
    <w:rsid w:val="007D29CD"/>
    <w:rsid w:val="007D7D22"/>
    <w:rsid w:val="007E0F21"/>
    <w:rsid w:val="007E2DEB"/>
    <w:rsid w:val="007E7F64"/>
    <w:rsid w:val="007F5DEB"/>
    <w:rsid w:val="007F6D87"/>
    <w:rsid w:val="008016F4"/>
    <w:rsid w:val="0081397D"/>
    <w:rsid w:val="00830B96"/>
    <w:rsid w:val="0083148D"/>
    <w:rsid w:val="00842087"/>
    <w:rsid w:val="0084657E"/>
    <w:rsid w:val="00850992"/>
    <w:rsid w:val="0085318A"/>
    <w:rsid w:val="008628E9"/>
    <w:rsid w:val="00882AED"/>
    <w:rsid w:val="0088378C"/>
    <w:rsid w:val="008A0C05"/>
    <w:rsid w:val="008A4054"/>
    <w:rsid w:val="008C7B20"/>
    <w:rsid w:val="008E2076"/>
    <w:rsid w:val="008E74A0"/>
    <w:rsid w:val="008F3FCA"/>
    <w:rsid w:val="00913E08"/>
    <w:rsid w:val="009148D6"/>
    <w:rsid w:val="009174B2"/>
    <w:rsid w:val="00921481"/>
    <w:rsid w:val="009215B6"/>
    <w:rsid w:val="00921A8E"/>
    <w:rsid w:val="00934B4C"/>
    <w:rsid w:val="00937314"/>
    <w:rsid w:val="00950D72"/>
    <w:rsid w:val="00956F64"/>
    <w:rsid w:val="00976676"/>
    <w:rsid w:val="00977D53"/>
    <w:rsid w:val="009800F4"/>
    <w:rsid w:val="009A23DC"/>
    <w:rsid w:val="009A4E57"/>
    <w:rsid w:val="009A7EA7"/>
    <w:rsid w:val="009B483E"/>
    <w:rsid w:val="009C0D06"/>
    <w:rsid w:val="009E4179"/>
    <w:rsid w:val="009F00AE"/>
    <w:rsid w:val="00A1489A"/>
    <w:rsid w:val="00A148D5"/>
    <w:rsid w:val="00A15A97"/>
    <w:rsid w:val="00A223C4"/>
    <w:rsid w:val="00A31E09"/>
    <w:rsid w:val="00A3661F"/>
    <w:rsid w:val="00A412E6"/>
    <w:rsid w:val="00A44B66"/>
    <w:rsid w:val="00A527CB"/>
    <w:rsid w:val="00A53883"/>
    <w:rsid w:val="00A84614"/>
    <w:rsid w:val="00A86C31"/>
    <w:rsid w:val="00A91722"/>
    <w:rsid w:val="00AA76E3"/>
    <w:rsid w:val="00AE18D3"/>
    <w:rsid w:val="00AE38F7"/>
    <w:rsid w:val="00AE727A"/>
    <w:rsid w:val="00AF18F1"/>
    <w:rsid w:val="00B2092F"/>
    <w:rsid w:val="00B24954"/>
    <w:rsid w:val="00B26064"/>
    <w:rsid w:val="00B340B5"/>
    <w:rsid w:val="00B46DDA"/>
    <w:rsid w:val="00B55080"/>
    <w:rsid w:val="00B7444E"/>
    <w:rsid w:val="00B914BE"/>
    <w:rsid w:val="00B97F4B"/>
    <w:rsid w:val="00BA17DC"/>
    <w:rsid w:val="00BA3A0B"/>
    <w:rsid w:val="00BA5F82"/>
    <w:rsid w:val="00BB27E0"/>
    <w:rsid w:val="00BC1CC3"/>
    <w:rsid w:val="00BC1DFF"/>
    <w:rsid w:val="00BD2722"/>
    <w:rsid w:val="00BD2F34"/>
    <w:rsid w:val="00BD5775"/>
    <w:rsid w:val="00BE6B8B"/>
    <w:rsid w:val="00BF5830"/>
    <w:rsid w:val="00C1484C"/>
    <w:rsid w:val="00C16B1A"/>
    <w:rsid w:val="00C22840"/>
    <w:rsid w:val="00C359B5"/>
    <w:rsid w:val="00C430C5"/>
    <w:rsid w:val="00C50E79"/>
    <w:rsid w:val="00C53DA4"/>
    <w:rsid w:val="00C63CB1"/>
    <w:rsid w:val="00C82BF3"/>
    <w:rsid w:val="00C86FB8"/>
    <w:rsid w:val="00C9651F"/>
    <w:rsid w:val="00CA387B"/>
    <w:rsid w:val="00CC65D1"/>
    <w:rsid w:val="00CC78BB"/>
    <w:rsid w:val="00CE4CA4"/>
    <w:rsid w:val="00D01475"/>
    <w:rsid w:val="00D12FF5"/>
    <w:rsid w:val="00D15E5B"/>
    <w:rsid w:val="00D2445C"/>
    <w:rsid w:val="00D25EA5"/>
    <w:rsid w:val="00D51301"/>
    <w:rsid w:val="00D52E5F"/>
    <w:rsid w:val="00D53654"/>
    <w:rsid w:val="00D65ACE"/>
    <w:rsid w:val="00D742ED"/>
    <w:rsid w:val="00D77C73"/>
    <w:rsid w:val="00D86CE9"/>
    <w:rsid w:val="00D94CD3"/>
    <w:rsid w:val="00DA43F7"/>
    <w:rsid w:val="00DA704E"/>
    <w:rsid w:val="00DB3251"/>
    <w:rsid w:val="00DB62AB"/>
    <w:rsid w:val="00DC79D5"/>
    <w:rsid w:val="00DE7FC2"/>
    <w:rsid w:val="00DF2452"/>
    <w:rsid w:val="00E30E0A"/>
    <w:rsid w:val="00E44ED2"/>
    <w:rsid w:val="00E54145"/>
    <w:rsid w:val="00E7460F"/>
    <w:rsid w:val="00E75A95"/>
    <w:rsid w:val="00E75BC5"/>
    <w:rsid w:val="00E7706D"/>
    <w:rsid w:val="00E80DA7"/>
    <w:rsid w:val="00EA4DC4"/>
    <w:rsid w:val="00EB0C48"/>
    <w:rsid w:val="00EB5E3E"/>
    <w:rsid w:val="00EC261C"/>
    <w:rsid w:val="00ED1008"/>
    <w:rsid w:val="00ED458B"/>
    <w:rsid w:val="00ED61DC"/>
    <w:rsid w:val="00ED793D"/>
    <w:rsid w:val="00EE4F4F"/>
    <w:rsid w:val="00F0151E"/>
    <w:rsid w:val="00F02860"/>
    <w:rsid w:val="00F04EF9"/>
    <w:rsid w:val="00F10E55"/>
    <w:rsid w:val="00F16A53"/>
    <w:rsid w:val="00F369DA"/>
    <w:rsid w:val="00F40F8D"/>
    <w:rsid w:val="00F42A90"/>
    <w:rsid w:val="00F466D3"/>
    <w:rsid w:val="00F508D5"/>
    <w:rsid w:val="00F521A8"/>
    <w:rsid w:val="00F550BE"/>
    <w:rsid w:val="00F64DC5"/>
    <w:rsid w:val="00F6741C"/>
    <w:rsid w:val="00F718F8"/>
    <w:rsid w:val="00F8186C"/>
    <w:rsid w:val="00FA4931"/>
    <w:rsid w:val="00FB0070"/>
    <w:rsid w:val="00FB4C10"/>
    <w:rsid w:val="00FB6608"/>
    <w:rsid w:val="00FC1545"/>
    <w:rsid w:val="00FE3AE7"/>
    <w:rsid w:val="29C37DC7"/>
    <w:rsid w:val="E4D7F7EA"/>
    <w:rsid w:val="FF497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37609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37609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37609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37609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37609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semiHidden/>
    <w:unhideWhenUsed/>
    <w:qFormat/>
    <w:uiPriority w:val="99"/>
    <w:pPr>
      <w:jc w:val="left"/>
    </w:pPr>
  </w:style>
  <w:style w:type="paragraph" w:styleId="12">
    <w:name w:val="footer"/>
    <w:basedOn w:val="1"/>
    <w:link w:val="45"/>
    <w:unhideWhenUsed/>
    <w:qFormat/>
    <w:uiPriority w:val="99"/>
    <w:pPr>
      <w:tabs>
        <w:tab w:val="center" w:pos="4153"/>
        <w:tab w:val="right" w:pos="8306"/>
      </w:tabs>
      <w:snapToGrid w:val="0"/>
      <w:jc w:val="left"/>
    </w:pPr>
    <w:rPr>
      <w:sz w:val="18"/>
      <w:szCs w:val="18"/>
    </w:rPr>
  </w:style>
  <w:style w:type="paragraph" w:styleId="13">
    <w:name w:val="header"/>
    <w:basedOn w:val="1"/>
    <w:link w:val="44"/>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footnote text"/>
    <w:basedOn w:val="1"/>
    <w:link w:val="42"/>
    <w:autoRedefine/>
    <w:semiHidden/>
    <w:unhideWhenUsed/>
    <w:qFormat/>
    <w:uiPriority w:val="99"/>
    <w:pPr>
      <w:snapToGrid w:val="0"/>
      <w:jc w:val="left"/>
    </w:pPr>
    <w:rPr>
      <w:sz w:val="18"/>
      <w:szCs w:val="18"/>
    </w:rPr>
  </w:style>
  <w:style w:type="paragraph" w:styleId="16">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Emphasis"/>
    <w:basedOn w:val="19"/>
    <w:qFormat/>
    <w:uiPriority w:val="20"/>
    <w:rPr>
      <w:i/>
      <w:iCs/>
    </w:rPr>
  </w:style>
  <w:style w:type="character" w:styleId="22">
    <w:name w:val="Hyperlink"/>
    <w:basedOn w:val="19"/>
    <w:autoRedefine/>
    <w:semiHidden/>
    <w:unhideWhenUsed/>
    <w:qFormat/>
    <w:uiPriority w:val="99"/>
    <w:rPr>
      <w:color w:val="0000FF"/>
      <w:u w:val="single"/>
    </w:rPr>
  </w:style>
  <w:style w:type="character" w:styleId="23">
    <w:name w:val="footnote reference"/>
    <w:basedOn w:val="19"/>
    <w:autoRedefine/>
    <w:semiHidden/>
    <w:unhideWhenUsed/>
    <w:qFormat/>
    <w:uiPriority w:val="99"/>
    <w:rPr>
      <w:vertAlign w:val="superscript"/>
    </w:rPr>
  </w:style>
  <w:style w:type="character" w:customStyle="1" w:styleId="24">
    <w:name w:val="标题 1 字符"/>
    <w:basedOn w:val="19"/>
    <w:link w:val="2"/>
    <w:autoRedefine/>
    <w:qFormat/>
    <w:uiPriority w:val="9"/>
    <w:rPr>
      <w:rFonts w:asciiTheme="majorHAnsi" w:hAnsiTheme="majorHAnsi" w:eastAsiaTheme="majorEastAsia" w:cstheme="majorBidi"/>
      <w:color w:val="376092" w:themeColor="accent1" w:themeShade="BF"/>
      <w:sz w:val="48"/>
      <w:szCs w:val="48"/>
    </w:rPr>
  </w:style>
  <w:style w:type="character" w:customStyle="1" w:styleId="25">
    <w:name w:val="标题 2 字符"/>
    <w:basedOn w:val="19"/>
    <w:link w:val="3"/>
    <w:autoRedefine/>
    <w:semiHidden/>
    <w:qFormat/>
    <w:uiPriority w:val="9"/>
    <w:rPr>
      <w:rFonts w:asciiTheme="majorHAnsi" w:hAnsiTheme="majorHAnsi" w:eastAsiaTheme="majorEastAsia" w:cstheme="majorBidi"/>
      <w:color w:val="376092" w:themeColor="accent1" w:themeShade="BF"/>
      <w:sz w:val="40"/>
      <w:szCs w:val="40"/>
    </w:rPr>
  </w:style>
  <w:style w:type="character" w:customStyle="1" w:styleId="26">
    <w:name w:val="标题 3 字符"/>
    <w:basedOn w:val="19"/>
    <w:link w:val="4"/>
    <w:semiHidden/>
    <w:qFormat/>
    <w:uiPriority w:val="9"/>
    <w:rPr>
      <w:rFonts w:asciiTheme="majorHAnsi" w:hAnsiTheme="majorHAnsi" w:eastAsiaTheme="majorEastAsia" w:cstheme="majorBidi"/>
      <w:color w:val="376092" w:themeColor="accent1" w:themeShade="BF"/>
      <w:sz w:val="32"/>
      <w:szCs w:val="32"/>
    </w:rPr>
  </w:style>
  <w:style w:type="character" w:customStyle="1" w:styleId="27">
    <w:name w:val="标题 4 字符"/>
    <w:basedOn w:val="19"/>
    <w:link w:val="5"/>
    <w:semiHidden/>
    <w:qFormat/>
    <w:uiPriority w:val="9"/>
    <w:rPr>
      <w:rFonts w:cstheme="majorBidi"/>
      <w:color w:val="376092" w:themeColor="accent1" w:themeShade="BF"/>
      <w:sz w:val="28"/>
      <w:szCs w:val="28"/>
    </w:rPr>
  </w:style>
  <w:style w:type="character" w:customStyle="1" w:styleId="28">
    <w:name w:val="标题 5 字符"/>
    <w:basedOn w:val="19"/>
    <w:link w:val="6"/>
    <w:autoRedefine/>
    <w:semiHidden/>
    <w:qFormat/>
    <w:uiPriority w:val="9"/>
    <w:rPr>
      <w:rFonts w:cstheme="majorBidi"/>
      <w:color w:val="376092" w:themeColor="accent1" w:themeShade="BF"/>
      <w:sz w:val="24"/>
      <w:szCs w:val="24"/>
    </w:rPr>
  </w:style>
  <w:style w:type="character" w:customStyle="1" w:styleId="29">
    <w:name w:val="标题 6 字符"/>
    <w:basedOn w:val="19"/>
    <w:link w:val="7"/>
    <w:autoRedefine/>
    <w:semiHidden/>
    <w:qFormat/>
    <w:uiPriority w:val="9"/>
    <w:rPr>
      <w:rFonts w:cstheme="majorBidi"/>
      <w:b/>
      <w:bCs/>
      <w:color w:val="376092" w:themeColor="accent1" w:themeShade="BF"/>
    </w:rPr>
  </w:style>
  <w:style w:type="character" w:customStyle="1" w:styleId="30">
    <w:name w:val="标题 7 字符"/>
    <w:basedOn w:val="19"/>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19"/>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19"/>
    <w:link w:val="16"/>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19"/>
    <w:link w:val="14"/>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19"/>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19"/>
    <w:qFormat/>
    <w:uiPriority w:val="21"/>
    <w:rPr>
      <w:i/>
      <w:iCs/>
      <w:color w:val="376092" w:themeColor="accent1" w:themeShade="BF"/>
    </w:rPr>
  </w:style>
  <w:style w:type="paragraph" w:styleId="39">
    <w:name w:val="Intense Quote"/>
    <w:basedOn w:val="1"/>
    <w:next w:val="1"/>
    <w:link w:val="40"/>
    <w:autoRedefine/>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40">
    <w:name w:val="明显引用 字符"/>
    <w:basedOn w:val="19"/>
    <w:link w:val="39"/>
    <w:autoRedefine/>
    <w:qFormat/>
    <w:uiPriority w:val="30"/>
    <w:rPr>
      <w:i/>
      <w:iCs/>
      <w:color w:val="376092" w:themeColor="accent1" w:themeShade="BF"/>
    </w:rPr>
  </w:style>
  <w:style w:type="character" w:customStyle="1" w:styleId="41">
    <w:name w:val="明显参考1"/>
    <w:basedOn w:val="19"/>
    <w:qFormat/>
    <w:uiPriority w:val="32"/>
    <w:rPr>
      <w:b/>
      <w:bCs/>
      <w:smallCaps/>
      <w:color w:val="376092" w:themeColor="accent1" w:themeShade="BF"/>
      <w:spacing w:val="5"/>
    </w:rPr>
  </w:style>
  <w:style w:type="character" w:customStyle="1" w:styleId="42">
    <w:name w:val="脚注文本 字符"/>
    <w:basedOn w:val="19"/>
    <w:link w:val="15"/>
    <w:autoRedefine/>
    <w:semiHidden/>
    <w:qFormat/>
    <w:uiPriority w:val="99"/>
    <w:rPr>
      <w:sz w:val="18"/>
      <w:szCs w:val="18"/>
    </w:rPr>
  </w:style>
  <w:style w:type="table" w:customStyle="1" w:styleId="43">
    <w:name w:val="网格表 1 浅色 - 着色 51"/>
    <w:basedOn w:val="17"/>
    <w:autoRedefine/>
    <w:qFormat/>
    <w:uiPriority w:val="46"/>
    <w:tblPr>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cPr>
        <w:tcBorders>
          <w:bottom w:val="single" w:color="92CDDC" w:themeColor="accent5" w:themeTint="99" w:sz="12" w:space="0"/>
        </w:tcBorders>
      </w:tcPr>
    </w:tblStylePr>
    <w:tblStylePr w:type="lastRow">
      <w:rPr>
        <w:b/>
        <w:bCs/>
      </w:rPr>
      <w:tcPr>
        <w:tcBorders>
          <w:top w:val="double" w:color="92CDDC" w:themeColor="accent5" w:themeTint="99" w:sz="2" w:space="0"/>
        </w:tcBorders>
      </w:tcPr>
    </w:tblStylePr>
    <w:tblStylePr w:type="firstCol">
      <w:rPr>
        <w:b/>
        <w:bCs/>
      </w:rPr>
    </w:tblStylePr>
    <w:tblStylePr w:type="lastCol">
      <w:rPr>
        <w:b/>
        <w:bCs/>
      </w:rPr>
    </w:tblStylePr>
  </w:style>
  <w:style w:type="character" w:customStyle="1" w:styleId="44">
    <w:name w:val="页眉 字符"/>
    <w:basedOn w:val="19"/>
    <w:link w:val="13"/>
    <w:qFormat/>
    <w:uiPriority w:val="99"/>
    <w:rPr>
      <w:sz w:val="18"/>
      <w:szCs w:val="18"/>
    </w:rPr>
  </w:style>
  <w:style w:type="character" w:customStyle="1" w:styleId="45">
    <w:name w:val="页脚 字符"/>
    <w:basedOn w:val="19"/>
    <w:link w:val="12"/>
    <w:autoRedefine/>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900" b="1" i="0" u="none" strike="noStrike" kern="1200" spc="0" baseline="0">
                <a:solidFill>
                  <a:schemeClr val="tx1"/>
                </a:solidFill>
                <a:latin typeface="+mn-lt"/>
                <a:ea typeface="+mn-ea"/>
                <a:cs typeface="+mn-cs"/>
              </a:defRPr>
            </a:pPr>
            <a:r>
              <a:rPr lang="zh-CN" altLang="en-US" sz="900" b="1"/>
              <a:t>央企战略性新兴产业投资金额（亿元）</a:t>
            </a:r>
            <a:endParaRPr lang="zh-CN" altLang="en-US" sz="900" b="1"/>
          </a:p>
        </c:rich>
      </c:tx>
      <c:layout>
        <c:manualLayout>
          <c:xMode val="edge"/>
          <c:yMode val="edge"/>
          <c:x val="0.292631578947368"/>
          <c:y val="0.0462962962962963"/>
        </c:manualLayout>
      </c:layout>
      <c:overlay val="0"/>
      <c:spPr>
        <a:noFill/>
        <a:ln>
          <a:noFill/>
        </a:ln>
        <a:effectLst/>
      </c:spPr>
    </c:title>
    <c:autoTitleDeleted val="0"/>
    <c:plotArea>
      <c:layout/>
      <c:lineChart>
        <c:grouping val="standard"/>
        <c:varyColors val="0"/>
        <c:ser>
          <c:idx val="0"/>
          <c:order val="0"/>
          <c:spPr>
            <a:ln w="28575" cap="flat" cmpd="sng">
              <a:solidFill>
                <a:schemeClr val="accent1"/>
              </a:solidFill>
              <a:prstDash val="solid"/>
              <a:miter lim="800000"/>
            </a:ln>
            <a:effectLst/>
          </c:spPr>
          <c:marker>
            <c:symbol val="none"/>
          </c:marker>
          <c:dLbls>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[工作簿1]Sheet1!$A$3:$A$8</c:f>
              <c:strCache>
                <c:ptCount val="6"/>
                <c:pt idx="0">
                  <c:v>2018年</c:v>
                </c:pt>
                <c:pt idx="1">
                  <c:v>2019年</c:v>
                </c:pt>
                <c:pt idx="2">
                  <c:v>2020年</c:v>
                </c:pt>
                <c:pt idx="3">
                  <c:v>2021年</c:v>
                </c:pt>
                <c:pt idx="4">
                  <c:v>2022年</c:v>
                </c:pt>
                <c:pt idx="5">
                  <c:v>2023年</c:v>
                </c:pt>
              </c:strCache>
            </c:strRef>
          </c:cat>
          <c:val>
            <c:numRef>
              <c:f>[工作簿1]Sheet1!$B$3:$B$8</c:f>
              <c:numCache>
                <c:formatCode>General</c:formatCode>
                <c:ptCount val="6"/>
                <c:pt idx="0">
                  <c:v>7000</c:v>
                </c:pt>
                <c:pt idx="1">
                  <c:v>9094</c:v>
                </c:pt>
                <c:pt idx="2">
                  <c:v>11600</c:v>
                </c:pt>
                <c:pt idx="3">
                  <c:v>13000</c:v>
                </c:pt>
                <c:pt idx="4">
                  <c:v>15000</c:v>
                </c:pt>
                <c:pt idx="5">
                  <c:v>21800</c:v>
                </c:pt>
              </c:numCache>
            </c:numRef>
          </c:val>
          <c:smooth val="0"/>
        </c:ser>
        <c:dLbls>
          <c:showLegendKey val="0"/>
          <c:showVal val="1"/>
          <c:showCatName val="0"/>
          <c:showSerName val="0"/>
          <c:showPercent val="0"/>
          <c:showBubbleSize val="0"/>
        </c:dLbls>
        <c:dropLines>
          <c:spPr>
            <a:ln w="9525" cap="flat" cmpd="sng" algn="ctr">
              <a:gradFill>
                <a:gsLst>
                  <a:gs pos="5000">
                    <a:schemeClr val="accent1"/>
                  </a:gs>
                  <a:gs pos="100000">
                    <a:schemeClr val="bg1"/>
                  </a:gs>
                </a:gsLst>
                <a:lin ang="5400000" scaled="1"/>
              </a:gradFill>
              <a:round/>
            </a:ln>
            <a:effectLst/>
          </c:spPr>
        </c:dropLines>
        <c:marker val="0"/>
        <c:smooth val="0"/>
        <c:axId val="74796920"/>
        <c:axId val="847086582"/>
      </c:lineChart>
      <c:catAx>
        <c:axId val="74796920"/>
        <c:scaling>
          <c:orientation val="minMax"/>
        </c:scaling>
        <c:delete val="0"/>
        <c:axPos val="b"/>
        <c:numFmt formatCode="General" sourceLinked="1"/>
        <c:majorTickMark val="none"/>
        <c:minorTickMark val="none"/>
        <c:tickLblPos val="nextTo"/>
        <c:spPr>
          <a:noFill/>
          <a:ln w="9525" cap="flat" cmpd="sng" algn="ctr">
            <a:solidFill>
              <a:schemeClr val="bg1">
                <a:lumMod val="85000"/>
              </a:schemeClr>
            </a:solidFill>
            <a:round/>
          </a:ln>
          <a:effectLst/>
        </c:spPr>
        <c:txPr>
          <a:bodyPr rot="-60000000" spcFirstLastPara="0" vertOverflow="ellipsis" vert="horz" wrap="square" anchor="ctr" anchorCtr="1" forceAA="0"/>
          <a:lstStyle/>
          <a:p>
            <a:pPr>
              <a:defRPr lang="zh-CN" sz="800" b="1" i="0" u="none" strike="noStrike" kern="1200" baseline="0">
                <a:solidFill>
                  <a:schemeClr val="tx1">
                    <a:lumMod val="50000"/>
                    <a:lumOff val="50000"/>
                  </a:schemeClr>
                </a:solidFill>
                <a:latin typeface="+mn-lt"/>
                <a:ea typeface="+mn-ea"/>
                <a:cs typeface="+mn-cs"/>
              </a:defRPr>
            </a:pPr>
          </a:p>
        </c:txPr>
        <c:crossAx val="847086582"/>
        <c:crosses val="autoZero"/>
        <c:auto val="1"/>
        <c:lblAlgn val="ctr"/>
        <c:lblOffset val="100"/>
        <c:noMultiLvlLbl val="0"/>
      </c:catAx>
      <c:valAx>
        <c:axId val="847086582"/>
        <c:scaling>
          <c:orientation val="minMax"/>
        </c:scaling>
        <c:delete val="0"/>
        <c:axPos val="l"/>
        <c:numFmt formatCode="General" sourceLinked="1"/>
        <c:majorTickMark val="none"/>
        <c:minorTickMark val="none"/>
        <c:tickLblPos val="nextTo"/>
        <c:spPr>
          <a:noFill/>
          <a:ln w="9525" cap="flat" cmpd="sng" algn="ctr">
            <a:solidFill>
              <a:schemeClr val="bg1">
                <a:lumMod val="85000"/>
              </a:schemeClr>
            </a:solidFill>
            <a:round/>
          </a:ln>
          <a:effectLst/>
        </c:spPr>
        <c:txPr>
          <a:bodyPr rot="-60000000" spcFirstLastPara="0" vertOverflow="ellipsis" vert="horz" wrap="square" anchor="ctr" anchorCtr="1" forceAA="0"/>
          <a:lstStyle/>
          <a:p>
            <a:pPr>
              <a:defRPr lang="zh-CN" sz="900" b="1" i="0" u="none" strike="noStrike" kern="1200" baseline="0">
                <a:solidFill>
                  <a:schemeClr val="tx1">
                    <a:lumMod val="50000"/>
                    <a:lumOff val="50000"/>
                  </a:schemeClr>
                </a:solidFill>
                <a:latin typeface="+mn-lt"/>
                <a:ea typeface="+mn-ea"/>
                <a:cs typeface="+mn-cs"/>
              </a:defRPr>
            </a:pPr>
          </a:p>
        </c:txPr>
        <c:crossAx val="74796920"/>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a:outerShdw blurRad="63500" dist="37357" dir="2700000" sx="0" sy="0" rotWithShape="0">
        <a:scrgbClr r="0" g="0" b="0"/>
      </a:outerShdw>
    </a:effectLst>
  </c:spPr>
  <c:txPr>
    <a:bodyPr/>
    <a:lstStyle/>
    <a:p>
      <a:pPr>
        <a:defRPr lang="zh-CN" b="1"/>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word/theme/themeOverride1.xml><?xml version="1.0" encoding="utf-8"?>
<a:themeOverride xmlns:a="http://schemas.openxmlformats.org/drawingml/2006/main">
  <a:clrScheme name="【8】">
    <a:dk1>
      <a:srgbClr val="000000"/>
    </a:dk1>
    <a:lt1>
      <a:srgbClr val="FFFFFF"/>
    </a:lt1>
    <a:dk2>
      <a:srgbClr val="0C0E1F"/>
    </a:dk2>
    <a:lt2>
      <a:srgbClr val="FEFFFF"/>
    </a:lt2>
    <a:accent1>
      <a:srgbClr val="3875FF"/>
    </a:accent1>
    <a:accent2>
      <a:srgbClr val="FCBE00"/>
    </a:accent2>
    <a:accent3>
      <a:srgbClr val="73A1FF"/>
    </a:accent3>
    <a:accent4>
      <a:srgbClr val="83D8FF"/>
    </a:accent4>
    <a:accent5>
      <a:srgbClr val="FC9400"/>
    </a:accent5>
    <a:accent6>
      <a:srgbClr val="0093F0"/>
    </a:accent6>
    <a:hlink>
      <a:srgbClr val="304FFE"/>
    </a:hlink>
    <a:folHlink>
      <a:srgbClr val="492067"/>
    </a:folHlink>
  </a:clrScheme>
  <a:fontScheme name="自定义 2">
    <a:majorFont>
      <a:latin typeface="微软雅黑"/>
      <a:ea typeface="微软雅黑"/>
      <a:cs typeface=""/>
    </a:majorFont>
    <a:minorFont>
      <a:latin typeface="微软雅黑"/>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Company>HP Inc.</Company>
  <Pages>5</Pages>
  <Words>473</Words>
  <Characters>2701</Characters>
  <Lines>22</Lines>
  <Paragraphs>6</Paragraphs>
  <TotalTime>1</TotalTime>
  <ScaleCrop>false</ScaleCrop>
  <LinksUpToDate>false</LinksUpToDate>
  <CharactersWithSpaces>3168</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2024-04-09T10:48:00Z</dcterms:created>
  <dc:creator>李娟</dc:creator>
  <cp:lastModifiedBy>李娟</cp:lastModifiedBy>
  <dcterms:modified xsi:type="dcterms:W3CDTF">2024-04-10T01:29:48Z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6DB8916ACC366E7273DB12665DC91776_42</vt:lpwstr>
  </property>
</Properties>
</file>