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spacing w:before="0" w:after="0" w:line="360" w:lineRule="auto"/>
        <w:jc w:val="center"/>
        <w:rPr>
          <w:rFonts w:ascii="Times New Roman" w:hAnsi="Times New Roman" w:eastAsia="仿宋" w:cs="Times New Roman"/>
          <w:b/>
          <w:sz w:val="32"/>
        </w:rPr>
      </w:pPr>
      <w:r>
        <w:rPr>
          <w:rFonts w:hint="eastAsia" w:ascii="Times New Roman" w:hAnsi="Times New Roman" w:eastAsia="仿宋" w:cs="Times New Roman"/>
          <w:b/>
          <w:sz w:val="32"/>
        </w:rPr>
        <w:t>工业互联网平台发展趋势洞察及方向探索</w:t>
      </w:r>
    </w:p>
    <w:p>
      <w:pPr>
        <w:spacing w:line="360" w:lineRule="auto"/>
        <w:ind w:firstLine="480" w:firstLineChars="200"/>
        <w:jc w:val="both"/>
        <w:rPr>
          <w:rFonts w:ascii="Times New Roman" w:hAnsi="Times New Roman" w:eastAsia="仿宋" w:cs="Times New Roman"/>
          <w:sz w:val="24"/>
        </w:rPr>
      </w:pPr>
    </w:p>
    <w:p>
      <w:pPr>
        <w:spacing w:line="360" w:lineRule="auto"/>
        <w:ind w:firstLine="480" w:firstLineChars="200"/>
        <w:jc w:val="both"/>
        <w:rPr>
          <w:rFonts w:ascii="Times New Roman" w:hAnsi="Times New Roman" w:eastAsia="仿宋" w:cs="Times New Roman"/>
          <w:sz w:val="24"/>
        </w:rPr>
      </w:pPr>
      <w:r>
        <w:rPr>
          <w:rFonts w:hint="eastAsia" w:ascii="Times New Roman" w:hAnsi="Times New Roman" w:eastAsia="仿宋" w:cs="Times New Roman"/>
          <w:sz w:val="24"/>
        </w:rPr>
        <w:t>工业互联网平台是新型工业化的战略性基础设施和发展新质生产力的重要驱动力量，通过统筹网络、标识、平台、数据、安全五大功能体系，实现工业化与信息化在更广范围、更深程度、更高水平上的融合发展。发展工业互联网业务是运营商把握新机遇、实现转型升级的重要抓手，运营商可依托工业互联网平台，利用在网络、技术、服务方面的优势为制造业企业提供更加智能高效的解决方案，实现业务模式创新，为新质生产力的快速发展贡献力量。</w:t>
      </w:r>
    </w:p>
    <w:p>
      <w:pPr>
        <w:pStyle w:val="2"/>
        <w:ind w:firstLine="562"/>
        <w:rPr>
          <w:sz w:val="28"/>
        </w:rPr>
      </w:pPr>
      <w:r>
        <w:rPr>
          <w:rFonts w:hint="eastAsia"/>
          <w:sz w:val="28"/>
        </w:rPr>
        <w:t>一、工业互联网平台发展现状</w:t>
      </w:r>
    </w:p>
    <w:p>
      <w:pPr>
        <w:tabs>
          <w:tab w:val="left" w:pos="0"/>
        </w:tabs>
        <w:spacing w:line="360" w:lineRule="auto"/>
        <w:ind w:left="482"/>
        <w:jc w:val="both"/>
        <w:rPr>
          <w:rFonts w:hint="default" w:ascii="Times New Roman" w:hAnsi="Times New Roman" w:eastAsia="仿宋" w:cs="Times New Roman"/>
          <w:b/>
          <w:sz w:val="24"/>
          <w:highlight w:val="yellow"/>
          <w:lang w:val="en-US" w:eastAsia="zh-CN"/>
        </w:rPr>
      </w:pPr>
      <w:r>
        <w:rPr>
          <w:rFonts w:hint="eastAsia" w:ascii="Times New Roman" w:hAnsi="Times New Roman" w:eastAsia="仿宋" w:cs="Times New Roman"/>
          <w:b/>
          <w:sz w:val="24"/>
          <w:highlight w:val="none"/>
        </w:rPr>
        <w:t>1、平台能力：</w:t>
      </w:r>
      <w:r>
        <w:rPr>
          <w:rFonts w:hint="eastAsia" w:ascii="Times New Roman" w:hAnsi="Times New Roman" w:eastAsia="仿宋" w:cs="Times New Roman"/>
          <w:b/>
          <w:sz w:val="24"/>
          <w:highlight w:val="none"/>
          <w:lang w:val="en-US" w:eastAsia="zh-CN"/>
        </w:rPr>
        <w:t>宏观能力建设稳步推进，微观主体培育与国际领先平台存在差距。</w:t>
      </w:r>
    </w:p>
    <w:p>
      <w:pPr>
        <w:spacing w:line="360" w:lineRule="auto"/>
        <w:ind w:firstLine="482" w:firstLineChars="200"/>
        <w:jc w:val="both"/>
        <w:rPr>
          <w:rFonts w:hint="eastAsia" w:ascii="Times New Roman" w:hAnsi="Times New Roman" w:eastAsia="仿宋" w:cs="Times New Roman"/>
          <w:sz w:val="24"/>
        </w:rPr>
      </w:pPr>
      <w:r>
        <w:rPr>
          <w:rFonts w:hint="eastAsia" w:ascii="Times New Roman" w:hAnsi="Times New Roman" w:eastAsia="仿宋" w:cs="Times New Roman"/>
          <w:b/>
          <w:bCs/>
          <w:sz w:val="24"/>
        </w:rPr>
        <w:t>宏观</w:t>
      </w:r>
      <w:r>
        <w:rPr>
          <w:rFonts w:hint="eastAsia" w:ascii="Times New Roman" w:hAnsi="Times New Roman" w:eastAsia="仿宋" w:cs="Times New Roman"/>
          <w:b/>
          <w:bCs/>
          <w:sz w:val="24"/>
          <w:lang w:val="en-US" w:eastAsia="zh-CN"/>
        </w:rPr>
        <w:t>能力建设</w:t>
      </w:r>
      <w:r>
        <w:rPr>
          <w:rFonts w:hint="eastAsia" w:ascii="Times New Roman" w:hAnsi="Times New Roman" w:eastAsia="仿宋" w:cs="Times New Roman"/>
          <w:b/>
          <w:bCs/>
          <w:sz w:val="24"/>
        </w:rPr>
        <w:t>层面</w:t>
      </w:r>
      <w:r>
        <w:rPr>
          <w:rFonts w:hint="eastAsia" w:ascii="Times New Roman" w:hAnsi="Times New Roman" w:eastAsia="仿宋" w:cs="Times New Roman"/>
          <w:b/>
          <w:bCs/>
          <w:sz w:val="24"/>
          <w:lang w:eastAsia="zh-CN"/>
        </w:rPr>
        <w:t>，</w:t>
      </w:r>
      <w:r>
        <w:rPr>
          <w:rFonts w:hint="eastAsia" w:ascii="Times New Roman" w:hAnsi="Times New Roman" w:eastAsia="仿宋" w:cs="Times New Roman"/>
          <w:b/>
          <w:bCs/>
          <w:sz w:val="24"/>
        </w:rPr>
        <w:t>我国网络基础资源不断优化，工业互联网标识解析体系全面建成</w:t>
      </w:r>
      <w:r>
        <w:rPr>
          <w:rFonts w:hint="eastAsia" w:ascii="Times New Roman" w:hAnsi="Times New Roman" w:eastAsia="仿宋" w:cs="Times New Roman"/>
          <w:b/>
          <w:bCs/>
          <w:sz w:val="24"/>
          <w:lang w:eastAsia="zh-CN"/>
        </w:rPr>
        <w:t>，</w:t>
      </w:r>
      <w:r>
        <w:rPr>
          <w:rFonts w:hint="eastAsia" w:ascii="Times New Roman" w:hAnsi="Times New Roman" w:eastAsia="仿宋" w:cs="Times New Roman"/>
          <w:b/>
          <w:bCs/>
          <w:sz w:val="24"/>
          <w:lang w:val="en-US" w:eastAsia="zh-CN"/>
        </w:rPr>
        <w:t>工业互联网平台数量持续增长，</w:t>
      </w:r>
      <w:r>
        <w:rPr>
          <w:rFonts w:hint="eastAsia" w:ascii="Times New Roman" w:hAnsi="Times New Roman" w:eastAsia="仿宋" w:cs="Times New Roman"/>
          <w:b/>
          <w:bCs/>
          <w:sz w:val="24"/>
        </w:rPr>
        <w:t>数据汇聚初见成效</w:t>
      </w:r>
      <w:r>
        <w:rPr>
          <w:rFonts w:hint="eastAsia" w:ascii="Times New Roman" w:hAnsi="Times New Roman" w:eastAsia="仿宋" w:cs="Times New Roman"/>
          <w:b/>
          <w:bCs/>
          <w:sz w:val="24"/>
          <w:lang w:eastAsia="zh-CN"/>
        </w:rPr>
        <w:t>。</w:t>
      </w:r>
      <w:r>
        <w:rPr>
          <w:rFonts w:hint="eastAsia" w:ascii="Times New Roman" w:hAnsi="Times New Roman" w:eastAsia="仿宋" w:cs="Times New Roman"/>
          <w:sz w:val="24"/>
        </w:rPr>
        <w:t>截至2023年12月，我国累计建成5G基站337.7万个，覆盖所有地级市和县城城区</w:t>
      </w:r>
      <w:r>
        <w:rPr>
          <w:rFonts w:hint="eastAsia" w:ascii="Times New Roman" w:hAnsi="Times New Roman" w:eastAsia="仿宋" w:cs="Times New Roman"/>
          <w:sz w:val="24"/>
          <w:lang w:eastAsia="zh-CN"/>
        </w:rPr>
        <w:t>，</w:t>
      </w:r>
      <w:r>
        <w:rPr>
          <w:rFonts w:hint="eastAsia" w:ascii="Times New Roman" w:hAnsi="Times New Roman" w:eastAsia="仿宋" w:cs="Times New Roman"/>
          <w:sz w:val="24"/>
        </w:rPr>
        <w:t>“双千兆”网络全面带动智能制造等各个领域创新发展。</w:t>
      </w:r>
      <w:r>
        <w:rPr>
          <w:rStyle w:val="15"/>
          <w:rFonts w:hint="eastAsia" w:ascii="Times New Roman" w:hAnsi="Times New Roman" w:eastAsia="仿宋" w:cs="Times New Roman"/>
          <w:sz w:val="24"/>
        </w:rPr>
        <w:footnoteReference w:id="0"/>
      </w:r>
      <w:r>
        <w:rPr>
          <w:rFonts w:hint="eastAsia" w:ascii="Times New Roman" w:hAnsi="Times New Roman" w:eastAsia="仿宋" w:cs="Times New Roman"/>
          <w:sz w:val="24"/>
        </w:rPr>
        <w:t>工业互联网标识解析体系“5+2”国家顶级节点建成，二级节点实现全国31个省（自治区、直辖市）全面覆盖。</w:t>
      </w:r>
      <w:r>
        <w:rPr>
          <w:rStyle w:val="15"/>
          <w:rFonts w:hint="eastAsia" w:ascii="Times New Roman" w:hAnsi="Times New Roman" w:eastAsia="仿宋" w:cs="Times New Roman"/>
          <w:sz w:val="24"/>
        </w:rPr>
        <w:footnoteReference w:id="1"/>
      </w:r>
      <w:r>
        <w:rPr>
          <w:rFonts w:hint="eastAsia" w:ascii="Times New Roman" w:hAnsi="Times New Roman" w:eastAsia="仿宋" w:cs="Times New Roman"/>
          <w:sz w:val="24"/>
        </w:rPr>
        <w:t>目前我国有一定影响力的工业互联网平台超340个，融入49个国民经济大类</w:t>
      </w:r>
      <w:r>
        <w:rPr>
          <w:rFonts w:hint="eastAsia" w:ascii="Times New Roman" w:hAnsi="Times New Roman" w:eastAsia="仿宋" w:cs="Times New Roman"/>
          <w:sz w:val="24"/>
          <w:lang w:eastAsia="zh-CN"/>
        </w:rPr>
        <w:t>、</w:t>
      </w:r>
      <w:r>
        <w:rPr>
          <w:rFonts w:hint="eastAsia" w:ascii="Times New Roman" w:hAnsi="Times New Roman" w:eastAsia="仿宋" w:cs="Times New Roman"/>
          <w:sz w:val="24"/>
        </w:rPr>
        <w:t>覆盖全部工业大类</w:t>
      </w:r>
      <w:r>
        <w:rPr>
          <w:rFonts w:hint="eastAsia" w:ascii="Times New Roman" w:hAnsi="Times New Roman" w:eastAsia="仿宋" w:cs="Times New Roman"/>
          <w:sz w:val="24"/>
          <w:lang w:eastAsia="zh-CN"/>
        </w:rPr>
        <w:t>，</w:t>
      </w:r>
      <w:r>
        <w:rPr>
          <w:rFonts w:hint="eastAsia" w:ascii="Times New Roman" w:hAnsi="Times New Roman" w:eastAsia="仿宋" w:cs="Times New Roman"/>
          <w:sz w:val="24"/>
        </w:rPr>
        <w:t>连接近亿台/套工业设备</w:t>
      </w:r>
      <w:r>
        <w:rPr>
          <w:rStyle w:val="15"/>
          <w:rFonts w:hint="eastAsia" w:ascii="Times New Roman" w:hAnsi="Times New Roman" w:eastAsia="仿宋" w:cs="Times New Roman"/>
          <w:sz w:val="24"/>
        </w:rPr>
        <w:footnoteReference w:id="2"/>
      </w:r>
      <w:r>
        <w:rPr>
          <w:rFonts w:hint="eastAsia" w:ascii="Times New Roman" w:hAnsi="Times New Roman" w:eastAsia="仿宋" w:cs="Times New Roman"/>
          <w:sz w:val="24"/>
          <w:lang w:eastAsia="zh-CN"/>
        </w:rPr>
        <w:t>；</w:t>
      </w:r>
      <w:r>
        <w:rPr>
          <w:rFonts w:hint="eastAsia" w:ascii="Times New Roman" w:hAnsi="Times New Roman" w:eastAsia="仿宋" w:cs="Times New Roman"/>
          <w:sz w:val="24"/>
        </w:rPr>
        <w:t>截止2023年三季度末，我国“双跨”平台达50家，已建设近万家数字化车间和智能工厂，产业提质增效成果显著。</w:t>
      </w:r>
      <w:r>
        <w:rPr>
          <w:rStyle w:val="15"/>
          <w:rFonts w:hint="eastAsia" w:ascii="Times New Roman" w:hAnsi="Times New Roman" w:eastAsia="仿宋" w:cs="Times New Roman"/>
          <w:sz w:val="24"/>
        </w:rPr>
        <w:footnoteReference w:id="3"/>
      </w:r>
      <w:r>
        <w:rPr>
          <w:rFonts w:hint="eastAsia" w:ascii="Times New Roman" w:hAnsi="Times New Roman" w:eastAsia="仿宋" w:cs="Times New Roman"/>
          <w:sz w:val="24"/>
        </w:rPr>
        <w:t>国家工业互联网大数据中心体系基本建成，工业互联网数据要素登记（确权）平台体系建设持续推进。</w:t>
      </w:r>
      <w:r>
        <w:rPr>
          <w:rStyle w:val="15"/>
          <w:rFonts w:hint="eastAsia" w:ascii="Times New Roman" w:hAnsi="Times New Roman" w:eastAsia="仿宋" w:cs="Times New Roman"/>
          <w:sz w:val="24"/>
        </w:rPr>
        <w:footnoteReference w:id="4"/>
      </w:r>
    </w:p>
    <w:p>
      <w:pPr>
        <w:keepNext w:val="0"/>
        <w:keepLines w:val="0"/>
        <w:pageBreakBefore w:val="0"/>
        <w:widowControl w:val="0"/>
        <w:kinsoku/>
        <w:wordWrap/>
        <w:overflowPunct/>
        <w:topLinePunct w:val="0"/>
        <w:autoSpaceDE/>
        <w:autoSpaceDN/>
        <w:bidi w:val="0"/>
        <w:adjustRightInd/>
        <w:snapToGrid w:val="0"/>
        <w:spacing w:line="360" w:lineRule="auto"/>
        <w:ind w:firstLine="482" w:firstLineChars="200"/>
        <w:jc w:val="both"/>
        <w:textAlignment w:val="auto"/>
        <w:rPr>
          <w:rFonts w:hint="default" w:ascii="Times New Roman" w:hAnsi="Times New Roman" w:eastAsia="仿宋" w:cs="Times New Roman"/>
          <w:b w:val="0"/>
          <w:bCs/>
          <w:color w:val="auto"/>
          <w:sz w:val="24"/>
          <w:vertAlign w:val="baseline"/>
          <w:lang w:val="en-US" w:eastAsia="zh-CN"/>
        </w:rPr>
      </w:pPr>
      <w:r>
        <w:rPr>
          <w:rFonts w:hint="eastAsia" w:ascii="Times New Roman" w:hAnsi="Times New Roman" w:eastAsia="仿宋" w:cs="Times New Roman"/>
          <w:b/>
          <w:bCs/>
          <w:sz w:val="24"/>
        </w:rPr>
        <w:t>微观</w:t>
      </w:r>
      <w:r>
        <w:rPr>
          <w:rFonts w:hint="eastAsia" w:ascii="Times New Roman" w:hAnsi="Times New Roman" w:eastAsia="仿宋" w:cs="Times New Roman"/>
          <w:b/>
          <w:bCs/>
          <w:sz w:val="24"/>
          <w:lang w:val="en-US" w:eastAsia="zh-CN"/>
        </w:rPr>
        <w:t>能力发展层面，国内典型工业互联网平台已在标杆打造、标准制定、生态建设、行业数字化转型赋能方面实现突破。</w:t>
      </w:r>
      <w:r>
        <w:rPr>
          <w:rFonts w:hint="eastAsia" w:ascii="Times New Roman" w:hAnsi="Times New Roman" w:eastAsia="仿宋" w:cs="Times New Roman"/>
          <w:b w:val="0"/>
          <w:bCs/>
          <w:color w:val="auto"/>
          <w:sz w:val="24"/>
          <w:lang w:val="en-US" w:eastAsia="zh-CN"/>
        </w:rPr>
        <w:t>卡奥斯COSMOPlat已打造包含中国本土首座可持续灯塔在内的11座世界“灯塔工厂”，参与制定ISO、IEEE、IEC、UL四大国际标准并牵头制定了首个工业互联网系统功能架构国际标准。</w:t>
      </w:r>
      <w:r>
        <w:rPr>
          <w:rStyle w:val="15"/>
          <w:rFonts w:hint="eastAsia" w:ascii="Times New Roman" w:hAnsi="Times New Roman" w:eastAsia="仿宋" w:cs="Times New Roman"/>
          <w:b w:val="0"/>
          <w:bCs/>
          <w:color w:val="auto"/>
          <w:sz w:val="24"/>
          <w:lang w:val="en-US" w:eastAsia="zh-CN"/>
        </w:rPr>
        <w:footnoteReference w:id="5"/>
      </w:r>
      <w:r>
        <w:rPr>
          <w:rFonts w:hint="eastAsia" w:ascii="Times New Roman" w:hAnsi="Times New Roman" w:eastAsia="仿宋" w:cs="Times New Roman"/>
          <w:b w:val="0"/>
          <w:bCs/>
          <w:color w:val="auto"/>
          <w:sz w:val="24"/>
          <w:lang w:val="en-US" w:eastAsia="zh-CN"/>
        </w:rPr>
        <w:t>华为工业互联网平台FusionPlant2022年底已汇聚工业APP超过2400个、工业机理模型数超过900个，连接工业设备总数超过240万，覆盖钢铁、焦化、矿业、建材、家电、汽车等50多产业集群，服务工业企业超过10万家</w:t>
      </w:r>
      <w:r>
        <w:rPr>
          <w:rStyle w:val="15"/>
          <w:rFonts w:hint="eastAsia" w:ascii="Times New Roman" w:hAnsi="Times New Roman" w:eastAsia="仿宋" w:cs="Times New Roman"/>
          <w:b w:val="0"/>
          <w:bCs/>
          <w:color w:val="auto"/>
          <w:sz w:val="24"/>
          <w:lang w:val="en-US" w:eastAsia="zh-CN"/>
        </w:rPr>
        <w:footnoteReference w:id="6"/>
      </w:r>
      <w:r>
        <w:rPr>
          <w:rFonts w:hint="eastAsia" w:ascii="Times New Roman" w:hAnsi="Times New Roman" w:eastAsia="仿宋" w:cs="Times New Roman"/>
          <w:b w:val="0"/>
          <w:bCs/>
          <w:color w:val="auto"/>
          <w:sz w:val="24"/>
          <w:lang w:val="en-US" w:eastAsia="zh-CN"/>
        </w:rPr>
        <w:t>。</w:t>
      </w:r>
      <w:r>
        <w:rPr>
          <w:rFonts w:hint="eastAsia" w:ascii="Times New Roman" w:hAnsi="Times New Roman" w:eastAsia="仿宋" w:cs="Times New Roman"/>
          <w:b/>
          <w:color w:val="auto"/>
          <w:sz w:val="24"/>
        </w:rPr>
        <w:t>相比于国际领先的工业互联网平台，我国工业互联网平台微观主体的培育和发展方面仍存在明显差距。</w:t>
      </w:r>
      <w:r>
        <w:rPr>
          <w:rFonts w:hint="eastAsia" w:ascii="Times New Roman" w:hAnsi="Times New Roman" w:eastAsia="仿宋" w:cs="Times New Roman"/>
          <w:b w:val="0"/>
          <w:bCs/>
          <w:color w:val="auto"/>
          <w:sz w:val="24"/>
          <w:lang w:val="en-US" w:eastAsia="zh-CN"/>
        </w:rPr>
        <w:t xml:space="preserve"> ABB Ability</w:t>
      </w:r>
      <w:r>
        <w:rPr>
          <w:rFonts w:hint="eastAsia" w:ascii="Times New Roman" w:hAnsi="Times New Roman" w:eastAsia="仿宋" w:cs="Times New Roman"/>
          <w:b w:val="0"/>
          <w:bCs/>
          <w:color w:val="auto"/>
          <w:sz w:val="24"/>
          <w:vertAlign w:val="superscript"/>
          <w:lang w:val="en-US" w:eastAsia="zh-CN"/>
        </w:rPr>
        <w:t>TM</w:t>
      </w:r>
      <w:r>
        <w:rPr>
          <w:rFonts w:hint="eastAsia" w:ascii="Times New Roman" w:hAnsi="Times New Roman" w:eastAsia="仿宋" w:cs="Times New Roman"/>
          <w:b w:val="0"/>
          <w:bCs/>
          <w:color w:val="auto"/>
          <w:sz w:val="24"/>
          <w:vertAlign w:val="baseline"/>
          <w:lang w:val="en-US" w:eastAsia="zh-CN"/>
        </w:rPr>
        <w:t>2017年首次在中国市场推出时就已包括200多个工业数字化解决方案，2022年初已向中国用户提供了500多万台互联设备及8000多套控制系统，2023年ABB与Microsoft合作将Azure OpenAI服务集成到ABB Ability™ Genix工业分析和AI套件中</w:t>
      </w:r>
      <w:r>
        <w:rPr>
          <w:rStyle w:val="15"/>
          <w:rFonts w:hint="eastAsia" w:ascii="Times New Roman" w:hAnsi="Times New Roman" w:eastAsia="仿宋" w:cs="Times New Roman"/>
          <w:b w:val="0"/>
          <w:bCs/>
          <w:color w:val="auto"/>
          <w:sz w:val="24"/>
          <w:lang w:val="en-US" w:eastAsia="zh-CN"/>
        </w:rPr>
        <w:footnoteReference w:id="7"/>
      </w:r>
      <w:r>
        <w:rPr>
          <w:rFonts w:hint="eastAsia" w:ascii="Times New Roman" w:hAnsi="Times New Roman" w:eastAsia="仿宋" w:cs="Times New Roman"/>
          <w:b w:val="0"/>
          <w:bCs/>
          <w:color w:val="auto"/>
          <w:sz w:val="24"/>
          <w:vertAlign w:val="baseline"/>
          <w:lang w:val="en-US" w:eastAsia="zh-CN"/>
        </w:rPr>
        <w:t>，目前</w:t>
      </w:r>
      <w:r>
        <w:rPr>
          <w:rFonts w:hint="eastAsia" w:ascii="Times New Roman" w:hAnsi="Times New Roman" w:eastAsia="仿宋" w:cs="Times New Roman"/>
          <w:b w:val="0"/>
          <w:bCs/>
          <w:color w:val="auto"/>
          <w:sz w:val="24"/>
          <w:vertAlign w:val="baseline"/>
          <w:lang w:val="en-US" w:eastAsia="zh-CN"/>
        </w:rPr>
        <w:t>平台已在能源、石化、冶金、数据中心等领域为全球客户提供解决方案和决策参考能力。</w:t>
      </w:r>
    </w:p>
    <w:p>
      <w:pPr>
        <w:spacing w:line="360" w:lineRule="auto"/>
        <w:jc w:val="both"/>
        <w:rPr>
          <w:rFonts w:ascii="Times New Roman" w:hAnsi="Times New Roman" w:eastAsia="仿宋" w:cs="Times New Roman"/>
          <w:b/>
          <w:color w:val="FF0000"/>
          <w:sz w:val="24"/>
          <w:highlight w:val="none"/>
        </w:rPr>
      </w:pPr>
      <w:r>
        <w:rPr>
          <w:rFonts w:ascii="Times New Roman" w:hAnsi="Times New Roman" w:eastAsia="仿宋" w:cs="Times New Roman"/>
          <w:b/>
          <w:color w:val="FF0000"/>
          <w:sz w:val="24"/>
          <w:highlight w:val="none"/>
        </w:rPr>
        <w:tab/>
      </w:r>
      <w:r>
        <w:rPr>
          <w:rFonts w:hint="eastAsia" w:ascii="Times New Roman" w:hAnsi="Times New Roman" w:eastAsia="仿宋" w:cs="Times New Roman"/>
          <w:b/>
          <w:sz w:val="24"/>
          <w:highlight w:val="none"/>
        </w:rPr>
        <w:t>2、发展模式：就工业互联网平台发展模式而言，不同类型企业持续探索，形成综合型</w:t>
      </w:r>
      <w:r>
        <w:rPr>
          <w:rFonts w:hint="eastAsia" w:ascii="Times New Roman" w:hAnsi="Times New Roman" w:eastAsia="仿宋" w:cs="Times New Roman"/>
          <w:b/>
          <w:sz w:val="24"/>
          <w:highlight w:val="none"/>
          <w:lang w:val="en-US" w:eastAsia="zh-CN"/>
        </w:rPr>
        <w:t>/</w:t>
      </w:r>
      <w:r>
        <w:rPr>
          <w:rFonts w:hint="eastAsia" w:ascii="Times New Roman" w:hAnsi="Times New Roman" w:eastAsia="仿宋" w:cs="Times New Roman"/>
          <w:b/>
          <w:sz w:val="24"/>
          <w:highlight w:val="none"/>
        </w:rPr>
        <w:t>特色型</w:t>
      </w:r>
      <w:r>
        <w:rPr>
          <w:rFonts w:hint="eastAsia" w:ascii="Times New Roman" w:hAnsi="Times New Roman" w:eastAsia="仿宋" w:cs="Times New Roman"/>
          <w:b/>
          <w:sz w:val="24"/>
          <w:highlight w:val="none"/>
          <w:lang w:val="en-US" w:eastAsia="zh-CN"/>
        </w:rPr>
        <w:t>/</w:t>
      </w:r>
      <w:r>
        <w:rPr>
          <w:rFonts w:hint="eastAsia" w:ascii="Times New Roman" w:hAnsi="Times New Roman" w:eastAsia="仿宋" w:cs="Times New Roman"/>
          <w:b/>
          <w:sz w:val="24"/>
          <w:highlight w:val="none"/>
        </w:rPr>
        <w:t>专业型</w:t>
      </w:r>
      <w:r>
        <w:rPr>
          <w:rFonts w:hint="eastAsia" w:ascii="Times New Roman" w:hAnsi="Times New Roman" w:eastAsia="仿宋" w:cs="Times New Roman"/>
          <w:b/>
          <w:sz w:val="24"/>
          <w:highlight w:val="none"/>
          <w:lang w:val="en-US" w:eastAsia="zh-CN"/>
        </w:rPr>
        <w:t>的</w:t>
      </w:r>
      <w:r>
        <w:rPr>
          <w:rFonts w:hint="eastAsia" w:ascii="Times New Roman" w:hAnsi="Times New Roman" w:eastAsia="仿宋" w:cs="Times New Roman"/>
          <w:b/>
          <w:sz w:val="24"/>
          <w:highlight w:val="none"/>
        </w:rPr>
        <w:t>特色化平台发展路径。</w:t>
      </w:r>
    </w:p>
    <w:p>
      <w:pPr>
        <w:keepNext w:val="0"/>
        <w:keepLines w:val="0"/>
        <w:pageBreakBefore w:val="0"/>
        <w:widowControl w:val="0"/>
        <w:kinsoku/>
        <w:wordWrap/>
        <w:overflowPunct/>
        <w:topLinePunct w:val="0"/>
        <w:autoSpaceDE/>
        <w:autoSpaceDN/>
        <w:bidi w:val="0"/>
        <w:adjustRightInd/>
        <w:snapToGrid w:val="0"/>
        <w:spacing w:line="360" w:lineRule="auto"/>
        <w:ind w:firstLine="482" w:firstLineChars="200"/>
        <w:jc w:val="both"/>
        <w:textAlignment w:val="auto"/>
        <w:rPr>
          <w:rFonts w:hint="default" w:ascii="Times New Roman" w:hAnsi="Times New Roman" w:eastAsia="仿宋" w:cs="Times New Roman"/>
          <w:b w:val="0"/>
          <w:bCs w:val="0"/>
          <w:color w:val="auto"/>
          <w:sz w:val="24"/>
          <w:lang w:val="en-US" w:eastAsia="zh-CN"/>
        </w:rPr>
      </w:pPr>
      <w:r>
        <w:rPr>
          <w:rFonts w:hint="eastAsia" w:ascii="Times New Roman" w:hAnsi="Times New Roman" w:eastAsia="仿宋" w:cs="Times New Roman"/>
          <w:b/>
          <w:bCs/>
          <w:color w:val="auto"/>
          <w:sz w:val="24"/>
        </w:rPr>
        <w:t>工业互联网平台发展应用方面，“综合型+特色型+专业型”工业互联网平台体系持续健全。</w:t>
      </w:r>
      <w:r>
        <w:rPr>
          <w:rFonts w:hint="eastAsia" w:ascii="Times New Roman" w:hAnsi="Times New Roman" w:eastAsia="仿宋" w:cs="Times New Roman"/>
          <w:b w:val="0"/>
          <w:bCs w:val="0"/>
          <w:color w:val="auto"/>
          <w:sz w:val="24"/>
        </w:rPr>
        <w:t>综合型平台提供跨行业、跨领域的综合性服务，支持广泛领域的数字化转型需求</w:t>
      </w:r>
      <w:r>
        <w:rPr>
          <w:rFonts w:hint="eastAsia" w:ascii="Times New Roman" w:hAnsi="Times New Roman" w:eastAsia="仿宋" w:cs="Times New Roman"/>
          <w:b w:val="0"/>
          <w:bCs w:val="0"/>
          <w:color w:val="auto"/>
          <w:sz w:val="24"/>
          <w:lang w:eastAsia="zh-CN"/>
        </w:rPr>
        <w:t>，</w:t>
      </w:r>
      <w:r>
        <w:rPr>
          <w:rFonts w:hint="eastAsia" w:ascii="Times New Roman" w:hAnsi="Times New Roman" w:eastAsia="仿宋" w:cs="Times New Roman"/>
          <w:b w:val="0"/>
          <w:bCs w:val="0"/>
          <w:color w:val="auto"/>
          <w:sz w:val="24"/>
          <w:lang w:val="en-US" w:eastAsia="zh-CN"/>
        </w:rPr>
        <w:t>以互联网大厂的“双跨”平台为主，如阿里云工业互联网平台，发展立足于平台主体原有的信息技术和产业生态优势，联合阿里巴巴在电商、供应链、物流、金融等领域的数字化能力全面提升企业核心竞争力。</w:t>
      </w:r>
      <w:r>
        <w:rPr>
          <w:rFonts w:hint="eastAsia" w:ascii="Times New Roman" w:hAnsi="Times New Roman" w:eastAsia="仿宋" w:cs="Times New Roman"/>
          <w:b w:val="0"/>
          <w:bCs w:val="0"/>
          <w:color w:val="auto"/>
          <w:sz w:val="24"/>
        </w:rPr>
        <w:t>特色型平台针对特定行业或领域提供定制化解决方案，</w:t>
      </w:r>
      <w:r>
        <w:rPr>
          <w:rFonts w:hint="eastAsia" w:ascii="Times New Roman" w:hAnsi="Times New Roman" w:eastAsia="仿宋" w:cs="Times New Roman"/>
          <w:b w:val="0"/>
          <w:bCs w:val="0"/>
          <w:color w:val="auto"/>
          <w:sz w:val="24"/>
          <w:lang w:val="en-US" w:eastAsia="zh-CN"/>
        </w:rPr>
        <w:t>平台主体主要为ICT厂商和解决方案/软件厂商，如华为云FusionPlant凭借在专业领域的解决方案能力、云网基础设施和客户群优势，为工业企业的数字化转型提供支持。综合型、特色型平台存在行业know-how经验不足的发展困境，需通过生态建设补齐短板。</w:t>
      </w:r>
      <w:r>
        <w:rPr>
          <w:rFonts w:hint="eastAsia" w:ascii="Times New Roman" w:hAnsi="Times New Roman" w:eastAsia="仿宋" w:cs="Times New Roman"/>
          <w:b w:val="0"/>
          <w:bCs w:val="0"/>
          <w:color w:val="auto"/>
          <w:sz w:val="24"/>
        </w:rPr>
        <w:t>专业型平台聚焦于具体的工业领域或技术环节，提供高度专业化的服务</w:t>
      </w:r>
      <w:r>
        <w:rPr>
          <w:rFonts w:hint="eastAsia" w:ascii="Times New Roman" w:hAnsi="Times New Roman" w:eastAsia="仿宋" w:cs="Times New Roman"/>
          <w:b w:val="0"/>
          <w:bCs w:val="0"/>
          <w:color w:val="auto"/>
          <w:sz w:val="24"/>
          <w:lang w:eastAsia="zh-CN"/>
        </w:rPr>
        <w:t>，</w:t>
      </w:r>
      <w:r>
        <w:rPr>
          <w:rFonts w:hint="eastAsia" w:ascii="Times New Roman" w:hAnsi="Times New Roman" w:eastAsia="仿宋" w:cs="Times New Roman"/>
          <w:b w:val="0"/>
          <w:bCs w:val="0"/>
          <w:color w:val="auto"/>
          <w:sz w:val="24"/>
          <w:lang w:val="en-US" w:eastAsia="zh-CN"/>
        </w:rPr>
        <w:t>主体多为传统工业企业，如航天云网工业互联网平台由行业经验出发服务于航空、航天等高端制造行业，深化在特定领域的技术积累和服务能力，提供专业化的云服务和解决方</w:t>
      </w:r>
      <w:bookmarkStart w:id="0" w:name="_GoBack"/>
      <w:bookmarkEnd w:id="0"/>
      <w:r>
        <w:rPr>
          <w:rFonts w:hint="eastAsia" w:ascii="Times New Roman" w:hAnsi="Times New Roman" w:eastAsia="仿宋" w:cs="Times New Roman"/>
          <w:b w:val="0"/>
          <w:bCs w:val="0"/>
          <w:color w:val="auto"/>
          <w:sz w:val="24"/>
          <w:lang w:val="en-US" w:eastAsia="zh-CN"/>
        </w:rPr>
        <w:t>案。</w:t>
      </w:r>
    </w:p>
    <w:p>
      <w:pPr>
        <w:pStyle w:val="2"/>
        <w:ind w:firstLine="562"/>
        <w:rPr>
          <w:sz w:val="28"/>
        </w:rPr>
      </w:pPr>
      <w:r>
        <w:rPr>
          <w:rFonts w:hint="eastAsia"/>
          <w:sz w:val="28"/>
        </w:rPr>
        <w:t>二、工业互联网平台发展趋势</w:t>
      </w:r>
    </w:p>
    <w:p>
      <w:pPr>
        <w:spacing w:line="360" w:lineRule="auto"/>
        <w:ind w:firstLine="480" w:firstLineChars="200"/>
        <w:jc w:val="both"/>
        <w:rPr>
          <w:rFonts w:ascii="Times New Roman" w:hAnsi="Times New Roman" w:eastAsia="仿宋" w:cs="Times New Roman"/>
          <w:sz w:val="24"/>
        </w:rPr>
      </w:pPr>
      <w:r>
        <w:rPr>
          <w:rFonts w:hint="eastAsia" w:ascii="Times New Roman" w:hAnsi="Times New Roman" w:eastAsia="仿宋" w:cs="Times New Roman"/>
          <w:sz w:val="24"/>
        </w:rPr>
        <w:t>当前阶段，</w:t>
      </w:r>
      <w:r>
        <w:rPr>
          <w:rFonts w:ascii="Times New Roman" w:hAnsi="Times New Roman" w:eastAsia="仿宋" w:cs="Times New Roman"/>
          <w:sz w:val="24"/>
        </w:rPr>
        <w:t>我国</w:t>
      </w:r>
      <w:r>
        <w:rPr>
          <w:rFonts w:hint="eastAsia" w:ascii="Times New Roman" w:hAnsi="Times New Roman" w:eastAsia="仿宋" w:cs="Times New Roman"/>
          <w:sz w:val="24"/>
        </w:rPr>
        <w:t>工业互联网平台</w:t>
      </w:r>
      <w:r>
        <w:rPr>
          <w:rFonts w:ascii="Times New Roman" w:hAnsi="Times New Roman" w:eastAsia="仿宋" w:cs="Times New Roman"/>
          <w:sz w:val="24"/>
        </w:rPr>
        <w:t>加速</w:t>
      </w:r>
      <w:r>
        <w:rPr>
          <w:rFonts w:hint="eastAsia" w:ascii="Times New Roman" w:hAnsi="Times New Roman" w:eastAsia="仿宋" w:cs="Times New Roman"/>
          <w:sz w:val="24"/>
        </w:rPr>
        <w:t>建设并呈现出以下趋势：</w:t>
      </w:r>
    </w:p>
    <w:p>
      <w:pPr>
        <w:spacing w:line="360" w:lineRule="auto"/>
        <w:ind w:firstLine="482" w:firstLineChars="200"/>
        <w:jc w:val="both"/>
        <w:rPr>
          <w:rFonts w:hint="eastAsia" w:ascii="Times New Roman" w:hAnsi="Times New Roman" w:eastAsia="仿宋" w:cs="Times New Roman"/>
          <w:b/>
          <w:color w:val="auto"/>
          <w:sz w:val="24"/>
          <w:highlight w:val="none"/>
        </w:rPr>
      </w:pPr>
      <w:r>
        <w:rPr>
          <w:rFonts w:hint="eastAsia" w:ascii="Times New Roman" w:hAnsi="Times New Roman" w:eastAsia="仿宋" w:cs="Times New Roman"/>
          <w:b/>
          <w:color w:val="auto"/>
          <w:sz w:val="24"/>
          <w:highlight w:val="none"/>
        </w:rPr>
        <w:t>趋势</w:t>
      </w:r>
      <w:r>
        <w:rPr>
          <w:rFonts w:ascii="Times New Roman" w:hAnsi="Times New Roman" w:eastAsia="仿宋" w:cs="Times New Roman"/>
          <w:b/>
          <w:color w:val="auto"/>
          <w:sz w:val="24"/>
          <w:highlight w:val="none"/>
        </w:rPr>
        <w:t>1</w:t>
      </w:r>
      <w:r>
        <w:rPr>
          <w:rFonts w:hint="eastAsia" w:ascii="Times New Roman" w:hAnsi="Times New Roman" w:eastAsia="仿宋" w:cs="Times New Roman"/>
          <w:b/>
          <w:color w:val="auto"/>
          <w:sz w:val="24"/>
          <w:highlight w:val="none"/>
        </w:rPr>
        <w:t>：政策引领持续强化，基础不断夯实，将进入快速发展期。</w:t>
      </w:r>
    </w:p>
    <w:p>
      <w:pPr>
        <w:spacing w:line="360" w:lineRule="auto"/>
        <w:ind w:firstLine="482" w:firstLineChars="200"/>
        <w:jc w:val="both"/>
        <w:rPr>
          <w:rFonts w:hint="default" w:ascii="Times New Roman" w:hAnsi="Times New Roman" w:eastAsia="仿宋" w:cs="Times New Roman"/>
          <w:b w:val="0"/>
          <w:bCs/>
          <w:color w:val="auto"/>
          <w:sz w:val="24"/>
          <w:lang w:val="en-US" w:eastAsia="zh-CN"/>
        </w:rPr>
      </w:pPr>
      <w:r>
        <w:rPr>
          <w:rFonts w:hint="eastAsia" w:ascii="Times New Roman" w:hAnsi="Times New Roman" w:eastAsia="仿宋" w:cs="Times New Roman"/>
          <w:b/>
          <w:color w:val="auto"/>
          <w:sz w:val="24"/>
          <w:lang w:val="en-US" w:eastAsia="zh-CN"/>
        </w:rPr>
        <w:t>我国</w:t>
      </w:r>
      <w:r>
        <w:rPr>
          <w:rFonts w:hint="eastAsia" w:ascii="Times New Roman" w:hAnsi="Times New Roman" w:eastAsia="仿宋" w:cs="Times New Roman"/>
          <w:b/>
          <w:color w:val="auto"/>
          <w:sz w:val="24"/>
        </w:rPr>
        <w:t>推动新型工业化深入发展</w:t>
      </w:r>
      <w:r>
        <w:rPr>
          <w:rFonts w:hint="eastAsia" w:ascii="Times New Roman" w:hAnsi="Times New Roman" w:eastAsia="仿宋" w:cs="Times New Roman"/>
          <w:b/>
          <w:color w:val="auto"/>
          <w:sz w:val="24"/>
          <w:lang w:val="en-US" w:eastAsia="zh-CN"/>
        </w:rPr>
        <w:t>的</w:t>
      </w:r>
      <w:r>
        <w:rPr>
          <w:rFonts w:hint="eastAsia" w:ascii="Times New Roman" w:hAnsi="Times New Roman" w:eastAsia="仿宋" w:cs="Times New Roman"/>
          <w:b/>
          <w:color w:val="auto"/>
          <w:sz w:val="24"/>
        </w:rPr>
        <w:t>系列政策措施</w:t>
      </w:r>
      <w:r>
        <w:rPr>
          <w:rFonts w:hint="eastAsia" w:ascii="Times New Roman" w:hAnsi="Times New Roman" w:eastAsia="仿宋" w:cs="Times New Roman"/>
          <w:b/>
          <w:color w:val="auto"/>
          <w:sz w:val="24"/>
          <w:lang w:val="en-US" w:eastAsia="zh-CN"/>
        </w:rPr>
        <w:t>从新型信息基础设施建设、技术创新应用、产业结构优化升级等层面推动工业互联网平台快速发展。</w:t>
      </w:r>
      <w:r>
        <w:rPr>
          <w:rFonts w:hint="eastAsia" w:ascii="Times New Roman" w:hAnsi="Times New Roman" w:eastAsia="仿宋" w:cs="Times New Roman"/>
          <w:b w:val="0"/>
          <w:bCs/>
          <w:color w:val="auto"/>
          <w:sz w:val="24"/>
          <w:lang w:val="en-US" w:eastAsia="zh-CN"/>
        </w:rPr>
        <w:t>以《工业和信息化部等八部门关于加快传统制造业转型升级的指导意见》为例，“大力推进企业智改数转网联”意见中提出</w:t>
      </w:r>
      <w:r>
        <w:rPr>
          <w:rFonts w:hint="eastAsia" w:ascii="Times New Roman" w:hAnsi="Times New Roman" w:eastAsia="仿宋" w:cs="Times New Roman"/>
          <w:b w:val="0"/>
          <w:bCs/>
          <w:i/>
          <w:iCs/>
          <w:color w:val="auto"/>
          <w:sz w:val="24"/>
          <w:lang w:val="en-US" w:eastAsia="zh-CN"/>
        </w:rPr>
        <w:t>立足不同产业特点和差异化需求加快人工智能、大数据、云计算、5G、物联网等信息技术与制造全过程、全要素深度融合</w:t>
      </w:r>
      <w:r>
        <w:rPr>
          <w:rFonts w:hint="eastAsia" w:ascii="Times New Roman" w:hAnsi="Times New Roman" w:eastAsia="仿宋" w:cs="Times New Roman"/>
          <w:b w:val="0"/>
          <w:bCs/>
          <w:color w:val="auto"/>
          <w:sz w:val="24"/>
          <w:lang w:val="en-US" w:eastAsia="zh-CN"/>
        </w:rPr>
        <w:t>，</w:t>
      </w:r>
      <w:r>
        <w:rPr>
          <w:rFonts w:hint="eastAsia" w:ascii="Times New Roman" w:hAnsi="Times New Roman" w:eastAsia="仿宋" w:cs="Times New Roman"/>
          <w:b w:val="0"/>
          <w:bCs/>
          <w:color w:val="auto"/>
          <w:sz w:val="24"/>
          <w:lang w:val="en-US" w:eastAsia="zh-CN"/>
        </w:rPr>
        <w:t>政策助推工业平台数据传输能力升级，支持制造业数字化、网络化和智能化转型；“加快先进适用技术推广应用”意见</w:t>
      </w:r>
      <w:r>
        <w:rPr>
          <w:rFonts w:hint="eastAsia" w:ascii="Times New Roman" w:hAnsi="Times New Roman" w:eastAsia="仿宋" w:cs="Times New Roman"/>
          <w:b w:val="0"/>
          <w:bCs/>
          <w:i/>
          <w:iCs/>
          <w:color w:val="auto"/>
          <w:sz w:val="24"/>
          <w:lang w:val="en-US" w:eastAsia="zh-CN"/>
        </w:rPr>
        <w:t>鼓励面向传统制造业重点领域开展关键共性技术研究和产业化应用示范</w:t>
      </w:r>
      <w:r>
        <w:rPr>
          <w:rFonts w:hint="eastAsia" w:ascii="Times New Roman" w:hAnsi="Times New Roman" w:eastAsia="仿宋" w:cs="Times New Roman"/>
          <w:b w:val="0"/>
          <w:bCs/>
          <w:color w:val="auto"/>
          <w:sz w:val="24"/>
          <w:lang w:val="en-US" w:eastAsia="zh-CN"/>
        </w:rPr>
        <w:t>，可有效促进工业平台的技术进步和应用推广，服务于制造业全要素、全产业链、全价值链的资源汇聚配置；“持续优化产业结构”意见指出</w:t>
      </w:r>
      <w:r>
        <w:rPr>
          <w:rFonts w:hint="eastAsia" w:ascii="Times New Roman" w:hAnsi="Times New Roman" w:eastAsia="仿宋" w:cs="Times New Roman"/>
          <w:b w:val="0"/>
          <w:bCs/>
          <w:i/>
          <w:iCs/>
          <w:color w:val="auto"/>
          <w:sz w:val="24"/>
          <w:lang w:val="en-US" w:eastAsia="zh-CN"/>
        </w:rPr>
        <w:t>加强新技术新产品创新迭代，完善产业生态，提升全产业链竞争优势</w:t>
      </w:r>
      <w:r>
        <w:rPr>
          <w:rFonts w:hint="eastAsia" w:ascii="Times New Roman" w:hAnsi="Times New Roman" w:eastAsia="仿宋" w:cs="Times New Roman"/>
          <w:b w:val="0"/>
          <w:bCs/>
          <w:color w:val="auto"/>
          <w:sz w:val="24"/>
          <w:lang w:val="en-US" w:eastAsia="zh-CN"/>
        </w:rPr>
        <w:t>，为工业平台的培育发展和生态构建提供了有力的支撑。</w:t>
      </w:r>
      <w:r>
        <w:rPr>
          <w:rStyle w:val="15"/>
          <w:rFonts w:hint="eastAsia" w:ascii="Times New Roman" w:hAnsi="Times New Roman" w:eastAsia="仿宋" w:cs="Times New Roman"/>
          <w:b w:val="0"/>
          <w:bCs/>
          <w:color w:val="auto"/>
          <w:sz w:val="24"/>
          <w:lang w:val="en-US" w:eastAsia="zh-CN"/>
        </w:rPr>
        <w:footnoteReference w:id="8"/>
      </w:r>
      <w:r>
        <w:rPr>
          <w:rFonts w:hint="eastAsia" w:ascii="Times New Roman" w:hAnsi="Times New Roman" w:eastAsia="仿宋" w:cs="Times New Roman"/>
          <w:b w:val="0"/>
          <w:bCs/>
          <w:color w:val="auto"/>
          <w:sz w:val="24"/>
          <w:lang w:val="en-US" w:eastAsia="zh-CN"/>
        </w:rPr>
        <w:t>另外近期工信部等七部门印发推动工业领域设备更新实施方案的通知，财政部和工信部发布通知促进企业设备更新、推动传统产业转型升级，工业设备的更新升级也将推动工业平台的培育发展。</w:t>
      </w:r>
    </w:p>
    <w:p>
      <w:pPr>
        <w:tabs>
          <w:tab w:val="left" w:pos="0"/>
        </w:tabs>
        <w:spacing w:line="360" w:lineRule="auto"/>
        <w:ind w:left="482"/>
        <w:jc w:val="both"/>
        <w:rPr>
          <w:rFonts w:ascii="Times New Roman" w:hAnsi="Times New Roman" w:eastAsia="仿宋" w:cs="Times New Roman"/>
          <w:b/>
          <w:sz w:val="24"/>
        </w:rPr>
      </w:pPr>
      <w:r>
        <w:rPr>
          <w:rFonts w:hint="eastAsia" w:ascii="Times New Roman" w:hAnsi="Times New Roman" w:eastAsia="仿宋" w:cs="Times New Roman"/>
          <w:b/>
          <w:sz w:val="24"/>
        </w:rPr>
        <w:t>趋势</w:t>
      </w:r>
      <w:r>
        <w:rPr>
          <w:rFonts w:ascii="Times New Roman" w:hAnsi="Times New Roman" w:eastAsia="仿宋" w:cs="Times New Roman"/>
          <w:b/>
          <w:sz w:val="24"/>
        </w:rPr>
        <w:t>2</w:t>
      </w:r>
      <w:r>
        <w:rPr>
          <w:rFonts w:hint="eastAsia" w:ascii="Times New Roman" w:hAnsi="Times New Roman" w:eastAsia="仿宋" w:cs="Times New Roman"/>
          <w:b/>
          <w:sz w:val="24"/>
        </w:rPr>
        <w:t>：平台服务范围拓展，走向细分运营，进一步强调易用性。</w:t>
      </w:r>
    </w:p>
    <w:p>
      <w:pPr>
        <w:spacing w:line="360" w:lineRule="auto"/>
        <w:ind w:firstLine="482" w:firstLineChars="200"/>
        <w:jc w:val="both"/>
        <w:rPr>
          <w:rFonts w:ascii="Times New Roman" w:hAnsi="Times New Roman" w:eastAsia="仿宋" w:cs="Times New Roman"/>
          <w:sz w:val="24"/>
        </w:rPr>
      </w:pPr>
      <w:r>
        <w:rPr>
          <w:rFonts w:hint="eastAsia" w:ascii="Times New Roman" w:hAnsi="Times New Roman" w:eastAsia="仿宋" w:cs="Times New Roman"/>
          <w:b/>
          <w:bCs/>
          <w:sz w:val="24"/>
        </w:rPr>
        <w:t>平台服务的整体逻辑依旧围绕数字化及价值挖掘，但服务更加贴近业务需求。</w:t>
      </w:r>
      <w:r>
        <w:rPr>
          <w:rFonts w:hint="eastAsia" w:ascii="Times New Roman" w:hAnsi="Times New Roman" w:eastAsia="仿宋" w:cs="Times New Roman"/>
          <w:sz w:val="24"/>
        </w:rPr>
        <w:t>整体以需求为导向，通过增加服务链条的复杂性和服务场景的多样性满足不同主体的需求，从以提供技术服务为主向围绕业务需求提出产品及服务转型。</w:t>
      </w:r>
      <w:r>
        <w:rPr>
          <w:rFonts w:hint="eastAsia" w:ascii="Times New Roman" w:hAnsi="Times New Roman" w:eastAsia="仿宋" w:cs="Times New Roman"/>
          <w:bCs/>
          <w:sz w:val="24"/>
        </w:rPr>
        <w:t>服务对象范围</w:t>
      </w:r>
      <w:r>
        <w:rPr>
          <w:rFonts w:hint="eastAsia" w:ascii="Times New Roman" w:hAnsi="Times New Roman" w:eastAsia="仿宋" w:cs="Times New Roman"/>
          <w:sz w:val="24"/>
        </w:rPr>
        <w:t>由点向线拓宽，产品和服务覆盖行业、场景的广度提升，助力决策管理知因知果、提升决策效率，未来平台服务将持续提升对多层级赋能、协同赋能和需求实现的关注。</w:t>
      </w:r>
      <w:r>
        <w:rPr>
          <w:rFonts w:hint="eastAsia" w:ascii="Times New Roman" w:hAnsi="Times New Roman" w:eastAsia="仿宋" w:cs="Times New Roman"/>
          <w:bCs/>
          <w:sz w:val="24"/>
        </w:rPr>
        <w:t>平台功能</w:t>
      </w:r>
      <w:r>
        <w:rPr>
          <w:rFonts w:hint="eastAsia" w:ascii="Times New Roman" w:hAnsi="Times New Roman" w:eastAsia="仿宋" w:cs="Times New Roman"/>
          <w:sz w:val="24"/>
        </w:rPr>
        <w:t>走向细分并趋于运营，平台将围绕服务场景划分为多类（如IoT、大数据、AI等），市场厂商将聚焦细分领域发展专业能力（如工业数据管理、价值挖掘、协同服务等）；应用市场、供需对接等平台生态逐步构建，平台能力向标准化服务沉淀。</w:t>
      </w:r>
      <w:r>
        <w:rPr>
          <w:rFonts w:hint="eastAsia" w:ascii="Times New Roman" w:hAnsi="Times New Roman" w:eastAsia="仿宋" w:cs="Times New Roman"/>
          <w:bCs/>
          <w:sz w:val="24"/>
        </w:rPr>
        <w:t>平台服务</w:t>
      </w:r>
      <w:r>
        <w:rPr>
          <w:rFonts w:hint="eastAsia" w:ascii="Times New Roman" w:hAnsi="Times New Roman" w:eastAsia="仿宋" w:cs="Times New Roman"/>
          <w:sz w:val="24"/>
        </w:rPr>
        <w:t>更强调易用性，低代码、可视化、封装等服务将进一步扩大工业互联网平台受众范围，为用户提供更加便捷和高效的使用体验。</w:t>
      </w:r>
    </w:p>
    <w:p>
      <w:pPr>
        <w:tabs>
          <w:tab w:val="left" w:pos="0"/>
        </w:tabs>
        <w:spacing w:line="360" w:lineRule="auto"/>
        <w:ind w:left="482"/>
        <w:jc w:val="both"/>
        <w:rPr>
          <w:rFonts w:ascii="Times New Roman" w:hAnsi="Times New Roman" w:eastAsia="仿宋" w:cs="Times New Roman"/>
          <w:b/>
          <w:sz w:val="24"/>
        </w:rPr>
      </w:pPr>
      <w:r>
        <w:rPr>
          <w:rFonts w:hint="eastAsia" w:ascii="Times New Roman" w:hAnsi="Times New Roman" w:eastAsia="仿宋" w:cs="Times New Roman"/>
          <w:b/>
          <w:sz w:val="24"/>
        </w:rPr>
        <w:t>趋势</w:t>
      </w:r>
      <w:r>
        <w:rPr>
          <w:rFonts w:ascii="Times New Roman" w:hAnsi="Times New Roman" w:eastAsia="仿宋" w:cs="Times New Roman"/>
          <w:b/>
          <w:sz w:val="24"/>
        </w:rPr>
        <w:t>3</w:t>
      </w:r>
      <w:r>
        <w:rPr>
          <w:rFonts w:hint="eastAsia" w:ascii="Times New Roman" w:hAnsi="Times New Roman" w:eastAsia="仿宋" w:cs="Times New Roman"/>
          <w:b/>
          <w:sz w:val="24"/>
        </w:rPr>
        <w:t>：平台能力加速升级，突出智慧应用，推动数据价值发挥。</w:t>
      </w:r>
    </w:p>
    <w:p>
      <w:pPr>
        <w:spacing w:line="360" w:lineRule="auto"/>
        <w:ind w:firstLine="482" w:firstLineChars="200"/>
        <w:jc w:val="both"/>
        <w:rPr>
          <w:rFonts w:ascii="Times New Roman" w:hAnsi="Times New Roman" w:eastAsia="仿宋" w:cs="Times New Roman"/>
          <w:sz w:val="24"/>
        </w:rPr>
      </w:pPr>
      <w:r>
        <w:rPr>
          <w:rFonts w:hint="eastAsia" w:ascii="Times New Roman" w:hAnsi="Times New Roman" w:eastAsia="仿宋" w:cs="Times New Roman"/>
          <w:b/>
          <w:bCs/>
          <w:sz w:val="24"/>
        </w:rPr>
        <w:t>工业互联网平台的核心是释放企业经营活动形成的数据资产的价值，数据资产可完成数据-信息-知识-智慧的蜕变。</w:t>
      </w:r>
      <w:r>
        <w:rPr>
          <w:rFonts w:hint="eastAsia" w:ascii="Times New Roman" w:hAnsi="Times New Roman" w:eastAsia="仿宋" w:cs="Times New Roman"/>
          <w:sz w:val="24"/>
        </w:rPr>
        <w:t>获取数据归属权可推动产业链价值体系的重构，工业分工和计划由数据价值驱动，促使产业链结构由线至网。数据归属权也为企业经营和产业、区域发展赋能，基于数据，企业可进行产品、供需合作筛选、商业拓展等经营流程优化；产业、区域可进行产业发展水平分析、产业结构优化、营商环境分析。未来数据权属的政策监管需进一步增强，建立数据资源持有权、数据加工使用权、数据产品经营权等分置产权运行机制。与此同时，</w:t>
      </w:r>
      <w:r>
        <w:rPr>
          <w:rFonts w:hint="eastAsia" w:ascii="Times New Roman" w:hAnsi="Times New Roman" w:eastAsia="仿宋" w:cs="Times New Roman"/>
          <w:bCs/>
          <w:sz w:val="24"/>
        </w:rPr>
        <w:t>大模型为工业互联网平台发展注入新动能</w:t>
      </w:r>
      <w:r>
        <w:rPr>
          <w:rFonts w:hint="eastAsia" w:ascii="Times New Roman" w:hAnsi="Times New Roman" w:eastAsia="仿宋" w:cs="Times New Roman"/>
          <w:sz w:val="24"/>
        </w:rPr>
        <w:t>，行业数据资产为大模型算法训练提供基础，通过通用模型建模训练工业大模型，提升设备预测性维护、质量检测等关键环节效能。</w:t>
      </w:r>
    </w:p>
    <w:p>
      <w:pPr>
        <w:tabs>
          <w:tab w:val="left" w:pos="0"/>
        </w:tabs>
        <w:spacing w:line="360" w:lineRule="auto"/>
        <w:jc w:val="both"/>
        <w:rPr>
          <w:rFonts w:ascii="Times New Roman" w:hAnsi="Times New Roman" w:eastAsia="仿宋" w:cs="Times New Roman"/>
          <w:b/>
          <w:sz w:val="24"/>
        </w:rPr>
      </w:pPr>
      <w:r>
        <w:rPr>
          <w:rFonts w:ascii="Times New Roman" w:hAnsi="Times New Roman" w:eastAsia="仿宋" w:cs="Times New Roman"/>
          <w:b/>
          <w:sz w:val="24"/>
        </w:rPr>
        <w:tab/>
      </w:r>
      <w:r>
        <w:rPr>
          <w:rFonts w:hint="eastAsia" w:ascii="Times New Roman" w:hAnsi="Times New Roman" w:eastAsia="仿宋" w:cs="Times New Roman"/>
          <w:b/>
          <w:sz w:val="24"/>
        </w:rPr>
        <w:t>趋势</w:t>
      </w:r>
      <w:r>
        <w:rPr>
          <w:rFonts w:ascii="Times New Roman" w:hAnsi="Times New Roman" w:eastAsia="仿宋" w:cs="Times New Roman"/>
          <w:b/>
          <w:sz w:val="24"/>
        </w:rPr>
        <w:t>4</w:t>
      </w:r>
      <w:r>
        <w:rPr>
          <w:rFonts w:hint="eastAsia" w:ascii="Times New Roman" w:hAnsi="Times New Roman" w:eastAsia="仿宋" w:cs="Times New Roman"/>
          <w:b/>
          <w:sz w:val="24"/>
        </w:rPr>
        <w:t>：生态价值持续凸显，强调生态建设，综合平台优势显现。</w:t>
      </w:r>
    </w:p>
    <w:p>
      <w:pPr>
        <w:spacing w:line="360" w:lineRule="auto"/>
        <w:ind w:firstLine="482" w:firstLineChars="200"/>
        <w:jc w:val="both"/>
        <w:rPr>
          <w:rFonts w:ascii="Times New Roman" w:hAnsi="Times New Roman" w:eastAsia="仿宋" w:cs="Times New Roman"/>
          <w:sz w:val="24"/>
        </w:rPr>
      </w:pPr>
      <w:r>
        <w:rPr>
          <w:rFonts w:hint="eastAsia" w:ascii="Times New Roman" w:hAnsi="Times New Roman" w:eastAsia="仿宋" w:cs="Times New Roman"/>
          <w:b/>
          <w:bCs/>
          <w:sz w:val="24"/>
        </w:rPr>
        <w:t>工业互联网平台的成长逻辑总体呈现“产品-项目-平台及生态”的路径。</w:t>
      </w:r>
      <w:r>
        <w:rPr>
          <w:rFonts w:hint="eastAsia" w:ascii="Times New Roman" w:hAnsi="Times New Roman" w:eastAsia="仿宋" w:cs="Times New Roman"/>
          <w:sz w:val="24"/>
        </w:rPr>
        <w:t>蓝卓聚焦产品，通过项目经验反哺产品能力，专注产品能力深化；卡奥斯聚焦市场，不断根据市场机会调整产品矩阵；树根互联聚焦生态，通过构建生态能力打入市场后深化产品能力和项目经验；航天云网等政府/国企基因企业聚焦需求，主要服务政府/园区/大型企业。</w:t>
      </w:r>
      <w:r>
        <w:rPr>
          <w:rFonts w:hint="eastAsia" w:ascii="Times New Roman" w:hAnsi="Times New Roman" w:eastAsia="仿宋" w:cs="Times New Roman"/>
          <w:bCs/>
          <w:sz w:val="24"/>
        </w:rPr>
        <w:t>目前，工业互联网平台层主要玩家耦合合作强</w:t>
      </w:r>
      <w:r>
        <w:rPr>
          <w:rFonts w:hint="eastAsia" w:ascii="Times New Roman" w:hAnsi="Times New Roman" w:eastAsia="仿宋" w:cs="Times New Roman"/>
          <w:sz w:val="24"/>
        </w:rPr>
        <w:t>，互联网、ICT厂商主要提供存储、计算等能力，底层基座属性更强；泛数据治理玩家围绕数据处理、数据分析等核心环节提供服务，有效补充其他平台玩家的能力；传统工业企业行业know-how强，但需通过战略投资、纳入生态等方式与其他类玩家合作构筑平台生态。未来能够独立运作且具备扎实底层基座和深度行业洞察的企业将在工业互联网平台竞争中脱颖而出。</w:t>
      </w:r>
    </w:p>
    <w:p>
      <w:pPr>
        <w:pStyle w:val="2"/>
        <w:ind w:firstLine="562"/>
        <w:rPr>
          <w:sz w:val="28"/>
        </w:rPr>
      </w:pPr>
      <w:r>
        <w:rPr>
          <w:rFonts w:hint="eastAsia"/>
          <w:sz w:val="28"/>
        </w:rPr>
        <w:t>三、主要问题挑战及方向探索</w:t>
      </w:r>
    </w:p>
    <w:p>
      <w:pPr>
        <w:spacing w:line="360" w:lineRule="auto"/>
        <w:ind w:firstLine="480" w:firstLineChars="200"/>
        <w:jc w:val="both"/>
        <w:rPr>
          <w:rFonts w:ascii="Times New Roman" w:hAnsi="Times New Roman" w:eastAsia="仿宋" w:cs="Times New Roman"/>
          <w:sz w:val="24"/>
        </w:rPr>
      </w:pPr>
      <w:r>
        <w:rPr>
          <w:rFonts w:hint="eastAsia" w:ascii="Times New Roman" w:hAnsi="Times New Roman" w:eastAsia="仿宋" w:cs="Times New Roman"/>
          <w:sz w:val="24"/>
        </w:rPr>
        <w:t>我国工业互联网发展成效显著，但仍面临以下三方面问题挑战，需深化探索。</w:t>
      </w:r>
    </w:p>
    <w:p>
      <w:pPr>
        <w:spacing w:line="360" w:lineRule="auto"/>
        <w:ind w:firstLine="482" w:firstLineChars="200"/>
        <w:jc w:val="both"/>
        <w:rPr>
          <w:rFonts w:ascii="Times New Roman" w:hAnsi="Times New Roman" w:eastAsia="仿宋" w:cs="Times New Roman"/>
          <w:b/>
          <w:sz w:val="24"/>
        </w:rPr>
      </w:pPr>
      <w:r>
        <w:rPr>
          <w:rFonts w:hint="eastAsia" w:ascii="Times New Roman" w:hAnsi="Times New Roman" w:eastAsia="仿宋" w:cs="Times New Roman"/>
          <w:b/>
          <w:sz w:val="24"/>
        </w:rPr>
        <w:t>问题1：如何实现规模化应用拓展，平台商业模式待明晰。</w:t>
      </w:r>
    </w:p>
    <w:p>
      <w:pPr>
        <w:spacing w:line="360" w:lineRule="auto"/>
        <w:ind w:firstLine="482" w:firstLineChars="200"/>
        <w:jc w:val="both"/>
        <w:rPr>
          <w:rFonts w:ascii="Times New Roman" w:hAnsi="Times New Roman" w:eastAsia="仿宋" w:cs="Times New Roman"/>
          <w:b/>
          <w:sz w:val="24"/>
        </w:rPr>
      </w:pPr>
      <w:r>
        <w:rPr>
          <w:rFonts w:hint="eastAsia" w:ascii="Times New Roman" w:hAnsi="Times New Roman" w:eastAsia="仿宋" w:cs="Times New Roman"/>
          <w:b/>
          <w:bCs/>
          <w:sz w:val="24"/>
        </w:rPr>
        <w:t>当前工业互联网平台层企业的常规盈利模式是提供综合解决方案服务，然而工业互联网的复杂性、企业差异性、产品不可复制性都使核心盈利模式难以标准化。</w:t>
      </w:r>
      <w:r>
        <w:rPr>
          <w:rFonts w:hint="eastAsia" w:ascii="Times New Roman" w:hAnsi="Times New Roman" w:eastAsia="仿宋" w:cs="Times New Roman"/>
          <w:sz w:val="24"/>
        </w:rPr>
        <w:t>常规综合解决方案服务模式下，不同领域、不同数字化程度的企业需求不同，工业场景复杂度高、实时性及精准性要求高，整体定制化属性极强，可复用性相对弱；工业机理模型订阅模式下，工业机理模型沉淀对行业know-how经验要求高、参数量大且具有明确物理意义，本质是各种经验和方法的固化，行业、公司、场景属性强，标准化程度低。</w:t>
      </w:r>
      <w:r>
        <w:rPr>
          <w:rFonts w:hint="eastAsia" w:ascii="Times New Roman" w:hAnsi="Times New Roman" w:eastAsia="仿宋" w:cs="Times New Roman"/>
          <w:b/>
          <w:bCs/>
          <w:sz w:val="24"/>
        </w:rPr>
        <w:t>工业互联网平台层企业目前积极探索</w:t>
      </w:r>
      <w:r>
        <w:rPr>
          <w:rFonts w:ascii="Times New Roman" w:hAnsi="Times New Roman" w:eastAsia="仿宋" w:cs="Times New Roman"/>
          <w:b/>
          <w:bCs/>
          <w:sz w:val="24"/>
        </w:rPr>
        <w:t>平台分发抽佣+软硬一体化设备两类</w:t>
      </w:r>
      <w:r>
        <w:rPr>
          <w:rFonts w:hint="eastAsia" w:ascii="Times New Roman" w:hAnsi="Times New Roman" w:eastAsia="仿宋" w:cs="Times New Roman"/>
          <w:b/>
          <w:bCs/>
          <w:sz w:val="24"/>
        </w:rPr>
        <w:t>盈利模式</w:t>
      </w:r>
      <w:r>
        <w:rPr>
          <w:rFonts w:ascii="Times New Roman" w:hAnsi="Times New Roman" w:eastAsia="仿宋" w:cs="Times New Roman"/>
          <w:b/>
          <w:bCs/>
          <w:sz w:val="24"/>
        </w:rPr>
        <w:t>。</w:t>
      </w:r>
      <w:r>
        <w:rPr>
          <w:rFonts w:ascii="Times New Roman" w:hAnsi="Times New Roman" w:eastAsia="仿宋" w:cs="Times New Roman"/>
          <w:sz w:val="24"/>
        </w:rPr>
        <w:t>应用商店SaaS服务订阅+抽佣</w:t>
      </w:r>
      <w:r>
        <w:rPr>
          <w:rFonts w:hint="eastAsia" w:ascii="Times New Roman" w:hAnsi="Times New Roman" w:eastAsia="仿宋" w:cs="Times New Roman"/>
          <w:sz w:val="24"/>
        </w:rPr>
        <w:t>模式下，研发设计、生产制造等核心环节应用订阅量低，且大部分应用前期免费试用，用户实际付费能力未凸显。软硬件一体功能产品的销售目前多集中在视觉检测设备、边缘盒子等方面，目前已有厂家推出工业视觉检测设备、智能检测装备软硬一体化方案等产品，但应用成果尚待实践检验。</w:t>
      </w:r>
    </w:p>
    <w:p>
      <w:pPr>
        <w:spacing w:line="360" w:lineRule="auto"/>
        <w:ind w:firstLine="482" w:firstLineChars="200"/>
        <w:jc w:val="both"/>
        <w:rPr>
          <w:rFonts w:ascii="Times New Roman" w:hAnsi="Times New Roman" w:eastAsia="仿宋" w:cs="Times New Roman"/>
          <w:b/>
          <w:sz w:val="24"/>
        </w:rPr>
      </w:pPr>
      <w:r>
        <w:rPr>
          <w:rFonts w:hint="eastAsia" w:ascii="Times New Roman" w:hAnsi="Times New Roman" w:eastAsia="仿宋" w:cs="Times New Roman"/>
          <w:b/>
          <w:sz w:val="24"/>
        </w:rPr>
        <w:t>问题2：如何打造差异化竞争优势，企业成长路径待突破。</w:t>
      </w:r>
    </w:p>
    <w:p>
      <w:pPr>
        <w:spacing w:line="360" w:lineRule="auto"/>
        <w:ind w:firstLine="482" w:firstLineChars="200"/>
        <w:jc w:val="both"/>
        <w:rPr>
          <w:rFonts w:ascii="Times New Roman" w:hAnsi="Times New Roman" w:eastAsia="仿宋" w:cs="Times New Roman"/>
          <w:sz w:val="24"/>
        </w:rPr>
      </w:pPr>
      <w:r>
        <w:rPr>
          <w:rFonts w:hint="eastAsia" w:ascii="Times New Roman" w:hAnsi="Times New Roman" w:eastAsia="仿宋" w:cs="Times New Roman"/>
          <w:b/>
          <w:sz w:val="24"/>
        </w:rPr>
        <w:t>我国工业互联网平台发展“小、弱、散”问题依旧明显。“小”，主要指规模小</w:t>
      </w:r>
      <w:r>
        <w:rPr>
          <w:rFonts w:hint="eastAsia" w:ascii="Times New Roman" w:hAnsi="Times New Roman" w:eastAsia="仿宋" w:cs="Times New Roman"/>
          <w:sz w:val="24"/>
        </w:rPr>
        <w:t>，与国际领先的工业互联网平台相比，我国平台的设备连接数量不足，数据资源汇聚不够，限制上层数据分析能力和应用服务能力的提升。</w:t>
      </w:r>
      <w:r>
        <w:rPr>
          <w:rFonts w:hint="eastAsia" w:ascii="Times New Roman" w:hAnsi="Times New Roman" w:eastAsia="仿宋" w:cs="Times New Roman"/>
          <w:b/>
          <w:sz w:val="24"/>
        </w:rPr>
        <w:t>“弱”，主要体现为实力弱</w:t>
      </w:r>
      <w:r>
        <w:rPr>
          <w:rFonts w:hint="eastAsia" w:ascii="Times New Roman" w:hAnsi="Times New Roman" w:eastAsia="仿宋" w:cs="Times New Roman"/>
          <w:sz w:val="24"/>
        </w:rPr>
        <w:t>，大多平台在工业</w:t>
      </w:r>
      <w:r>
        <w:rPr>
          <w:rFonts w:ascii="Times New Roman" w:hAnsi="Times New Roman" w:eastAsia="仿宋" w:cs="Times New Roman"/>
          <w:sz w:val="24"/>
        </w:rPr>
        <w:t>know-how和专业技术方面的积累不足，导致PaaS平台层发展不均衡，难以为SaaS层提供足够的赋能。此外，我国工业互联网平台的盈利能力不强，整体盈利水平欠佳，这也反映了平台的服务能力不足。</w:t>
      </w:r>
      <w:r>
        <w:rPr>
          <w:rFonts w:hint="eastAsia" w:ascii="Times New Roman" w:hAnsi="Times New Roman" w:eastAsia="仿宋" w:cs="Times New Roman"/>
          <w:b/>
          <w:sz w:val="24"/>
        </w:rPr>
        <w:t>“散”，主要呈现为市场散</w:t>
      </w:r>
      <w:r>
        <w:rPr>
          <w:rFonts w:hint="eastAsia" w:ascii="Times New Roman" w:hAnsi="Times New Roman" w:eastAsia="仿宋" w:cs="Times New Roman"/>
          <w:sz w:val="24"/>
        </w:rPr>
        <w:t>，我国中小企业众多，超过</w:t>
      </w:r>
      <w:r>
        <w:rPr>
          <w:rFonts w:ascii="Times New Roman" w:hAnsi="Times New Roman" w:eastAsia="仿宋" w:cs="Times New Roman"/>
          <w:sz w:val="24"/>
        </w:rPr>
        <w:t>55%的企业尚未完成基础的设备数字化改造，呈现出需求“小、散、专”的特点，对工业互联网平台的规模化和标准化提出挑战。</w:t>
      </w:r>
      <w:r>
        <w:rPr>
          <w:rFonts w:hint="eastAsia" w:ascii="Times New Roman" w:hAnsi="Times New Roman" w:eastAsia="仿宋" w:cs="Times New Roman"/>
          <w:b/>
          <w:sz w:val="24"/>
        </w:rPr>
        <w:t>突破“小、弱、散”困境，主要平台企业找准自身发展突破点，打造差异化竞争优势，明晰自身成长路径。</w:t>
      </w:r>
    </w:p>
    <w:p>
      <w:pPr>
        <w:spacing w:line="360" w:lineRule="auto"/>
        <w:ind w:firstLine="482" w:firstLineChars="200"/>
        <w:jc w:val="both"/>
        <w:rPr>
          <w:rFonts w:ascii="Times New Roman" w:hAnsi="Times New Roman" w:eastAsia="仿宋" w:cs="Times New Roman"/>
          <w:b/>
          <w:sz w:val="24"/>
        </w:rPr>
      </w:pPr>
      <w:r>
        <w:rPr>
          <w:rFonts w:hint="eastAsia" w:ascii="Times New Roman" w:hAnsi="Times New Roman" w:eastAsia="仿宋" w:cs="Times New Roman"/>
          <w:b/>
          <w:sz w:val="24"/>
        </w:rPr>
        <w:t>问题3：如何摆脱“卡脖子”困境，自主可控水平待提升。</w:t>
      </w:r>
    </w:p>
    <w:p>
      <w:pPr>
        <w:spacing w:line="360" w:lineRule="auto"/>
        <w:ind w:firstLine="482" w:firstLineChars="200"/>
        <w:jc w:val="both"/>
        <w:rPr>
          <w:rFonts w:ascii="Times New Roman" w:hAnsi="Times New Roman" w:eastAsia="仿宋" w:cs="Times New Roman"/>
          <w:sz w:val="24"/>
        </w:rPr>
      </w:pPr>
      <w:r>
        <w:rPr>
          <w:rFonts w:hint="eastAsia" w:ascii="Times New Roman" w:hAnsi="Times New Roman" w:eastAsia="仿宋" w:cs="Times New Roman"/>
          <w:b/>
          <w:sz w:val="24"/>
        </w:rPr>
        <w:t>尽管我国在工业互联网领域取得了一定的进展，但与国际先进水平相比，在工业控制系统、高端工业软件、工业网络、工业信息安全等方面仍存在明显差距。</w:t>
      </w:r>
      <w:r>
        <w:rPr>
          <w:rFonts w:hint="eastAsia" w:ascii="Times New Roman" w:hAnsi="Times New Roman" w:eastAsia="仿宋" w:cs="Times New Roman"/>
          <w:sz w:val="24"/>
        </w:rPr>
        <w:t>以工业软件为例，我国工业软件市场更是呈现出快速发展的态势，但国内工业软件产业规模仅占全球工业软件市场规模的</w:t>
      </w:r>
      <w:r>
        <w:rPr>
          <w:rFonts w:ascii="Times New Roman" w:hAnsi="Times New Roman" w:eastAsia="仿宋" w:cs="Times New Roman"/>
          <w:sz w:val="24"/>
        </w:rPr>
        <w:t>5%。</w:t>
      </w:r>
      <w:r>
        <w:rPr>
          <w:rFonts w:hint="eastAsia" w:ascii="Times New Roman" w:hAnsi="Times New Roman" w:eastAsia="仿宋" w:cs="Times New Roman"/>
          <w:sz w:val="24"/>
        </w:rPr>
        <w:t>细分市场而言，</w:t>
      </w:r>
      <w:r>
        <w:rPr>
          <w:rFonts w:ascii="Times New Roman" w:hAnsi="Times New Roman" w:eastAsia="仿宋" w:cs="Times New Roman"/>
          <w:sz w:val="24"/>
        </w:rPr>
        <w:t>研发设计类工业软件95%依赖进口，国产可用的研发设计类产品主要应用于工业机理简单、系统功能单一、行业复杂度低的领域</w:t>
      </w:r>
      <w:r>
        <w:rPr>
          <w:rFonts w:hint="eastAsia" w:ascii="Times New Roman" w:hAnsi="Times New Roman" w:eastAsia="仿宋" w:cs="Times New Roman"/>
          <w:sz w:val="24"/>
        </w:rPr>
        <w:t>；</w:t>
      </w:r>
      <w:r>
        <w:rPr>
          <w:rFonts w:ascii="Times New Roman" w:hAnsi="Times New Roman" w:eastAsia="仿宋" w:cs="Times New Roman"/>
          <w:sz w:val="24"/>
        </w:rPr>
        <w:t>生产制造类工业软件</w:t>
      </w:r>
      <w:r>
        <w:rPr>
          <w:rFonts w:hint="eastAsia" w:ascii="Times New Roman" w:hAnsi="Times New Roman" w:eastAsia="仿宋" w:cs="Times New Roman"/>
          <w:sz w:val="24"/>
        </w:rPr>
        <w:t>尽管</w:t>
      </w:r>
      <w:r>
        <w:rPr>
          <w:rFonts w:ascii="Times New Roman" w:hAnsi="Times New Roman" w:eastAsia="仿宋" w:cs="Times New Roman"/>
          <w:sz w:val="24"/>
        </w:rPr>
        <w:t>占据50%的国内市场</w:t>
      </w:r>
      <w:r>
        <w:rPr>
          <w:rFonts w:hint="eastAsia" w:ascii="Times New Roman" w:hAnsi="Times New Roman" w:eastAsia="仿宋" w:cs="Times New Roman"/>
          <w:sz w:val="24"/>
        </w:rPr>
        <w:t>，但主要集中在中低端产品市场；经营管理软件占有国内</w:t>
      </w:r>
      <w:r>
        <w:rPr>
          <w:rFonts w:ascii="Times New Roman" w:hAnsi="Times New Roman" w:eastAsia="仿宋" w:cs="Times New Roman"/>
          <w:sz w:val="24"/>
        </w:rPr>
        <w:t>70%的市场份额，但高端市场领域仍以SAP、Oracle为主</w:t>
      </w:r>
      <w:r>
        <w:rPr>
          <w:rFonts w:hint="eastAsia" w:ascii="Times New Roman" w:hAnsi="Times New Roman" w:eastAsia="仿宋" w:cs="Times New Roman"/>
          <w:sz w:val="24"/>
        </w:rPr>
        <w:t>；</w:t>
      </w:r>
      <w:r>
        <w:rPr>
          <w:rFonts w:ascii="Times New Roman" w:hAnsi="Times New Roman" w:eastAsia="仿宋" w:cs="Times New Roman"/>
          <w:sz w:val="24"/>
        </w:rPr>
        <w:t>70%的运维服务类工业软件依赖进口，国内运维服务类工业软件较多关注数据采集与数据监控以及简单的评估预测能能力，缺少成熟工程应用，缺乏数据和经验积累</w:t>
      </w:r>
      <w:r>
        <w:rPr>
          <w:rStyle w:val="15"/>
          <w:rFonts w:ascii="Times New Roman" w:hAnsi="Times New Roman" w:eastAsia="仿宋" w:cs="Times New Roman"/>
          <w:sz w:val="24"/>
        </w:rPr>
        <w:footnoteReference w:id="9"/>
      </w:r>
      <w:r>
        <w:rPr>
          <w:rFonts w:ascii="Times New Roman" w:hAnsi="Times New Roman" w:eastAsia="仿宋" w:cs="Times New Roman"/>
          <w:sz w:val="24"/>
        </w:rPr>
        <w:t>。</w:t>
      </w:r>
    </w:p>
    <w:p>
      <w:pPr>
        <w:spacing w:line="360" w:lineRule="auto"/>
        <w:ind w:firstLine="482" w:firstLineChars="200"/>
        <w:jc w:val="both"/>
        <w:rPr>
          <w:rFonts w:ascii="Times New Roman" w:hAnsi="Times New Roman" w:eastAsia="仿宋" w:cs="Times New Roman"/>
          <w:b/>
          <w:bCs/>
          <w:sz w:val="24"/>
        </w:rPr>
      </w:pPr>
      <w:r>
        <w:rPr>
          <w:rFonts w:hint="eastAsia" w:ascii="Times New Roman" w:hAnsi="Times New Roman" w:eastAsia="仿宋" w:cs="Times New Roman"/>
          <w:b/>
          <w:bCs/>
          <w:sz w:val="24"/>
        </w:rPr>
        <w:t>围绕上述三方面问题，后续三篇文章将重点介绍蓝卓科技、忽米科技、宝信软件等三家企业分别在创新平台商业模式、突破自身成长、推进高水平自主可控方面的成功经验，以期为中国电信推进自身工业互联网平台业务高质量发展提供借鉴。</w:t>
      </w:r>
    </w:p>
    <w:sectPr>
      <w:pgSz w:w="11905" w:h="16838"/>
      <w:pgMar w:top="1361" w:right="1417" w:bottom="1361" w:left="1417" w:header="720" w:footer="720" w:gutter="0"/>
      <w:cols w:space="720" w:num="1"/>
      <w:docGrid w:type="lines" w:linePitch="41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Monaco">
    <w:altName w:val="Courier New"/>
    <w:panose1 w:val="00000000000000000000"/>
    <w:charset w:val="00"/>
    <w:family w:val="auto"/>
    <w:pitch w:val="default"/>
    <w:sig w:usb0="00000000" w:usb1="00000000" w:usb2="00000000" w:usb3="00000000" w:csb0="00000000" w:csb1="00000000"/>
  </w:font>
  <w:font w:name="方正小标宋简体">
    <w:panose1 w:val="02000000000000000000"/>
    <w:charset w:val="86"/>
    <w:family w:val="script"/>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pPr>
        <w:spacing w:before="0" w:after="0"/>
      </w:pPr>
      <w:r>
        <w:separator/>
      </w:r>
    </w:p>
  </w:footnote>
  <w:footnote w:type="continuationSeparator" w:id="21">
    <w:p>
      <w:pPr>
        <w:spacing w:before="0" w:after="0"/>
      </w:pPr>
      <w:r>
        <w:continuationSeparator/>
      </w:r>
    </w:p>
  </w:footnote>
  <w:footnote w:id="0">
    <w:p>
      <w:pPr>
        <w:pStyle w:val="7"/>
        <w:wordWrap w:val="0"/>
        <w:rPr>
          <w:rFonts w:ascii="仿宋" w:hAnsi="仿宋" w:eastAsia="仿宋" w:cs="仿宋"/>
        </w:rPr>
      </w:pPr>
      <w:r>
        <w:rPr>
          <w:rStyle w:val="15"/>
          <w:rFonts w:hint="eastAsia" w:ascii="仿宋" w:hAnsi="仿宋" w:eastAsia="仿宋" w:cs="仿宋"/>
        </w:rPr>
        <w:footnoteRef/>
      </w:r>
      <w:r>
        <w:rPr>
          <w:rFonts w:hint="eastAsia" w:ascii="仿宋" w:hAnsi="仿宋" w:eastAsia="仿宋" w:cs="仿宋"/>
        </w:rPr>
        <w:t xml:space="preserve"> 中国互联网络信息中心：《第53次&lt;中国互联网络发展状况统计报告&gt;》，https://www.cnnic.net.cn/n4/2024/0322/c88-10964.html，2023-03-22.</w:t>
      </w:r>
    </w:p>
  </w:footnote>
  <w:footnote w:id="1">
    <w:p>
      <w:pPr>
        <w:pStyle w:val="7"/>
        <w:wordWrap w:val="0"/>
        <w:rPr>
          <w:rFonts w:ascii="仿宋" w:hAnsi="仿宋" w:eastAsia="仿宋" w:cs="仿宋"/>
        </w:rPr>
      </w:pPr>
      <w:r>
        <w:rPr>
          <w:rStyle w:val="15"/>
          <w:rFonts w:hint="eastAsia" w:ascii="仿宋" w:hAnsi="仿宋" w:eastAsia="仿宋" w:cs="仿宋"/>
        </w:rPr>
        <w:footnoteRef/>
      </w:r>
      <w:r>
        <w:rPr>
          <w:rFonts w:hint="eastAsia" w:ascii="仿宋" w:hAnsi="仿宋" w:eastAsia="仿宋" w:cs="仿宋"/>
        </w:rPr>
        <w:t xml:space="preserve"> 澎湃：《工业互联网的2023：迈入新阶段、新方向、新模式｜年度盘点》，https://www.thepaper.cn/newsDetail_forward_25794767，2023-12-28.</w:t>
      </w:r>
    </w:p>
  </w:footnote>
  <w:footnote w:id="2">
    <w:p>
      <w:pPr>
        <w:pStyle w:val="7"/>
        <w:keepNext w:val="0"/>
        <w:keepLines w:val="0"/>
        <w:pageBreakBefore w:val="0"/>
        <w:widowControl w:val="0"/>
        <w:kinsoku/>
        <w:wordWrap w:val="0"/>
        <w:overflowPunct/>
        <w:topLinePunct w:val="0"/>
        <w:bidi w:val="0"/>
        <w:adjustRightInd/>
        <w:snapToGrid w:val="0"/>
        <w:textAlignment w:val="auto"/>
        <w:rPr>
          <w:rFonts w:ascii="仿宋" w:hAnsi="仿宋" w:eastAsia="仿宋" w:cs="仿宋"/>
        </w:rPr>
      </w:pPr>
      <w:r>
        <w:rPr>
          <w:rStyle w:val="15"/>
          <w:rFonts w:hint="eastAsia" w:ascii="仿宋" w:hAnsi="仿宋" w:eastAsia="仿宋" w:cs="仿宋"/>
        </w:rPr>
        <w:footnoteRef/>
      </w:r>
      <w:r>
        <w:rPr>
          <w:rFonts w:hint="eastAsia" w:ascii="仿宋" w:hAnsi="仿宋" w:eastAsia="仿宋" w:cs="仿宋"/>
        </w:rPr>
        <w:t xml:space="preserve"> 中工网：《我国工业互联网已覆盖全部工业大类 降本增效“联”出万亿级产业规模》，https://www.workercn.cn/c/2024-03-18/8189185.shtml，2024-03-18.</w:t>
      </w:r>
    </w:p>
  </w:footnote>
  <w:footnote w:id="3">
    <w:p>
      <w:pPr>
        <w:pStyle w:val="7"/>
        <w:keepNext w:val="0"/>
        <w:keepLines w:val="0"/>
        <w:pageBreakBefore w:val="0"/>
        <w:widowControl w:val="0"/>
        <w:kinsoku/>
        <w:wordWrap w:val="0"/>
        <w:overflowPunct/>
        <w:topLinePunct w:val="0"/>
        <w:bidi w:val="0"/>
        <w:adjustRightInd/>
        <w:snapToGrid w:val="0"/>
        <w:textAlignment w:val="auto"/>
        <w:rPr>
          <w:rFonts w:ascii="仿宋" w:hAnsi="仿宋" w:eastAsia="仿宋" w:cs="仿宋"/>
        </w:rPr>
      </w:pPr>
      <w:r>
        <w:rPr>
          <w:rStyle w:val="15"/>
          <w:rFonts w:hint="eastAsia" w:ascii="仿宋" w:hAnsi="仿宋" w:eastAsia="仿宋" w:cs="仿宋"/>
        </w:rPr>
        <w:footnoteRef/>
      </w:r>
      <w:r>
        <w:rPr>
          <w:rFonts w:hint="eastAsia" w:ascii="仿宋" w:hAnsi="仿宋" w:eastAsia="仿宋" w:cs="仿宋"/>
        </w:rPr>
        <w:t xml:space="preserve"> 中国工业互联网研究院：《中国工业互联网产业经济发展白皮书（2023 年）》，https://china-aii.com/newsinfo/6702078.html?templateId=1562263，2023-12-25.</w:t>
      </w:r>
    </w:p>
  </w:footnote>
  <w:footnote w:id="4">
    <w:p>
      <w:pPr>
        <w:pStyle w:val="7"/>
        <w:wordWrap w:val="0"/>
        <w:rPr>
          <w:rFonts w:ascii="仿宋" w:hAnsi="仿宋" w:eastAsia="仿宋" w:cs="仿宋"/>
        </w:rPr>
      </w:pPr>
      <w:r>
        <w:rPr>
          <w:rStyle w:val="15"/>
          <w:rFonts w:hint="eastAsia" w:ascii="仿宋" w:hAnsi="仿宋" w:eastAsia="仿宋" w:cs="仿宋"/>
        </w:rPr>
        <w:footnoteRef/>
      </w:r>
      <w:r>
        <w:rPr>
          <w:rFonts w:hint="eastAsia" w:ascii="仿宋" w:hAnsi="仿宋" w:eastAsia="仿宋" w:cs="仿宋"/>
        </w:rPr>
        <w:t xml:space="preserve"> 中国互联网络信息中心：《第52次&lt;中国互联网络发展状况统计报告&gt;》，https://www.cnnic.net.cn/n4/2023/0828/c88-10829.html，2023-08-28.</w:t>
      </w:r>
    </w:p>
  </w:footnote>
  <w:footnote w:id="5">
    <w:p>
      <w:pPr>
        <w:pStyle w:val="7"/>
        <w:snapToGrid w:val="0"/>
        <w:rPr>
          <w:rFonts w:hint="default" w:ascii="仿宋" w:hAnsi="仿宋" w:eastAsia="仿宋" w:cs="仿宋"/>
          <w:lang w:val="en-US" w:eastAsia="zh-CN"/>
        </w:rPr>
      </w:pPr>
      <w:r>
        <w:rPr>
          <w:rStyle w:val="15"/>
        </w:rPr>
        <w:footnoteRef/>
      </w:r>
      <w:r>
        <w:t xml:space="preserve"> </w:t>
      </w:r>
      <w:r>
        <w:rPr>
          <w:rFonts w:hint="eastAsia" w:ascii="仿宋" w:hAnsi="仿宋" w:eastAsia="仿宋" w:cs="仿宋"/>
        </w:rPr>
        <w:t>卡奥斯COSMOPlat</w:t>
      </w:r>
      <w:r>
        <w:rPr>
          <w:rFonts w:hint="eastAsia" w:ascii="仿宋" w:hAnsi="仿宋" w:eastAsia="仿宋" w:cs="仿宋"/>
          <w:lang w:eastAsia="zh-CN"/>
        </w:rPr>
        <w:t>，https://www.cosmoplat.com/platform，</w:t>
      </w:r>
      <w:r>
        <w:rPr>
          <w:rFonts w:hint="eastAsia" w:ascii="仿宋" w:hAnsi="仿宋" w:eastAsia="仿宋" w:cs="仿宋"/>
          <w:lang w:val="en-US" w:eastAsia="zh-CN"/>
        </w:rPr>
        <w:t>2024-05-08.</w:t>
      </w:r>
    </w:p>
  </w:footnote>
  <w:footnote w:id="6">
    <w:p>
      <w:pPr>
        <w:pStyle w:val="7"/>
        <w:keepNext w:val="0"/>
        <w:keepLines w:val="0"/>
        <w:pageBreakBefore w:val="0"/>
        <w:widowControl w:val="0"/>
        <w:kinsoku/>
        <w:wordWrap w:val="0"/>
        <w:overflowPunct/>
        <w:topLinePunct w:val="0"/>
        <w:bidi w:val="0"/>
        <w:adjustRightInd/>
        <w:snapToGrid w:val="0"/>
        <w:textAlignment w:val="auto"/>
        <w:rPr>
          <w:rFonts w:hint="default" w:eastAsiaTheme="minorEastAsia"/>
          <w:lang w:val="en-US" w:eastAsia="zh-CN"/>
        </w:rPr>
      </w:pPr>
      <w:r>
        <w:rPr>
          <w:rStyle w:val="15"/>
        </w:rPr>
        <w:footnoteRef/>
      </w:r>
      <w:r>
        <w:t xml:space="preserve"> </w:t>
      </w:r>
      <w:r>
        <w:rPr>
          <w:rFonts w:hint="eastAsia" w:ascii="仿宋" w:hAnsi="仿宋" w:eastAsia="仿宋" w:cs="仿宋"/>
          <w:lang w:val="en-US" w:eastAsia="zh-CN"/>
        </w:rPr>
        <w:t>华为云：《华为FusionPlant获2022年工业互联网平台及应用解决方案整体市场第一》，https://www.huaweicloud.com/news/2022/20221216093750532.html，2022-12-16.</w:t>
      </w:r>
    </w:p>
  </w:footnote>
  <w:footnote w:id="7">
    <w:p>
      <w:pPr>
        <w:pStyle w:val="7"/>
        <w:keepNext w:val="0"/>
        <w:keepLines w:val="0"/>
        <w:pageBreakBefore w:val="0"/>
        <w:widowControl w:val="0"/>
        <w:kinsoku/>
        <w:wordWrap w:val="0"/>
        <w:overflowPunct/>
        <w:topLinePunct w:val="0"/>
        <w:bidi w:val="0"/>
        <w:adjustRightInd/>
        <w:snapToGrid w:val="0"/>
        <w:textAlignment w:val="auto"/>
        <w:rPr>
          <w:rFonts w:hint="default" w:ascii="仿宋" w:hAnsi="仿宋" w:eastAsia="仿宋" w:cs="仿宋"/>
          <w:lang w:val="en-US" w:eastAsia="zh-CN"/>
        </w:rPr>
      </w:pPr>
      <w:r>
        <w:rPr>
          <w:rStyle w:val="15"/>
        </w:rPr>
        <w:footnoteRef/>
      </w:r>
      <w:r>
        <w:t xml:space="preserve"> </w:t>
      </w:r>
      <w:r>
        <w:rPr>
          <w:rFonts w:hint="eastAsia" w:ascii="仿宋" w:hAnsi="仿宋" w:eastAsia="仿宋" w:cs="仿宋"/>
          <w:lang w:val="en-US" w:eastAsia="zh-CN"/>
        </w:rPr>
        <w:t>ABB：《ABB和Microsoft合作将生成式AI引入工业应用》，https://new.abb.com/news/detail/104829/abb-and-microsoft-collaborate-to-bring-generative-ai-to-industrial-applications，2023-07-03.</w:t>
      </w:r>
    </w:p>
  </w:footnote>
  <w:footnote w:id="8">
    <w:p>
      <w:pPr>
        <w:pStyle w:val="7"/>
        <w:keepNext w:val="0"/>
        <w:keepLines w:val="0"/>
        <w:pageBreakBefore w:val="0"/>
        <w:widowControl w:val="0"/>
        <w:kinsoku/>
        <w:wordWrap w:val="0"/>
        <w:overflowPunct/>
        <w:topLinePunct w:val="0"/>
        <w:bidi w:val="0"/>
        <w:adjustRightInd/>
        <w:snapToGrid w:val="0"/>
        <w:textAlignment w:val="auto"/>
        <w:rPr>
          <w:rFonts w:hint="default" w:ascii="仿宋" w:hAnsi="仿宋" w:eastAsia="仿宋" w:cs="仿宋"/>
          <w:lang w:val="en-US" w:eastAsia="zh-CN"/>
        </w:rPr>
      </w:pPr>
      <w:r>
        <w:rPr>
          <w:rStyle w:val="15"/>
        </w:rPr>
        <w:footnoteRef/>
      </w:r>
      <w:r>
        <w:t xml:space="preserve"> </w:t>
      </w:r>
      <w:r>
        <w:rPr>
          <w:rFonts w:hint="eastAsia" w:ascii="仿宋" w:hAnsi="仿宋" w:eastAsia="仿宋" w:cs="仿宋"/>
          <w:lang w:val="en-US" w:eastAsia="zh-CN"/>
        </w:rPr>
        <w:t>中国人民共和国工业和信息化部：《工业和信息化部等八部门关于加快传统制造业转型升级的指导意见》，https://wap.miit.gov.cn/zwgk/zcwj/wjfb/yj/art/2023/art_7a64605ebcaf44628a738f8ce68f037a.html，2023-12-29.</w:t>
      </w:r>
    </w:p>
  </w:footnote>
  <w:footnote w:id="9">
    <w:p>
      <w:pPr>
        <w:pStyle w:val="7"/>
      </w:pPr>
      <w:r>
        <w:rPr>
          <w:rStyle w:val="15"/>
        </w:rPr>
        <w:footnoteRef/>
      </w:r>
      <w:r>
        <w:t xml:space="preserve"> </w:t>
      </w:r>
      <w:r>
        <w:rPr>
          <w:rFonts w:hint="eastAsia" w:ascii="仿宋" w:hAnsi="仿宋" w:eastAsia="仿宋" w:cs="仿宋"/>
        </w:rPr>
        <w:t>中国银河证券研究院，数字经济：数字赋能工业，打造万亿级智慧工厂市场，2024年1月。</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0"/>
    <w:footnote w:id="2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3A0"/>
    <w:rsid w:val="00036E2A"/>
    <w:rsid w:val="00052BED"/>
    <w:rsid w:val="0006106E"/>
    <w:rsid w:val="00127B7D"/>
    <w:rsid w:val="001B46EB"/>
    <w:rsid w:val="00234124"/>
    <w:rsid w:val="00270AC9"/>
    <w:rsid w:val="002F0C61"/>
    <w:rsid w:val="00323D70"/>
    <w:rsid w:val="00336617"/>
    <w:rsid w:val="00381ACE"/>
    <w:rsid w:val="003907E5"/>
    <w:rsid w:val="003F4181"/>
    <w:rsid w:val="003F7EF7"/>
    <w:rsid w:val="004D6520"/>
    <w:rsid w:val="00504496"/>
    <w:rsid w:val="005143BE"/>
    <w:rsid w:val="00534B92"/>
    <w:rsid w:val="005A78FF"/>
    <w:rsid w:val="00604BFC"/>
    <w:rsid w:val="006138B9"/>
    <w:rsid w:val="0062686F"/>
    <w:rsid w:val="00641D5B"/>
    <w:rsid w:val="00656B64"/>
    <w:rsid w:val="0067110C"/>
    <w:rsid w:val="00680AC3"/>
    <w:rsid w:val="006847A1"/>
    <w:rsid w:val="006951E5"/>
    <w:rsid w:val="00727E8A"/>
    <w:rsid w:val="007452DF"/>
    <w:rsid w:val="007455A4"/>
    <w:rsid w:val="00775947"/>
    <w:rsid w:val="00785240"/>
    <w:rsid w:val="00797B81"/>
    <w:rsid w:val="007E3458"/>
    <w:rsid w:val="007E4D35"/>
    <w:rsid w:val="00813F49"/>
    <w:rsid w:val="00840F66"/>
    <w:rsid w:val="008560B8"/>
    <w:rsid w:val="00877567"/>
    <w:rsid w:val="00897ABD"/>
    <w:rsid w:val="008C1269"/>
    <w:rsid w:val="009076D2"/>
    <w:rsid w:val="009301D7"/>
    <w:rsid w:val="00975620"/>
    <w:rsid w:val="0099255C"/>
    <w:rsid w:val="009941CF"/>
    <w:rsid w:val="009A6FA2"/>
    <w:rsid w:val="009E03DD"/>
    <w:rsid w:val="009E2A79"/>
    <w:rsid w:val="00A01AEA"/>
    <w:rsid w:val="00A47BA2"/>
    <w:rsid w:val="00A913F6"/>
    <w:rsid w:val="00AC42A7"/>
    <w:rsid w:val="00B77B85"/>
    <w:rsid w:val="00BA4E1B"/>
    <w:rsid w:val="00BE41F6"/>
    <w:rsid w:val="00C127BA"/>
    <w:rsid w:val="00C14669"/>
    <w:rsid w:val="00C239A2"/>
    <w:rsid w:val="00C37639"/>
    <w:rsid w:val="00C61B28"/>
    <w:rsid w:val="00D25092"/>
    <w:rsid w:val="00DD1957"/>
    <w:rsid w:val="00DE1787"/>
    <w:rsid w:val="00E023A0"/>
    <w:rsid w:val="00E205E4"/>
    <w:rsid w:val="00E80246"/>
    <w:rsid w:val="00EA4BF0"/>
    <w:rsid w:val="00EB585C"/>
    <w:rsid w:val="00EB7A05"/>
    <w:rsid w:val="00F07322"/>
    <w:rsid w:val="00F512EE"/>
    <w:rsid w:val="00F60484"/>
    <w:rsid w:val="00F64A8D"/>
    <w:rsid w:val="00F93AEC"/>
    <w:rsid w:val="01361E05"/>
    <w:rsid w:val="05080E2E"/>
    <w:rsid w:val="05DC58AA"/>
    <w:rsid w:val="0AC401D1"/>
    <w:rsid w:val="0F6A7E6A"/>
    <w:rsid w:val="140D32EA"/>
    <w:rsid w:val="15745EF0"/>
    <w:rsid w:val="1A2B5D9B"/>
    <w:rsid w:val="1C101718"/>
    <w:rsid w:val="1E264686"/>
    <w:rsid w:val="21B07155"/>
    <w:rsid w:val="23553DDE"/>
    <w:rsid w:val="23A95BE0"/>
    <w:rsid w:val="24395D7C"/>
    <w:rsid w:val="253376CB"/>
    <w:rsid w:val="29832A45"/>
    <w:rsid w:val="2E97127C"/>
    <w:rsid w:val="2EDA686E"/>
    <w:rsid w:val="2EE73973"/>
    <w:rsid w:val="32516792"/>
    <w:rsid w:val="381D2FDD"/>
    <w:rsid w:val="3BED055F"/>
    <w:rsid w:val="3D471E84"/>
    <w:rsid w:val="412B45A6"/>
    <w:rsid w:val="427143C6"/>
    <w:rsid w:val="452138FB"/>
    <w:rsid w:val="4B270ECA"/>
    <w:rsid w:val="4F3240E4"/>
    <w:rsid w:val="53130938"/>
    <w:rsid w:val="53792D86"/>
    <w:rsid w:val="53CE7D56"/>
    <w:rsid w:val="597F6516"/>
    <w:rsid w:val="5A1C2EE4"/>
    <w:rsid w:val="5DD242AA"/>
    <w:rsid w:val="5E2F2132"/>
    <w:rsid w:val="5FB51CEF"/>
    <w:rsid w:val="5FDD86ED"/>
    <w:rsid w:val="60237BF2"/>
    <w:rsid w:val="61756A3E"/>
    <w:rsid w:val="649B6ABA"/>
    <w:rsid w:val="663F648D"/>
    <w:rsid w:val="68637551"/>
    <w:rsid w:val="688E062B"/>
    <w:rsid w:val="696E5241"/>
    <w:rsid w:val="6AE72279"/>
    <w:rsid w:val="6BBB9413"/>
    <w:rsid w:val="6E4224F5"/>
    <w:rsid w:val="6E505F87"/>
    <w:rsid w:val="6F2701E9"/>
    <w:rsid w:val="70E87D2E"/>
    <w:rsid w:val="738B27BA"/>
    <w:rsid w:val="770C03DF"/>
    <w:rsid w:val="77FF0246"/>
    <w:rsid w:val="796B6304"/>
    <w:rsid w:val="7B203254"/>
    <w:rsid w:val="7CFD1A9F"/>
    <w:rsid w:val="7DEDB9CC"/>
    <w:rsid w:val="7EE1FDC0"/>
    <w:rsid w:val="7F7FD070"/>
    <w:rsid w:val="ABFF6711"/>
    <w:rsid w:val="BF63DC18"/>
    <w:rsid w:val="F2FFB0BD"/>
    <w:rsid w:val="F75E04EB"/>
    <w:rsid w:val="FAFB22BA"/>
    <w:rsid w:val="FAFF2AA9"/>
    <w:rsid w:val="FEB37074"/>
    <w:rsid w:val="FFEF7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60" w:after="60"/>
    </w:pPr>
    <w:rPr>
      <w:rFonts w:asciiTheme="minorHAnsi" w:hAnsiTheme="minorHAnsi" w:eastAsiaTheme="minorEastAsia" w:cstheme="minorBidi"/>
      <w:color w:val="333333"/>
      <w:kern w:val="2"/>
      <w:sz w:val="22"/>
      <w:szCs w:val="22"/>
      <w:lang w:val="en-US" w:eastAsia="zh-CN" w:bidi="ar-SA"/>
    </w:rPr>
  </w:style>
  <w:style w:type="paragraph" w:styleId="2">
    <w:name w:val="heading 1"/>
    <w:basedOn w:val="1"/>
    <w:next w:val="1"/>
    <w:qFormat/>
    <w:uiPriority w:val="9"/>
    <w:pPr>
      <w:keepNext/>
      <w:keepLines/>
      <w:spacing w:before="0" w:after="0" w:line="360" w:lineRule="auto"/>
      <w:ind w:firstLine="200" w:firstLineChars="200"/>
      <w:outlineLvl w:val="0"/>
    </w:pPr>
    <w:rPr>
      <w:rFonts w:eastAsia="仿宋"/>
      <w:b/>
      <w:bCs/>
      <w:color w:val="1A1A1A"/>
      <w:sz w:val="32"/>
      <w:szCs w:val="36"/>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2"/>
    <w:qFormat/>
    <w:uiPriority w:val="0"/>
  </w:style>
  <w:style w:type="paragraph" w:styleId="4">
    <w:name w:val="Balloon Text"/>
    <w:basedOn w:val="1"/>
    <w:link w:val="24"/>
    <w:qFormat/>
    <w:uiPriority w:val="0"/>
    <w:pPr>
      <w:spacing w:before="0" w:after="0"/>
    </w:pPr>
    <w:rPr>
      <w:sz w:val="18"/>
      <w:szCs w:val="18"/>
    </w:rPr>
  </w:style>
  <w:style w:type="paragraph" w:styleId="5">
    <w:name w:val="footer"/>
    <w:basedOn w:val="1"/>
    <w:link w:val="21"/>
    <w:qFormat/>
    <w:uiPriority w:val="0"/>
    <w:pPr>
      <w:tabs>
        <w:tab w:val="center" w:pos="4153"/>
        <w:tab w:val="right" w:pos="8306"/>
      </w:tabs>
    </w:pPr>
    <w:rPr>
      <w:sz w:val="18"/>
      <w:szCs w:val="18"/>
    </w:rPr>
  </w:style>
  <w:style w:type="paragraph" w:styleId="6">
    <w:name w:val="header"/>
    <w:basedOn w:val="1"/>
    <w:link w:val="20"/>
    <w:qFormat/>
    <w:uiPriority w:val="0"/>
    <w:pPr>
      <w:pBdr>
        <w:bottom w:val="single" w:color="auto" w:sz="6" w:space="1"/>
      </w:pBdr>
      <w:tabs>
        <w:tab w:val="center" w:pos="4153"/>
        <w:tab w:val="right" w:pos="8306"/>
      </w:tabs>
      <w:jc w:val="center"/>
    </w:pPr>
    <w:rPr>
      <w:sz w:val="18"/>
      <w:szCs w:val="18"/>
    </w:rPr>
  </w:style>
  <w:style w:type="paragraph" w:styleId="7">
    <w:name w:val="footnote text"/>
    <w:basedOn w:val="1"/>
    <w:qFormat/>
    <w:uiPriority w:val="0"/>
    <w:rPr>
      <w:sz w:val="18"/>
    </w:rPr>
  </w:style>
  <w:style w:type="paragraph" w:styleId="8">
    <w:name w:val="Title"/>
    <w:basedOn w:val="1"/>
    <w:next w:val="1"/>
    <w:qFormat/>
    <w:uiPriority w:val="9"/>
    <w:pPr>
      <w:keepNext/>
      <w:keepLines/>
      <w:spacing w:before="0" w:after="0" w:line="408" w:lineRule="auto"/>
      <w:jc w:val="center"/>
      <w:outlineLvl w:val="0"/>
    </w:pPr>
    <w:rPr>
      <w:b/>
      <w:bCs/>
      <w:color w:val="1A1A1A"/>
      <w:sz w:val="48"/>
      <w:szCs w:val="48"/>
    </w:rPr>
  </w:style>
  <w:style w:type="paragraph" w:styleId="9">
    <w:name w:val="annotation subject"/>
    <w:basedOn w:val="3"/>
    <w:next w:val="3"/>
    <w:link w:val="23"/>
    <w:qFormat/>
    <w:uiPriority w:val="0"/>
    <w:rPr>
      <w:b/>
      <w:bCs/>
    </w:rPr>
  </w:style>
  <w:style w:type="table" w:styleId="11">
    <w:name w:val="Table Grid"/>
    <w:basedOn w:val="10"/>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3">
    <w:name w:val="Hyperlink"/>
    <w:basedOn w:val="12"/>
    <w:unhideWhenUsed/>
    <w:qFormat/>
    <w:uiPriority w:val="99"/>
    <w:rPr>
      <w:color w:val="1E6FFF" w:themeColor="hyperlink"/>
      <w:u w:val="single"/>
      <w14:textFill>
        <w14:solidFill>
          <w14:schemeClr w14:val="hlink"/>
        </w14:solidFill>
      </w14:textFill>
    </w:rPr>
  </w:style>
  <w:style w:type="character" w:styleId="14">
    <w:name w:val="annotation reference"/>
    <w:basedOn w:val="12"/>
    <w:qFormat/>
    <w:uiPriority w:val="0"/>
    <w:rPr>
      <w:sz w:val="21"/>
      <w:szCs w:val="21"/>
    </w:rPr>
  </w:style>
  <w:style w:type="character" w:styleId="15">
    <w:name w:val="footnote reference"/>
    <w:basedOn w:val="12"/>
    <w:qFormat/>
    <w:uiPriority w:val="0"/>
    <w:rPr>
      <w:vertAlign w:val="superscript"/>
    </w:rPr>
  </w:style>
  <w:style w:type="paragraph" w:customStyle="1" w:styleId="16">
    <w:name w:val="melo-codeblock-Base-theme-para"/>
    <w:basedOn w:val="1"/>
    <w:qFormat/>
    <w:uiPriority w:val="0"/>
    <w:pPr>
      <w:spacing w:before="0" w:after="0" w:line="360" w:lineRule="auto"/>
    </w:pPr>
    <w:rPr>
      <w:rFonts w:ascii="Monaco" w:hAnsi="Monaco" w:eastAsia="Monaco" w:cs="Monaco"/>
      <w:color w:val="000000"/>
      <w:sz w:val="21"/>
    </w:rPr>
  </w:style>
  <w:style w:type="character" w:customStyle="1" w:styleId="17">
    <w:name w:val="melo-codeblock-Base-theme-char"/>
    <w:qFormat/>
    <w:uiPriority w:val="0"/>
    <w:rPr>
      <w:rFonts w:ascii="Monaco" w:hAnsi="Monaco" w:eastAsia="Monaco" w:cs="Monaco"/>
      <w:color w:val="000000"/>
      <w:sz w:val="21"/>
    </w:rPr>
  </w:style>
  <w:style w:type="paragraph" w:customStyle="1" w:styleId="18">
    <w:name w:val="标题A"/>
    <w:basedOn w:val="2"/>
    <w:qFormat/>
    <w:uiPriority w:val="0"/>
    <w:pPr>
      <w:shd w:val="clear" w:color="auto" w:fill="FFFFFF"/>
      <w:spacing w:line="600" w:lineRule="exact"/>
    </w:pPr>
    <w:rPr>
      <w:rFonts w:ascii="方正小标宋简体" w:hAnsi="方正小标宋简体" w:eastAsia="方正小标宋简体"/>
      <w:b w:val="0"/>
      <w:sz w:val="44"/>
    </w:rPr>
  </w:style>
  <w:style w:type="paragraph" w:customStyle="1" w:styleId="19">
    <w:name w:val="正文用"/>
    <w:basedOn w:val="1"/>
    <w:qFormat/>
    <w:uiPriority w:val="0"/>
    <w:pPr>
      <w:ind w:firstLine="640" w:firstLineChars="200"/>
    </w:pPr>
    <w:rPr>
      <w:rFonts w:ascii="仿宋_GB2312" w:eastAsia="仿宋_GB2312"/>
      <w:color w:val="222222"/>
      <w:sz w:val="32"/>
      <w:szCs w:val="32"/>
      <w:shd w:val="clear" w:color="auto" w:fill="FFFFFF"/>
    </w:rPr>
  </w:style>
  <w:style w:type="character" w:customStyle="1" w:styleId="20">
    <w:name w:val="页眉 字符"/>
    <w:basedOn w:val="12"/>
    <w:link w:val="6"/>
    <w:qFormat/>
    <w:uiPriority w:val="0"/>
    <w:rPr>
      <w:rFonts w:asciiTheme="minorHAnsi" w:hAnsiTheme="minorHAnsi" w:eastAsiaTheme="minorEastAsia" w:cstheme="minorBidi"/>
      <w:color w:val="333333"/>
      <w:kern w:val="2"/>
      <w:sz w:val="18"/>
      <w:szCs w:val="18"/>
    </w:rPr>
  </w:style>
  <w:style w:type="character" w:customStyle="1" w:styleId="21">
    <w:name w:val="页脚 字符"/>
    <w:basedOn w:val="12"/>
    <w:link w:val="5"/>
    <w:qFormat/>
    <w:uiPriority w:val="0"/>
    <w:rPr>
      <w:rFonts w:asciiTheme="minorHAnsi" w:hAnsiTheme="minorHAnsi" w:eastAsiaTheme="minorEastAsia" w:cstheme="minorBidi"/>
      <w:color w:val="333333"/>
      <w:kern w:val="2"/>
      <w:sz w:val="18"/>
      <w:szCs w:val="18"/>
    </w:rPr>
  </w:style>
  <w:style w:type="character" w:customStyle="1" w:styleId="22">
    <w:name w:val="批注文字 字符"/>
    <w:basedOn w:val="12"/>
    <w:link w:val="3"/>
    <w:qFormat/>
    <w:uiPriority w:val="0"/>
    <w:rPr>
      <w:rFonts w:asciiTheme="minorHAnsi" w:hAnsiTheme="minorHAnsi" w:eastAsiaTheme="minorEastAsia" w:cstheme="minorBidi"/>
      <w:color w:val="333333"/>
      <w:kern w:val="2"/>
      <w:sz w:val="22"/>
      <w:szCs w:val="22"/>
    </w:rPr>
  </w:style>
  <w:style w:type="character" w:customStyle="1" w:styleId="23">
    <w:name w:val="批注主题 字符"/>
    <w:basedOn w:val="22"/>
    <w:link w:val="9"/>
    <w:qFormat/>
    <w:uiPriority w:val="0"/>
    <w:rPr>
      <w:rFonts w:asciiTheme="minorHAnsi" w:hAnsiTheme="minorHAnsi" w:eastAsiaTheme="minorEastAsia" w:cstheme="minorBidi"/>
      <w:b/>
      <w:bCs/>
      <w:color w:val="333333"/>
      <w:kern w:val="2"/>
      <w:sz w:val="22"/>
      <w:szCs w:val="22"/>
    </w:rPr>
  </w:style>
  <w:style w:type="character" w:customStyle="1" w:styleId="24">
    <w:name w:val="批注框文本 字符"/>
    <w:basedOn w:val="12"/>
    <w:link w:val="4"/>
    <w:qFormat/>
    <w:uiPriority w:val="0"/>
    <w:rPr>
      <w:rFonts w:asciiTheme="minorHAnsi" w:hAnsiTheme="minorHAnsi" w:eastAsiaTheme="minorEastAsia" w:cstheme="minorBidi"/>
      <w:color w:val="333333"/>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AF841-6E99-4D6B-AC5B-0C6D182C7F2D}">
  <ds:schemaRefs/>
</ds:datastoreItem>
</file>

<file path=docProps/app.xml><?xml version="1.0" encoding="utf-8"?>
<Properties xmlns="http://schemas.openxmlformats.org/officeDocument/2006/extended-properties" xmlns:vt="http://schemas.openxmlformats.org/officeDocument/2006/docPropsVTypes">
  <Template>Normal</Template>
  <Pages>5</Pages>
  <Words>549</Words>
  <Characters>3131</Characters>
  <Lines>26</Lines>
  <Paragraphs>7</Paragraphs>
  <TotalTime>1290</TotalTime>
  <ScaleCrop>false</ScaleCrop>
  <LinksUpToDate>false</LinksUpToDate>
  <CharactersWithSpaces>3673</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2024-03-01T22:58:00Z</dcterms:created>
  <dc:creator>巨涵</dc:creator>
  <cp:lastModifiedBy>巨涵</cp:lastModifiedBy>
  <dcterms:modified xsi:type="dcterms:W3CDTF">2024-05-10T11:15:12Z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F70E37477A324B82A3F18FFB72B648BB_13</vt:lpwstr>
  </property>
</Properties>
</file>