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C27C7">
      <w:pPr>
        <w:jc w:val="center"/>
        <w:rPr>
          <w:rFonts w:hint="default" w:eastAsiaTheme="minorEastAsia"/>
          <w:b/>
          <w:bCs/>
          <w:sz w:val="24"/>
          <w:szCs w:val="24"/>
          <w:highlight w:val="none"/>
          <w:lang w:val="en-US" w:eastAsia="zh-CN"/>
        </w:rPr>
      </w:pPr>
      <w:bookmarkStart w:id="0" w:name="_GoBack"/>
      <w:bookmarkEnd w:id="0"/>
      <w:r>
        <w:rPr>
          <w:rFonts w:hint="eastAsia" w:ascii="方正小标宋简体" w:hAnsi="仿宋" w:eastAsia="方正小标宋简体" w:cs="Times New Roman"/>
          <w:sz w:val="38"/>
          <w:szCs w:val="40"/>
          <w:highlight w:val="none"/>
          <w:lang w:val="en-US" w:eastAsia="zh-CN"/>
        </w:rPr>
        <w:t>巴黎AI</w:t>
      </w:r>
      <w:r>
        <w:rPr>
          <w:rFonts w:hint="eastAsia" w:ascii="方正小标宋简体" w:hAnsi="仿宋" w:eastAsia="方正小标宋简体" w:cs="Times New Roman"/>
          <w:sz w:val="38"/>
          <w:szCs w:val="40"/>
          <w:highlight w:val="none"/>
        </w:rPr>
        <w:t>行动峰会</w:t>
      </w:r>
      <w:r>
        <w:rPr>
          <w:rFonts w:hint="eastAsia" w:ascii="方正小标宋简体" w:hAnsi="仿宋" w:eastAsia="方正小标宋简体" w:cs="Times New Roman"/>
          <w:sz w:val="38"/>
          <w:szCs w:val="40"/>
          <w:highlight w:val="none"/>
          <w:lang w:eastAsia="zh-CN"/>
        </w:rPr>
        <w:t>：</w:t>
      </w:r>
      <w:r>
        <w:rPr>
          <w:rFonts w:hint="eastAsia" w:ascii="方正小标宋简体" w:hAnsi="仿宋" w:eastAsia="方正小标宋简体" w:cs="Times New Roman"/>
          <w:sz w:val="38"/>
          <w:szCs w:val="40"/>
          <w:highlight w:val="none"/>
          <w:lang w:val="en-US" w:eastAsia="zh-CN"/>
        </w:rPr>
        <w:t>AI全球治理展露新动向</w:t>
      </w:r>
    </w:p>
    <w:p w14:paraId="2D9C92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96" w:right="96"/>
        <w:rPr>
          <w:highlight w:val="none"/>
        </w:rPr>
      </w:pPr>
    </w:p>
    <w:p w14:paraId="17914564">
      <w:pPr>
        <w:numPr>
          <w:ilvl w:val="0"/>
          <w:numId w:val="0"/>
        </w:numPr>
        <w:ind w:firstLine="640" w:firstLineChars="200"/>
        <w:rPr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highlight w:val="none"/>
          <w:lang w:val="en-US" w:eastAsia="zh-CN" w:bidi="ar-SA"/>
        </w:rPr>
        <w:t>2025年2月10-11日，由法国和印度联合主办的人工智能行动峰会（AI Action Summit）（以下简称“峰会”）在巴黎举办。峰会围绕三大核心目标（为用户提供独立、安全、可靠的AI服务；推动更加环保的AI技术；确保全球治理的有效性与包容性）展开讨论，旨在加强国际社会的行动力，进一步深化全球AI治理合作。与2023年英国AI安全峰会和2024年韩国AI首尔峰会聚焦AI安全问题相比，本次峰会聚焦“行动”和“全球治理”，呈现AI全球治理格局演变新动向。</w:t>
      </w:r>
    </w:p>
    <w:p w14:paraId="73D38B23">
      <w:pPr>
        <w:numPr>
          <w:ilvl w:val="0"/>
          <w:numId w:val="0"/>
        </w:numPr>
        <w:ind w:left="630" w:leftChars="0"/>
        <w:rPr>
          <w:rFonts w:hint="eastAsia" w:ascii="黑体" w:hAnsi="黑体" w:eastAsia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highlight w:val="none"/>
          <w:lang w:val="en-US" w:eastAsia="zh-CN"/>
        </w:rPr>
        <w:t>一、峰会</w:t>
      </w:r>
      <w:r>
        <w:rPr>
          <w:rFonts w:hint="eastAsia" w:ascii="黑体" w:hAnsi="黑体" w:eastAsia="黑体" w:cstheme="minorBidi"/>
          <w:color w:val="auto"/>
          <w:kern w:val="2"/>
          <w:sz w:val="32"/>
          <w:szCs w:val="32"/>
          <w:highlight w:val="none"/>
          <w:lang w:val="en-US" w:eastAsia="zh-CN" w:bidi="ar-SA"/>
        </w:rPr>
        <w:t>提出以“3S”框架推动AI</w:t>
      </w:r>
      <w:r>
        <w:rPr>
          <w:rFonts w:hint="eastAsia" w:ascii="黑体" w:hAnsi="黑体" w:eastAsia="黑体" w:cstheme="minorBidi"/>
          <w:kern w:val="2"/>
          <w:sz w:val="32"/>
          <w:szCs w:val="32"/>
          <w:highlight w:val="none"/>
          <w:lang w:val="en-US" w:eastAsia="zh-CN" w:bidi="ar-SA"/>
        </w:rPr>
        <w:t>全球</w:t>
      </w:r>
      <w:r>
        <w:rPr>
          <w:rFonts w:hint="eastAsia" w:ascii="黑体" w:hAnsi="黑体" w:eastAsia="黑体" w:cstheme="minorBidi"/>
          <w:color w:val="auto"/>
          <w:kern w:val="2"/>
          <w:sz w:val="32"/>
          <w:szCs w:val="32"/>
          <w:highlight w:val="none"/>
          <w:lang w:val="en-US" w:eastAsia="zh-CN" w:bidi="ar-SA"/>
        </w:rPr>
        <w:t>治理</w:t>
      </w:r>
    </w:p>
    <w:p w14:paraId="2695BE89">
      <w:pPr>
        <w:numPr>
          <w:ilvl w:val="-1"/>
          <w:numId w:val="0"/>
        </w:numPr>
        <w:ind w:firstLine="640" w:firstLineChars="200"/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highlight w:val="none"/>
          <w:lang w:val="en-US" w:eastAsia="zh-CN"/>
        </w:rPr>
        <w:t>本次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highlight w:val="none"/>
          <w:lang w:val="en-US" w:eastAsia="zh-CN" w:bidi="ar-SA"/>
        </w:rPr>
        <w:t>峰会创新性提出以3S框架——科学（Science）、解决方案（Solutions）和标准（Standards），推动AI全球治理，促成了多个成果文件和行动倡议的形成。</w:t>
      </w:r>
    </w:p>
    <w:p w14:paraId="3BCE2C1A">
      <w:pPr>
        <w:numPr>
          <w:ilvl w:val="-1"/>
          <w:numId w:val="0"/>
        </w:numPr>
        <w:ind w:firstLine="640" w:firstLineChars="200"/>
        <w:rPr>
          <w:rFonts w:hint="eastAsia" w:ascii="仿宋_GB2312" w:hAnsi="仿宋_GB2312" w:eastAsia="仿宋_GB2312" w:cs="仿宋_GB2312"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highlight w:val="none"/>
          <w:lang w:val="en-US" w:eastAsia="zh-CN" w:bidi="ar-SA"/>
        </w:rPr>
        <w:t>在科学方面，峰会积极推动在AI安全方面形成科学共识，发布</w:t>
      </w:r>
      <w:r>
        <w:rPr>
          <w:rFonts w:hint="eastAsia" w:ascii="仿宋_GB2312" w:hAnsi="仿宋_GB2312" w:eastAsia="仿宋_GB2312" w:cs="仿宋_GB2312"/>
          <w:sz w:val="32"/>
          <w:szCs w:val="22"/>
          <w:highlight w:val="none"/>
          <w:lang w:val="en-US" w:eastAsia="zh-CN"/>
        </w:rPr>
        <w:t>《国际人工智能安全报告》（终版）。该报告自2023年英国AI安全峰会启动，并于2024年AI首尔峰会发布中期版本，此次最终版聚焦通用AI系统能力、潜在风险及相应的风险管理技术，</w:t>
      </w:r>
      <w:r>
        <w:rPr>
          <w:rFonts w:hint="eastAsia" w:ascii="仿宋_GB2312" w:hAnsi="仿宋_GB2312" w:eastAsia="仿宋_GB2312" w:cs="仿宋_GB2312"/>
          <w:color w:val="auto"/>
          <w:sz w:val="32"/>
          <w:szCs w:val="22"/>
          <w:highlight w:val="none"/>
          <w:lang w:val="en-US" w:eastAsia="zh-CN"/>
        </w:rPr>
        <w:t>为政策制定提供科学依据</w:t>
      </w:r>
      <w:r>
        <w:rPr>
          <w:rFonts w:hint="eastAsia" w:ascii="仿宋_GB2312" w:hAnsi="仿宋_GB2312" w:eastAsia="仿宋_GB2312" w:cs="仿宋_GB2312"/>
          <w:sz w:val="32"/>
          <w:szCs w:val="22"/>
          <w:highlight w:val="none"/>
          <w:lang w:val="en-US" w:eastAsia="zh-CN"/>
        </w:rPr>
        <w:t>。</w:t>
      </w:r>
    </w:p>
    <w:p w14:paraId="36AA47A9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highlight w:val="none"/>
          <w:lang w:val="en-US" w:eastAsia="zh-CN" w:bidi="ar-SA"/>
        </w:rPr>
        <w:t>在解决方案方面，峰会聚焦如何依托科学、文化、医疗健康和工业等实际场景提供具体可操作的应用方案，增强全球行动力。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2月10日，欧盟60余家企业签署“欧盟AI冠军倡议”（EU AI Champions Initiative），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旨在将AI应用深度融入欧洲工业基础，加速技术落地。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同日，法国政府与Google等企业宣布成立Current AI公益基金会，推动AI技术在气候、健康、语言和科学等公益领域的应用。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highlight w:val="none"/>
          <w:lang w:val="en-US" w:eastAsia="zh-CN" w:bidi="ar-SA"/>
        </w:rPr>
        <w:t>2月11日，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法国、联合国环境规划署和国际电信联盟牵头成立环保可持续AI联盟，包括百度、联想在内的91家合作伙伴参与；欧盟委员会主席冯德莱恩提出“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投资人工智能”（InvestAI）倡议，拟筹集2000亿欧元，用于AI超级工厂等建设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。</w:t>
      </w:r>
    </w:p>
    <w:p w14:paraId="1B8BC77A">
      <w:pPr>
        <w:pStyle w:val="6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/>
        <w:ind w:firstLine="640" w:firstLineChars="200"/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highlight w:val="none"/>
          <w:lang w:val="en-US" w:eastAsia="zh-CN" w:bidi="ar-SA"/>
        </w:rPr>
        <w:t>在标准方面，峰会致力于推动建立统一标准，协调各方行动，为衡量和管理AI的环境影响提供重要依据。包括中国在内的多个国家及国际组织签署了《关于发展包容、可持续的人工智能造福人类与地球的声明》。</w:t>
      </w:r>
      <w:r>
        <w:rPr>
          <w:rFonts w:hint="eastAsia" w:ascii="仿宋_GB2312" w:hAnsi="仿宋_GB2312" w:eastAsia="仿宋_GB2312" w:cs="仿宋_GB2312"/>
          <w:sz w:val="32"/>
          <w:szCs w:val="22"/>
          <w:highlight w:val="none"/>
          <w:lang w:val="en-US" w:eastAsia="zh-CN"/>
        </w:rPr>
        <w:t>声明强调要加强AI生态系统多样性，明确将促进AI的可及性、加强国际协调治理等作为主要优先事项，并推出大型公共利益AI平台和孵化器，建立观察站网络等多项行动举措。</w:t>
      </w:r>
    </w:p>
    <w:p w14:paraId="5D51A0ED">
      <w:pPr>
        <w:numPr>
          <w:ilvl w:val="0"/>
          <w:numId w:val="1"/>
        </w:numPr>
        <w:ind w:left="630" w:leftChars="0" w:firstLine="320" w:firstLineChars="100"/>
        <w:rPr>
          <w:rFonts w:hint="eastAsia" w:ascii="黑体" w:hAnsi="黑体" w:eastAsia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highlight w:val="none"/>
          <w:lang w:val="en-US" w:eastAsia="zh-CN"/>
        </w:rPr>
        <w:t>AI发展与全球治理</w:t>
      </w:r>
      <w:r>
        <w:rPr>
          <w:rFonts w:hint="eastAsia" w:ascii="黑体" w:hAnsi="黑体" w:eastAsia="黑体"/>
          <w:color w:val="auto"/>
          <w:sz w:val="32"/>
          <w:szCs w:val="32"/>
          <w:highlight w:val="none"/>
          <w:lang w:val="en-US" w:eastAsia="zh-CN"/>
        </w:rPr>
        <w:t>仍面临诸多不确定性</w:t>
      </w:r>
    </w:p>
    <w:p w14:paraId="6539FCAD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（一）各国对AI创新与发展的需求愈加迫切</w:t>
      </w:r>
    </w:p>
    <w:p w14:paraId="1118CCE7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一是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推动AI资源开放、降低技术获取门槛成为峰会关注热点。以DeepSeek为代表的中国大语言模型，凭借开源、低能耗和透明等特点，被誉为全球普惠AI的新典范。DeepSeek的爆火激发了各界对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  <w:lang w:val="en-US" w:eastAsia="zh-CN" w:bidi="ar"/>
        </w:rPr>
        <w:t>开源模式的讨论，有望加速AI普惠化进程。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法国科技初创企业Mistral AI首席执行官阿瑟·门施（Arthur Mensch）认为，DeepSeek的成功为法国和欧洲企业提供了通向成功的跳板，强调“开源必将胜利”。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  <w:lang w:val="en-US" w:eastAsia="zh-CN" w:bidi="ar"/>
        </w:rPr>
        <w:t>OpenAI首席执行官</w:t>
      </w:r>
      <w:r>
        <w:rPr>
          <w:rFonts w:hint="eastAsia" w:ascii="仿宋_GB2312" w:hAnsi="仿宋_GB2312" w:eastAsia="仿宋_GB2312" w:cs="仿宋_GB2312"/>
          <w:kern w:val="2"/>
          <w:sz w:val="32"/>
          <w:szCs w:val="22"/>
          <w:highlight w:val="none"/>
          <w:lang w:val="en-US" w:eastAsia="zh-CN" w:bidi="ar"/>
        </w:rPr>
        <w:t>萨姆·奥尔特曼（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  <w:lang w:val="en-US" w:eastAsia="zh-CN" w:bidi="ar"/>
        </w:rPr>
        <w:t>Sam Altman）在DeepSeek-R1发布后，罕见表态“闭源模式或许站在了历史错误的一边”。2月13日，OpenAI宣布将在未来几个月内推出GPT-5，并向所有用户免费开放（同时设置必要的滥用防控措施）。</w:t>
      </w:r>
    </w:p>
    <w:p w14:paraId="490ADCCD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highlight w:val="none"/>
          <w:lang w:val="en-US" w:eastAsia="zh-CN" w:bidi="ar"/>
        </w:rPr>
        <w:t>二是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AI基础设施成为新一轮投资热点。峰会前夕，法国总统马克龙宣布未来几年将投资1090亿欧元，用于建设AI园区等，打造法国版“星际之门”，以提升本国AI竞争力。峰会召开前，英国、美国、韩国等已纷纷推出AI基础设施投资计划：英国发布“AI机遇行动计划”，将对AI基础设施进行为期10年的投资</w:t>
      </w:r>
      <w:r>
        <w:rPr>
          <w:rStyle w:val="12"/>
          <w:rFonts w:hint="eastAsia" w:ascii="仿宋_GB2312" w:hAnsi="仿宋_GB2312" w:eastAsia="仿宋_GB2312" w:cs="仿宋_GB2312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footnoteReference w:id="0"/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；美国总统特朗普宣布由OpenAI、软银集团和甲骨文等成立合资企业推进“星际之门”项目，计划在未来四年投资5000亿美元在美国建设大规模数据中心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0"/>
          <w:sz w:val="32"/>
          <w:szCs w:val="32"/>
          <w:highlight w:val="none"/>
          <w:lang w:val="en-US" w:eastAsia="zh-CN" w:bidi="ar"/>
        </w:rPr>
        <w:t>等新一代AI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基础设施;韩国宣布《国家AI计算中心建设行动计划》，强调基础设施将成为支持AI时代创新与增长的核心国家资产</w:t>
      </w:r>
      <w:r>
        <w:rPr>
          <w:rStyle w:val="12"/>
          <w:rFonts w:hint="eastAsia" w:ascii="仿宋_GB2312" w:hAnsi="仿宋_GB2312" w:eastAsia="仿宋_GB2312" w:cs="仿宋_GB2312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footnoteReference w:id="1"/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。</w:t>
      </w:r>
    </w:p>
    <w:p w14:paraId="7C0DD4A5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三是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可持续发展成为未来AI发展核心方向。AI在加速实现联合国可持续发展目标上有巨大潜力。斯坦福大学李飞飞教授在峰会开幕式发言中提出，应构建“以人为本的AI”，维护人的尊严、增强人的能力，并促进社会公平。但同时，AI仍需破解高能耗等可持续发展挑战。联合国秘书长古特雷斯（António Guterres）强调，当前AI高能耗模式已对地球环境造成巨大压力，呼吁全球联合行动，通过研发低能耗算法、优化智能电网和改进AI基础设施，实现AI在可持续能源基础上的运行，为全球绿色未来提供助力。</w:t>
      </w:r>
    </w:p>
    <w:p w14:paraId="241D607E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3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highlight w:val="none"/>
          <w:lang w:val="en-US" w:eastAsia="zh-CN" w:bidi="ar"/>
        </w:rPr>
        <w:t>（二）峰会有意弱化安全议题，但安全治理仍任重道远</w:t>
      </w:r>
    </w:p>
    <w:p w14:paraId="42E7F8FD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从峰会议题设置来看，2023年英国AI安全峰会关注前沿AI技术滥用或失控的安全问题，2024年AI首尔峰会延续讨论AI安全保障议题，本次峰会定位为“行动峰会”，对AI安全议题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有所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弱化。</w:t>
      </w:r>
      <w:r>
        <w:rPr>
          <w:rStyle w:val="8"/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vertAlign w:val="superscript"/>
          <w:lang w:val="en-US" w:eastAsia="zh-CN" w:bidi="ar-SA"/>
        </w:rPr>
        <w:footnoteReference w:id="2"/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但从峰会讨论及AI发展实际来看，AI安全治理仍任重道远。</w:t>
      </w:r>
    </w:p>
    <w:p w14:paraId="7607A6D8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3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highlight w:val="none"/>
          <w:lang w:val="en-US" w:eastAsia="zh-CN" w:bidi="ar"/>
        </w:rPr>
        <w:t>一是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AI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安全风险依然突出。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当前，AI技术发展迅猛，由此引发的科技伦理、数据隐私、“深度伪造”等AI安全问题愈发突出，包括AI诈骗、针对某些群体或意见的模型偏见、可靠性问题和隐私侵犯等，仍未得到妥善应对。同时，AI发展可能带来的就业冲击等社会安全风险日益凸显。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参会学者指出，由AI引发的失业危机、工作形式变化、培训投入等问题亟待解决。</w:t>
      </w:r>
    </w:p>
    <w:p w14:paraId="1CE7B1B4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3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二是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多方呼吁加强国际合作来降低现实风险。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  <w:lang w:val="en-US" w:eastAsia="zh-CN" w:bidi="ar"/>
        </w:rPr>
        <w:t>国际治理创新中心全球AI风险倡议执行主任邓肯·卡斯-贝格斯（Duncan Cass-Beggs）在峰会发言中强调，前沿AI出现的失控等极端风险，更加依赖在掌握前沿技术的国家之间进行协调；深度伪造、虚假信息等一般性的AI风险，则更加依赖国内治理。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DeepMind首席执行官德米斯·哈萨比斯（Demis Hassabis）表示，AI的最大风险在于如何确保技术不被恶意使用，这需要加强国际合作,制定全球性的规范和控制机制,以确保AI健康发展。微软总裁布拉德·史密斯（Brad Smith）呼吁各国共同制定AI治理标准应对风险，确保AI可靠应用。</w:t>
      </w:r>
    </w:p>
    <w:p w14:paraId="78433DF3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3" w:firstLineChars="200"/>
        <w:jc w:val="both"/>
        <w:textAlignment w:val="auto"/>
        <w:rPr>
          <w:rFonts w:hint="default" w:ascii="仿宋_GB2312" w:hAnsi="仿宋_GB2312" w:eastAsia="仿宋_GB2312" w:cs="仿宋_GB2312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highlight w:val="none"/>
          <w:lang w:val="en-US" w:eastAsia="zh-CN" w:bidi="ar"/>
        </w:rPr>
        <w:t>三是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中国坚持发展与安全并重理念为AI安全治理提供新路径。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近年来，中国积极推动AI技术应用和安全治理，初步形成了涵盖政府部门和机构、企业等多主体协同的治理生态，在政府支持下成立了对应国际上“AI安全研究所（AISI）”的“中国人工智能发展与安全研究网络”，并在峰会期间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  <w:lang w:val="en-US" w:eastAsia="zh-CN" w:bidi="ar"/>
        </w:rPr>
        <w:t>主办了“人工智能技术进步与应用”边会，探讨如何开展AI治理国际合作。会上多位学者呼吁通过持续的国际合作和对话，推动安全治理，确保AI技术的发展符合人类利益和价值观。</w:t>
      </w:r>
    </w:p>
    <w:p w14:paraId="25E8BCF8">
      <w:pPr>
        <w:widowControl w:val="0"/>
        <w:numPr>
          <w:ilvl w:val="0"/>
          <w:numId w:val="2"/>
        </w:numPr>
        <w:ind w:left="0" w:leftChars="0" w:firstLine="643" w:firstLineChars="200"/>
        <w:jc w:val="both"/>
        <w:rPr>
          <w:rFonts w:hint="default" w:ascii="仿宋_GB2312" w:hAnsi="仿宋_GB2312" w:eastAsia="仿宋_GB2312" w:cs="仿宋_GB2312"/>
          <w:b/>
          <w:bCs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AI全球治理的国际合作面临诸多壁垒</w:t>
      </w:r>
    </w:p>
    <w:p w14:paraId="013F7412">
      <w:pPr>
        <w:widowControl w:val="0"/>
        <w:numPr>
          <w:ilvl w:val="-1"/>
          <w:numId w:val="0"/>
        </w:numPr>
        <w:ind w:left="0" w:leftChars="0" w:firstLine="643" w:firstLineChars="200"/>
        <w:jc w:val="both"/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highlight w:val="none"/>
          <w:lang w:val="en-US" w:eastAsia="zh-CN" w:bidi="ar"/>
        </w:rPr>
        <w:t>一是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美、欧等经济体释放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  <w:lang w:val="en-US" w:eastAsia="zh-CN" w:bidi="ar"/>
        </w:rPr>
        <w:t>“放松监管”信号。2月10日峰会期间，法国总统马克龙和欧盟高级官员表示，欧盟将放松对AI技术开发的监管，以助其“与世界其他地区重新同步”。这表明面临全球AI快速发展格局，欧盟愈发感受到竞争压力，希望通过减少“繁文缛节</w:t>
      </w:r>
      <w:r>
        <w:rPr>
          <w:rFonts w:hint="default" w:ascii="仿宋_GB2312" w:hAnsi="仿宋_GB2312" w:eastAsia="仿宋_GB2312" w:cs="仿宋_GB2312"/>
          <w:kern w:val="0"/>
          <w:sz w:val="32"/>
          <w:szCs w:val="32"/>
          <w:highlight w:val="none"/>
          <w:lang w:val="en-US" w:eastAsia="zh-CN" w:bidi="ar"/>
        </w:rPr>
        <w:t>”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  <w:lang w:val="en-US" w:eastAsia="zh-CN" w:bidi="ar"/>
        </w:rPr>
        <w:t>和“行政负担”在竞争中胜出。1月23日，特朗普签署行政令，废除了此前对美国AI监管具有里程碑意义的《关于安全、可靠和可信地开发和使用人工智能的行政令》，认为该命令阻碍了AI创新，标志着美国联邦政府对AI技术的监管正在发生重大转变。</w:t>
      </w:r>
    </w:p>
    <w:p w14:paraId="607CEC6E">
      <w:pPr>
        <w:widowControl w:val="0"/>
        <w:numPr>
          <w:ilvl w:val="-1"/>
          <w:numId w:val="0"/>
        </w:numPr>
        <w:ind w:left="0" w:leftChars="0" w:firstLine="643" w:firstLineChars="200"/>
        <w:jc w:val="both"/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highlight w:val="none"/>
          <w:lang w:val="en-US" w:eastAsia="zh-CN" w:bidi="ar"/>
        </w:rPr>
        <w:t>二是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  <w:lang w:val="en-US" w:eastAsia="zh-CN" w:bidi="ar"/>
        </w:rPr>
        <w:t>全球AI监管规则的碎片化现象加剧。伴随AI技术快速发展，各国竞相出台监管政策，仅2024年以来就发布了多个相关法规和指南，如欧盟《AI法案》正式生效，英国发布《生成式人工智能框架》，美国拜登政府发布《国家安全人工智能备忘录》，韩国通过《人工智能基本法》，巴西参议院通过《人工智能法》，等等。各国监管政策在为本国AI发展保驾护航的同时，也加大了各国在政策一致性、协调性以及可操作性上的挑战。正如本次峰会特使安妮·布夫罗（Anne Bouverot）所指出的，全球AI监管模式的碎片化已成为治理体系面临的核心挑战之一。</w:t>
      </w:r>
    </w:p>
    <w:p w14:paraId="527D8D6E">
      <w:pPr>
        <w:widowControl w:val="0"/>
        <w:numPr>
          <w:ilvl w:val="-1"/>
          <w:numId w:val="0"/>
        </w:numPr>
        <w:ind w:left="0" w:leftChars="0" w:firstLine="643" w:firstLineChars="200"/>
        <w:jc w:val="both"/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highlight w:val="none"/>
          <w:lang w:val="en-US" w:eastAsia="zh-CN" w:bidi="ar"/>
        </w:rPr>
        <w:t>三是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  <w:lang w:val="en-US" w:eastAsia="zh-CN" w:bidi="ar"/>
        </w:rPr>
        <w:t>AI全球治理的国际协调难度加大。峰会上，美、英未签署声明，在一定程度上反映出主要经济体在AI治理方式和路径上仍然存在较大分歧，AI全球治理仍受到地缘政治的干扰，阻碍国际合作进程。尽管美国并未对拒签声明做出解释，但副总统万斯在峰会演讲时声称要在AI领域推行特朗普的“美国优先”政策，由美国主导芯片、软件和规则，同时批评欧盟“过度”监管。英国则以声明“未能清晰务实地阐述全球治理框架，也未充分解决AI对国家安全的影响”为由，拒绝签署。对此，英国《卫报》称，这将削弱全球协作监管AI技术的希望。</w:t>
      </w:r>
    </w:p>
    <w:p w14:paraId="580D5865">
      <w:pPr>
        <w:numPr>
          <w:ilvl w:val="-1"/>
          <w:numId w:val="0"/>
        </w:numPr>
        <w:ind w:left="630" w:leftChars="0" w:firstLine="0" w:firstLineChars="0"/>
        <w:rPr>
          <w:rFonts w:hint="default" w:ascii="黑体" w:hAnsi="黑体" w:eastAsia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highlight w:val="none"/>
          <w:lang w:val="en-US" w:eastAsia="zh-CN"/>
        </w:rPr>
        <w:t>三、启示与建议</w:t>
      </w:r>
    </w:p>
    <w:p w14:paraId="2088CD41">
      <w:pPr>
        <w:keepNext w:val="0"/>
        <w:keepLines w:val="0"/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22"/>
          <w:highlight w:val="none"/>
          <w:lang w:val="en-US" w:eastAsia="zh-CN"/>
        </w:rPr>
        <w:t>随着AI前沿技术不断突破和应用场景持续拓展，AI进入加速发展期，正在重塑经济社会发展模式。但同时，这一过程伴随着多重潜在风险，体现在</w:t>
      </w:r>
      <w:r>
        <w:rPr>
          <w:rFonts w:hint="eastAsia" w:ascii="仿宋_GB2312" w:hAnsi="仿宋_GB2312" w:eastAsia="仿宋_GB2312" w:cs="仿宋_GB2312"/>
          <w:kern w:val="2"/>
          <w:sz w:val="32"/>
          <w:szCs w:val="22"/>
          <w:highlight w:val="none"/>
          <w:lang w:val="en-US" w:eastAsia="zh-CN" w:bidi="ar"/>
        </w:rPr>
        <w:t>技术层面、伦理安全、国家治理以及社会应用等多个方面，亟须</w:t>
      </w:r>
      <w:r>
        <w:rPr>
          <w:rFonts w:hint="eastAsia" w:ascii="仿宋_GB2312" w:hAnsi="仿宋_GB2312" w:eastAsia="仿宋_GB2312" w:cs="仿宋_GB2312"/>
          <w:sz w:val="32"/>
          <w:szCs w:val="22"/>
          <w:highlight w:val="none"/>
          <w:lang w:val="en-US" w:eastAsia="zh-CN"/>
        </w:rPr>
        <w:t>各国协同应对。</w:t>
      </w:r>
    </w:p>
    <w:p w14:paraId="16AE9F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22"/>
          <w:highlight w:val="none"/>
          <w:lang w:val="en-US" w:eastAsia="zh-CN"/>
        </w:rPr>
        <w:t>我国始终坚持发展与安全并重，以负责任的态度推动AI治理体系建设，积极参与AI全球治理。在国内方面，先后发布《生成式人工智能服务管理暂行办法》《国家人工智能产业综合标准化体系建设指南（2024）》《人工智能安全标准体系1.0》（征求意见稿），并成立工信部人工智能标准化技术委员会。在国际层面，先后发布《全球人工智能治理倡议》、《人工智能全球治理上海宣言》，签署《布莱奇利宣言》，并同各方推动联合国大会通过加强AI能力建设国际合作决议，获得140多个国家支持。</w:t>
      </w:r>
    </w:p>
    <w:p w14:paraId="5A0FC778">
      <w:pPr>
        <w:keepNext w:val="0"/>
        <w:keepLines w:val="0"/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22"/>
          <w:highlight w:val="none"/>
          <w:lang w:val="en-US" w:eastAsia="zh-CN"/>
        </w:rPr>
        <w:t>展望未来，AI全球治理的机遇与挑战并存，为确保AI安全、可持续发展，须坚持开放包容的理念，积极发挥联合国作为全球治理总体框架的协调作用，努力营造健康、有序的AI治理生态。对于我国而言，应加快推进“加强人工智能能力建设国际合作决议”，以能力建设深化AI全球治理合作，创新全球治理实践路径。如，加快优势AI技术“出海”步伐，从“工具型产品”向“系统性基建”升级，通过共建基础设施、共享开源技术和应用方案，推动AI技术惠及更多国家和人群，为缩小国家间的“智能鸿沟”贡献中国方案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。</w:t>
      </w:r>
    </w:p>
    <w:sectPr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9FCA20C-5C11-4CF8-996C-C0A74AFC381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976AAC12-F03C-4B00-98DA-0D4D8BEC6890}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7369593A-956D-416F-96D0-E6710C2FE4FD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FB9C1958-1536-4BEC-B84F-1702517A232D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5" w:fontKey="{61F49157-2188-4FE0-AAF2-DF6C301DB06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6" w:fontKey="{057AD260-6D92-4C4D-9914-9753C1645EEA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049C1C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447BF5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447BF5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6">
    <w:p>
      <w:r>
        <w:separator/>
      </w:r>
    </w:p>
  </w:footnote>
  <w:footnote w:type="continuationSeparator" w:id="7">
    <w:p>
      <w:r>
        <w:continuationSeparator/>
      </w:r>
    </w:p>
  </w:footnote>
  <w:footnote w:id="0">
    <w:p w14:paraId="57DF95B6">
      <w:pPr>
        <w:pStyle w:val="5"/>
        <w:snapToGrid w:val="0"/>
      </w:pPr>
      <w:r>
        <w:rPr>
          <w:rStyle w:val="12"/>
        </w:rPr>
        <w:footnoteRef/>
      </w:r>
      <w:r>
        <w:t xml:space="preserve"> 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5"/>
          <w:szCs w:val="15"/>
        </w:rPr>
        <w:t>GOV.UK. AI Opportunities Action Plan[EB/OL]. 2025.1.13. https://www.gov.uk/government/publications/ai-opportunities-action-plan/ai-opportunities-action-plan#lay-the-foundations.</w:t>
      </w:r>
    </w:p>
  </w:footnote>
  <w:footnote w:id="1">
    <w:p w14:paraId="1B4D04ED">
      <w:pPr>
        <w:pStyle w:val="5"/>
        <w:snapToGrid w:val="0"/>
      </w:pPr>
      <w:r>
        <w:rPr>
          <w:rStyle w:val="12"/>
        </w:rPr>
        <w:footnoteRef/>
      </w:r>
      <w:r>
        <w:t xml:space="preserve"> 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5"/>
          <w:szCs w:val="15"/>
        </w:rPr>
        <w:t>Ministry of Science and ICT. National AI Computing Center Establishment Plan Announced[EB/OL]. 2025.2.3. https://www.korea.net/Government/Briefing-Room/Press-Releases/view?articleId=7810&amp;type=O.</w:t>
      </w:r>
    </w:p>
  </w:footnote>
  <w:footnote w:id="2">
    <w:p w14:paraId="5A75EB16">
      <w:pPr>
        <w:pStyle w:val="5"/>
        <w:snapToGrid w:val="0"/>
      </w:pPr>
      <w:r>
        <w:rPr>
          <w:rStyle w:val="12"/>
        </w:rPr>
        <w:footnoteRef/>
      </w:r>
      <w:r>
        <w:t xml:space="preserve"> 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5"/>
          <w:szCs w:val="15"/>
        </w:rPr>
        <w:t>Carnegie Endowment for International Peace. France’s AI Summit Is a Chance to Reshape Global Narratives on AI[EB/OL]. 2024.7.24. https://carnegieendowment.org/posts/2024/07/france-ai-summit-reshape-global-narrative?lang=en.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CE14F"/>
    <w:multiLevelType w:val="singleLevel"/>
    <w:tmpl w:val="80BCE14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8620BCD"/>
    <w:multiLevelType w:val="singleLevel"/>
    <w:tmpl w:val="58620BCD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6"/>
    <w:footnote w:id="7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D0110C"/>
    <w:rsid w:val="03015719"/>
    <w:rsid w:val="03435D32"/>
    <w:rsid w:val="037B13C7"/>
    <w:rsid w:val="03CA3D5D"/>
    <w:rsid w:val="05B2719F"/>
    <w:rsid w:val="069F3BC7"/>
    <w:rsid w:val="07DB0C2F"/>
    <w:rsid w:val="08557237"/>
    <w:rsid w:val="09F935EE"/>
    <w:rsid w:val="0C0C1E3C"/>
    <w:rsid w:val="0CF378B4"/>
    <w:rsid w:val="10D0110C"/>
    <w:rsid w:val="1132631F"/>
    <w:rsid w:val="118D010C"/>
    <w:rsid w:val="119105B0"/>
    <w:rsid w:val="132A6788"/>
    <w:rsid w:val="14467430"/>
    <w:rsid w:val="14A70CCC"/>
    <w:rsid w:val="14E71C36"/>
    <w:rsid w:val="150E1EF2"/>
    <w:rsid w:val="155B33AF"/>
    <w:rsid w:val="158B05A1"/>
    <w:rsid w:val="1A52362A"/>
    <w:rsid w:val="21004DB3"/>
    <w:rsid w:val="21DC097F"/>
    <w:rsid w:val="225A78FA"/>
    <w:rsid w:val="24FA2555"/>
    <w:rsid w:val="261D1FBA"/>
    <w:rsid w:val="266C18F2"/>
    <w:rsid w:val="2749346B"/>
    <w:rsid w:val="27764C2E"/>
    <w:rsid w:val="28143DE4"/>
    <w:rsid w:val="284504E3"/>
    <w:rsid w:val="29034E58"/>
    <w:rsid w:val="290673BE"/>
    <w:rsid w:val="2B89314A"/>
    <w:rsid w:val="2D3C09A2"/>
    <w:rsid w:val="2D8774DC"/>
    <w:rsid w:val="2FA21C69"/>
    <w:rsid w:val="315C5768"/>
    <w:rsid w:val="33370B5F"/>
    <w:rsid w:val="342A048B"/>
    <w:rsid w:val="349603BB"/>
    <w:rsid w:val="35FF1CFA"/>
    <w:rsid w:val="38FB43DD"/>
    <w:rsid w:val="39224BC9"/>
    <w:rsid w:val="3A4C5F5D"/>
    <w:rsid w:val="3B450E45"/>
    <w:rsid w:val="3E2C0F8D"/>
    <w:rsid w:val="3E3672E3"/>
    <w:rsid w:val="41D43A1D"/>
    <w:rsid w:val="42CD0137"/>
    <w:rsid w:val="43E3400D"/>
    <w:rsid w:val="45AB6791"/>
    <w:rsid w:val="466A159B"/>
    <w:rsid w:val="46C511A2"/>
    <w:rsid w:val="46D64180"/>
    <w:rsid w:val="48CC048C"/>
    <w:rsid w:val="4AFC2761"/>
    <w:rsid w:val="4C754370"/>
    <w:rsid w:val="4F3757FE"/>
    <w:rsid w:val="50D9708E"/>
    <w:rsid w:val="51A91453"/>
    <w:rsid w:val="521A5DD9"/>
    <w:rsid w:val="54BC1222"/>
    <w:rsid w:val="54BF63DC"/>
    <w:rsid w:val="556F05DF"/>
    <w:rsid w:val="56494542"/>
    <w:rsid w:val="56EF6ED8"/>
    <w:rsid w:val="57675C50"/>
    <w:rsid w:val="5AAE2C06"/>
    <w:rsid w:val="5AC94506"/>
    <w:rsid w:val="5E8B64A8"/>
    <w:rsid w:val="5EED6DB4"/>
    <w:rsid w:val="5F855056"/>
    <w:rsid w:val="5FDF1DD8"/>
    <w:rsid w:val="61971575"/>
    <w:rsid w:val="64281E94"/>
    <w:rsid w:val="64C91520"/>
    <w:rsid w:val="664F7D32"/>
    <w:rsid w:val="674C517C"/>
    <w:rsid w:val="68036BB6"/>
    <w:rsid w:val="6A6159EE"/>
    <w:rsid w:val="6A7259FE"/>
    <w:rsid w:val="6A894958"/>
    <w:rsid w:val="6BE2229F"/>
    <w:rsid w:val="6D6C0F9C"/>
    <w:rsid w:val="6D810241"/>
    <w:rsid w:val="6F765F90"/>
    <w:rsid w:val="734B7947"/>
    <w:rsid w:val="735459F5"/>
    <w:rsid w:val="74DD5F53"/>
    <w:rsid w:val="74F6722B"/>
    <w:rsid w:val="78FD6DB3"/>
    <w:rsid w:val="7FA92DF2"/>
    <w:rsid w:val="7FE21D5C"/>
    <w:rsid w:val="7FF3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character" w:styleId="12">
    <w:name w:val="footnote reference"/>
    <w:basedOn w:val="8"/>
    <w:qFormat/>
    <w:uiPriority w:val="0"/>
    <w:rPr>
      <w:rFonts w:ascii="Calibri" w:hAnsi="Calibri" w:eastAsia="宋体"/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中国电信股份有限公司研究院</Company>
  <Pages>8</Pages>
  <Words>3620</Words>
  <Characters>3982</Characters>
  <Lines>0</Lines>
  <Paragraphs>0</Paragraphs>
  <TotalTime>55</TotalTime>
  <ScaleCrop>false</ScaleCrop>
  <LinksUpToDate>false</LinksUpToDate>
  <CharactersWithSpaces>3996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2025-02-14T02:15:00Z</dcterms:created>
  <dc:creator>NA</dc:creator>
  <cp:lastModifiedBy>NA</cp:lastModifiedBy>
  <dcterms:modified xsi:type="dcterms:W3CDTF">2025-02-18T11:27:39Z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781DF6D0400C4B639A0697A87FF0780B_13</vt:lpwstr>
  </property>
  <property fmtid="{D5CDD505-2E9C-101B-9397-08002B2CF9AE}" pid="4" name="KSOTemplateDocerSaveRecord">
    <vt:lpwstr>eyJoZGlkIjoiYTRkZmY5MDJiNzFkYzkxZTczNjQ2ZjE3ODc2MTQ2MGMiLCJ1c2VySWQiOiI2MTEyODA0NTUifQ==</vt:lpwstr>
  </property>
</Properties>
</file>