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30"/>
        <w:spacing w:before="212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当前我国经济复苏形势及是否通货紧缩的</w:t>
      </w:r>
    </w:p>
    <w:p>
      <w:pPr>
        <w:ind w:left="3732"/>
        <w:spacing w:before="98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分析</w:t>
      </w:r>
    </w:p>
    <w:p>
      <w:pPr>
        <w:ind w:left="3457"/>
        <w:spacing w:before="328" w:line="212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3"/>
        </w:rPr>
        <w:t>文/</w:t>
      </w:r>
      <w:r>
        <w:rPr>
          <w:rFonts w:ascii="STKaiti" w:hAnsi="STKaiti" w:eastAsia="STKaiti" w:cs="STKaiti"/>
          <w:sz w:val="30"/>
          <w:szCs w:val="30"/>
          <w:spacing w:val="20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3"/>
        </w:rPr>
        <w:t>艾宝林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left="34" w:right="83" w:firstLine="599"/>
        <w:spacing w:before="97" w:line="259" w:lineRule="auto"/>
        <w:jc w:val="both"/>
        <w:rPr/>
      </w:pPr>
      <w:r>
        <w:rPr>
          <w:spacing w:val="-4"/>
        </w:rPr>
        <w:t>今年</w:t>
      </w:r>
      <w:r>
        <w:rPr>
          <w:spacing w:val="-4"/>
        </w:rPr>
        <w:t xml:space="preserve"> </w:t>
      </w:r>
      <w:r>
        <w:rPr>
          <w:spacing w:val="-4"/>
        </w:rPr>
        <w:t>1～4</w:t>
      </w:r>
      <w:r>
        <w:rPr>
          <w:spacing w:val="-4"/>
        </w:rPr>
        <w:t xml:space="preserve"> </w:t>
      </w:r>
      <w:r>
        <w:rPr>
          <w:spacing w:val="-4"/>
        </w:rPr>
        <w:t>月我国经济运行主要数据陆续出台，经济复</w:t>
      </w:r>
      <w:r>
        <w:rPr>
          <w:spacing w:val="-5"/>
        </w:rPr>
        <w:t>苏步</w:t>
      </w:r>
      <w:r>
        <w:rPr>
          <w:spacing w:val="-11"/>
        </w:rPr>
        <w:t>伐低于市场预期，复苏存在较为明显的不充分不均衡特征，且</w:t>
      </w:r>
      <w:r>
        <w:rPr>
          <w:spacing w:val="-82"/>
        </w:rPr>
        <w:t xml:space="preserve"> </w:t>
      </w:r>
      <w:r>
        <w:rPr>
          <w:spacing w:val="-11"/>
        </w:rPr>
        <w:t>CPI</w:t>
      </w:r>
      <w:r>
        <w:rPr>
          <w:spacing w:val="-3"/>
        </w:rPr>
        <w:t>增长接连两月低迷引发经济是否通缩争论。</w:t>
      </w:r>
    </w:p>
    <w:p>
      <w:pPr>
        <w:pStyle w:val="BodyText"/>
        <w:ind w:left="33" w:right="85" w:firstLine="602"/>
        <w:spacing w:before="280" w:line="259" w:lineRule="auto"/>
        <w:jc w:val="both"/>
        <w:rPr/>
      </w:pPr>
      <w:r>
        <w:rPr>
          <w:spacing w:val="7"/>
        </w:rPr>
        <w:t>本文认为发展条件变化和有效需求不足制约是导致经济复</w:t>
      </w:r>
      <w:r>
        <w:rPr>
          <w:spacing w:val="-4"/>
        </w:rPr>
        <w:t>苏不充分和不均衡的主因，并通过梳理智库观点、理论</w:t>
      </w:r>
      <w:r>
        <w:rPr>
          <w:spacing w:val="-5"/>
        </w:rPr>
        <w:t>分析认为</w:t>
      </w:r>
      <w:r>
        <w:rPr>
          <w:spacing w:val="-8"/>
        </w:rPr>
        <w:t>我国物价低迷将在年内持续一段时间但不构成通缩</w:t>
      </w:r>
      <w:r>
        <w:rPr>
          <w:spacing w:val="-9"/>
        </w:rPr>
        <w:t>。同时，</w:t>
      </w:r>
      <w:r>
        <w:rPr>
          <w:spacing w:val="-36"/>
        </w:rPr>
        <w:t xml:space="preserve"> </w:t>
      </w:r>
      <w:r>
        <w:rPr>
          <w:spacing w:val="-9"/>
        </w:rPr>
        <w:t>经济</w:t>
      </w:r>
      <w:r>
        <w:rPr>
          <w:spacing w:val="6"/>
        </w:rPr>
        <w:t>复苏不充分不均衡所折射出的市场信心不足已经并将持续冲击</w:t>
      </w:r>
      <w:r>
        <w:rPr>
          <w:spacing w:val="-4"/>
        </w:rPr>
        <w:t>通信业现金牛业务发展，所折射出的企业生产活动收缩将制</w:t>
      </w:r>
      <w:r>
        <w:rPr>
          <w:spacing w:val="-5"/>
        </w:rPr>
        <w:t>约产</w:t>
      </w:r>
      <w:r>
        <w:rPr>
          <w:spacing w:val="-6"/>
        </w:rPr>
        <w:t>数业务高增长势头。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一、1～4</w:t>
      </w:r>
      <w:r>
        <w:rPr>
          <w:rFonts w:ascii="SimHei" w:hAnsi="SimHei" w:eastAsia="SimHei" w:cs="SimHei"/>
          <w:sz w:val="31"/>
          <w:szCs w:val="31"/>
          <w:spacing w:val="-41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月我国经济复苏形势分析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．我国经济恢复步伐低于市场预期</w:t>
      </w:r>
    </w:p>
    <w:p>
      <w:pPr>
        <w:ind w:left="1509"/>
        <w:spacing w:before="306" w:line="207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表</w:t>
      </w:r>
      <w:r>
        <w:rPr>
          <w:rFonts w:ascii="KaiTi" w:hAnsi="KaiTi" w:eastAsia="KaiTi" w:cs="KaiTi"/>
          <w:sz w:val="30"/>
          <w:szCs w:val="30"/>
          <w:spacing w:val="-4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1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2023</w:t>
      </w:r>
      <w:r>
        <w:rPr>
          <w:rFonts w:ascii="KaiTi" w:hAnsi="KaiTi" w:eastAsia="KaiTi" w:cs="KaiTi"/>
          <w:sz w:val="30"/>
          <w:szCs w:val="30"/>
          <w:spacing w:val="-6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年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4</w:t>
      </w:r>
      <w:r>
        <w:rPr>
          <w:rFonts w:ascii="KaiTi" w:hAnsi="KaiTi" w:eastAsia="KaiTi" w:cs="KaiTi"/>
          <w:sz w:val="30"/>
          <w:szCs w:val="30"/>
          <w:spacing w:val="-5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月当月数据</w:t>
      </w:r>
      <w:r>
        <w:rPr>
          <w:rFonts w:ascii="KaiTi" w:hAnsi="KaiTi" w:eastAsia="KaiTi" w:cs="KaiTi"/>
          <w:sz w:val="30"/>
          <w:szCs w:val="30"/>
          <w:spacing w:val="-7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VS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市场预期</w:t>
      </w:r>
    </w:p>
    <w:tbl>
      <w:tblPr>
        <w:tblStyle w:val="TableNormal"/>
        <w:tblW w:w="8218" w:type="dxa"/>
        <w:tblInd w:w="5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17"/>
        <w:gridCol w:w="1842"/>
        <w:gridCol w:w="2550"/>
        <w:gridCol w:w="2409"/>
      </w:tblGrid>
      <w:tr>
        <w:trPr>
          <w:trHeight w:val="254" w:hRule="atLeast"/>
        </w:trPr>
        <w:tc>
          <w:tcPr>
            <w:shd w:val="clear" w:fill="DEEAF6"/>
            <w:tcW w:w="3259" w:type="dxa"/>
            <w:vAlign w:val="top"/>
            <w:gridSpan w:val="2"/>
          </w:tcPr>
          <w:p>
            <w:pPr>
              <w:pStyle w:val="TableText"/>
              <w:ind w:left="1453"/>
              <w:spacing w:before="33" w:line="207" w:lineRule="auto"/>
              <w:rPr/>
            </w:pPr>
            <w:r>
              <w:rPr>
                <w:spacing w:val="-2"/>
              </w:rPr>
              <w:t>指标</w:t>
            </w:r>
          </w:p>
        </w:tc>
        <w:tc>
          <w:tcPr>
            <w:shd w:val="clear" w:fill="DEEAF6"/>
            <w:tcW w:w="2550" w:type="dxa"/>
            <w:vAlign w:val="top"/>
          </w:tcPr>
          <w:p>
            <w:pPr>
              <w:pStyle w:val="TableText"/>
              <w:ind w:left="938"/>
              <w:spacing w:before="33" w:line="207" w:lineRule="auto"/>
              <w:rPr/>
            </w:pPr>
            <w:r>
              <w:rPr>
                <w:spacing w:val="-3"/>
              </w:rPr>
              <w:t>4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月数据</w:t>
            </w:r>
          </w:p>
        </w:tc>
        <w:tc>
          <w:tcPr>
            <w:shd w:val="clear" w:fill="DEEAF6"/>
            <w:tcW w:w="2409" w:type="dxa"/>
            <w:vAlign w:val="top"/>
          </w:tcPr>
          <w:p>
            <w:pPr>
              <w:pStyle w:val="TableText"/>
              <w:ind w:left="761"/>
              <w:spacing w:before="33" w:line="207" w:lineRule="auto"/>
              <w:rPr/>
            </w:pPr>
            <w:r>
              <w:rPr>
                <w:spacing w:val="-2"/>
              </w:rPr>
              <w:t>市场预期值</w:t>
            </w:r>
          </w:p>
        </w:tc>
      </w:tr>
      <w:tr>
        <w:trPr>
          <w:trHeight w:val="316" w:hRule="atLeast"/>
        </w:trPr>
        <w:tc>
          <w:tcPr>
            <w:tcW w:w="141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54"/>
              <w:spacing w:before="224" w:line="225" w:lineRule="auto"/>
              <w:rPr/>
            </w:pPr>
            <w:r>
              <w:rPr>
                <w:spacing w:val="-2"/>
              </w:rPr>
              <w:t>经济增长</w:t>
            </w:r>
          </w:p>
        </w:tc>
        <w:tc>
          <w:tcPr>
            <w:tcW w:w="1842" w:type="dxa"/>
            <w:vAlign w:val="top"/>
          </w:tcPr>
          <w:p>
            <w:pPr>
              <w:pStyle w:val="TableText"/>
              <w:ind w:left="554"/>
              <w:spacing w:before="60" w:line="226" w:lineRule="auto"/>
              <w:rPr/>
            </w:pPr>
            <w:r>
              <w:rPr>
                <w:spacing w:val="-2"/>
              </w:rPr>
              <w:t>GDP 增速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398"/>
              <w:spacing w:before="62" w:line="223" w:lineRule="auto"/>
              <w:rPr/>
            </w:pPr>
            <w:r>
              <w:rPr>
                <w:spacing w:val="-3"/>
              </w:rPr>
              <w:t>4.5%（一季度，右同）</w:t>
            </w:r>
          </w:p>
        </w:tc>
        <w:tc>
          <w:tcPr>
            <w:tcW w:w="2409" w:type="dxa"/>
            <w:vAlign w:val="top"/>
          </w:tcPr>
          <w:p>
            <w:pPr>
              <w:pStyle w:val="TableText"/>
              <w:ind w:left="557"/>
              <w:spacing w:before="63" w:line="226" w:lineRule="auto"/>
              <w:rPr/>
            </w:pPr>
            <w:r>
              <w:rPr>
                <w:spacing w:val="-1"/>
              </w:rPr>
              <w:t>一季度 3.8%-4.0%</w:t>
            </w:r>
          </w:p>
        </w:tc>
      </w:tr>
      <w:tr>
        <w:trPr>
          <w:trHeight w:val="317" w:hRule="atLeast"/>
        </w:trPr>
        <w:tc>
          <w:tcPr>
            <w:tcW w:w="141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</w:tcPr>
          <w:p>
            <w:pPr>
              <w:pStyle w:val="TableText"/>
              <w:ind w:left="112"/>
              <w:spacing w:before="63" w:line="226" w:lineRule="auto"/>
              <w:rPr/>
            </w:pPr>
            <w:r>
              <w:rPr>
                <w:spacing w:val="-1"/>
              </w:rPr>
              <w:t>规模以上工业增加值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1124"/>
              <w:spacing w:before="63"/>
              <w:rPr/>
            </w:pPr>
            <w:r>
              <w:rPr>
                <w:spacing w:val="-3"/>
              </w:rPr>
              <w:t>5.6%</w:t>
            </w:r>
          </w:p>
        </w:tc>
        <w:tc>
          <w:tcPr>
            <w:tcW w:w="2409" w:type="dxa"/>
            <w:vAlign w:val="top"/>
          </w:tcPr>
          <w:p>
            <w:pPr>
              <w:pStyle w:val="TableText"/>
              <w:ind w:left="301"/>
              <w:spacing w:before="64" w:line="226" w:lineRule="auto"/>
              <w:rPr/>
            </w:pPr>
            <w:r>
              <w:rPr>
                <w:spacing w:val="-2"/>
              </w:rPr>
              <w:t>7.5%-12.6%，中值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10.6%</w:t>
            </w:r>
          </w:p>
        </w:tc>
      </w:tr>
      <w:tr>
        <w:trPr>
          <w:trHeight w:val="318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355"/>
              <w:spacing w:before="30" w:line="224" w:lineRule="auto"/>
              <w:rPr/>
            </w:pPr>
            <w:r>
              <w:rPr>
                <w:spacing w:val="-2"/>
              </w:rPr>
              <w:t>消费需求</w:t>
            </w:r>
          </w:p>
        </w:tc>
        <w:tc>
          <w:tcPr>
            <w:tcW w:w="1842" w:type="dxa"/>
            <w:vAlign w:val="top"/>
          </w:tcPr>
          <w:p>
            <w:pPr>
              <w:pStyle w:val="TableText"/>
              <w:ind w:left="111"/>
              <w:spacing w:before="63" w:line="224" w:lineRule="auto"/>
              <w:rPr/>
            </w:pPr>
            <w:r>
              <w:rPr>
                <w:spacing w:val="-1"/>
              </w:rPr>
              <w:t>社会消费品零售总额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1079"/>
              <w:spacing w:before="66" w:line="238" w:lineRule="auto"/>
              <w:rPr/>
            </w:pPr>
            <w:r>
              <w:rPr>
                <w:spacing w:val="-3"/>
              </w:rPr>
              <w:t>18.6%</w:t>
            </w:r>
          </w:p>
        </w:tc>
        <w:tc>
          <w:tcPr>
            <w:tcW w:w="2409" w:type="dxa"/>
            <w:vAlign w:val="top"/>
          </w:tcPr>
          <w:p>
            <w:pPr>
              <w:pStyle w:val="TableText"/>
              <w:ind w:left="1005"/>
              <w:spacing w:before="66" w:line="238" w:lineRule="auto"/>
              <w:rPr/>
            </w:pPr>
            <w:r>
              <w:rPr>
                <w:spacing w:val="-2"/>
              </w:rPr>
              <w:t>20.2%</w:t>
            </w:r>
          </w:p>
        </w:tc>
      </w:tr>
      <w:tr>
        <w:trPr>
          <w:trHeight w:val="246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350"/>
              <w:spacing w:before="28" w:line="204" w:lineRule="auto"/>
              <w:rPr/>
            </w:pPr>
            <w:r>
              <w:rPr>
                <w:spacing w:val="-1"/>
              </w:rPr>
              <w:t>投资需求</w:t>
            </w:r>
          </w:p>
        </w:tc>
        <w:tc>
          <w:tcPr>
            <w:tcW w:w="1842" w:type="dxa"/>
            <w:vAlign w:val="top"/>
          </w:tcPr>
          <w:p>
            <w:pPr>
              <w:pStyle w:val="TableText"/>
              <w:ind w:left="219"/>
              <w:spacing w:before="28" w:line="204" w:lineRule="auto"/>
              <w:rPr/>
            </w:pPr>
            <w:r>
              <w:rPr>
                <w:spacing w:val="-3"/>
              </w:rPr>
              <w:t>固定资产投资增速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414"/>
              <w:spacing w:before="28" w:line="204" w:lineRule="auto"/>
              <w:rPr/>
            </w:pPr>
            <w:r>
              <w:rPr>
                <w:spacing w:val="-3"/>
              </w:rPr>
              <w:t>4.7%（1-4 月，右同）</w:t>
            </w:r>
          </w:p>
        </w:tc>
        <w:tc>
          <w:tcPr>
            <w:tcW w:w="2409" w:type="dxa"/>
            <w:vAlign w:val="top"/>
          </w:tcPr>
          <w:p>
            <w:pPr>
              <w:pStyle w:val="TableText"/>
              <w:ind w:left="1053"/>
              <w:spacing w:before="28" w:line="204" w:lineRule="auto"/>
              <w:rPr/>
            </w:pPr>
            <w:r>
              <w:rPr>
                <w:spacing w:val="-3"/>
              </w:rPr>
              <w:t>5.7%</w:t>
            </w:r>
          </w:p>
        </w:tc>
      </w:tr>
      <w:tr>
        <w:trPr>
          <w:trHeight w:val="493" w:hRule="atLeast"/>
        </w:trPr>
        <w:tc>
          <w:tcPr>
            <w:tcW w:w="1417" w:type="dxa"/>
            <w:vAlign w:val="top"/>
            <w:vMerge w:val="restart"/>
            <w:tcBorders>
              <w:bottom w:val="nil"/>
            </w:tcBorders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7"/>
              <w:spacing w:before="61" w:line="226" w:lineRule="auto"/>
              <w:rPr/>
            </w:pPr>
            <w:r>
              <w:rPr>
                <w:spacing w:val="-2"/>
              </w:rPr>
              <w:t>净出口需求</w:t>
            </w:r>
          </w:p>
        </w:tc>
        <w:tc>
          <w:tcPr>
            <w:tcW w:w="1842" w:type="dxa"/>
            <w:vAlign w:val="top"/>
          </w:tcPr>
          <w:p>
            <w:pPr>
              <w:pStyle w:val="TableText"/>
              <w:ind w:left="467"/>
              <w:spacing w:before="152" w:line="224" w:lineRule="auto"/>
              <w:rPr/>
            </w:pPr>
            <w:r>
              <w:rPr/>
              <w:t>—出口总额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1079"/>
              <w:spacing w:before="31" w:line="239" w:lineRule="auto"/>
              <w:rPr/>
            </w:pPr>
            <w:r>
              <w:rPr>
                <w:spacing w:val="-3"/>
              </w:rPr>
              <w:t>16.8%</w:t>
            </w:r>
          </w:p>
          <w:p>
            <w:pPr>
              <w:pStyle w:val="TableText"/>
              <w:ind w:left="619"/>
              <w:spacing w:line="205" w:lineRule="auto"/>
              <w:rPr/>
            </w:pPr>
            <w:r>
              <w:rPr>
                <w:spacing w:val="-1"/>
              </w:rPr>
              <w:t>(8.5%，美元计价)</w:t>
            </w:r>
          </w:p>
        </w:tc>
        <w:tc>
          <w:tcPr>
            <w:tcW w:w="2409" w:type="dxa"/>
            <w:vAlign w:val="top"/>
          </w:tcPr>
          <w:p>
            <w:pPr>
              <w:pStyle w:val="TableText"/>
              <w:ind w:left="447"/>
              <w:spacing w:before="274" w:line="205" w:lineRule="auto"/>
              <w:rPr/>
            </w:pPr>
            <w:r>
              <w:rPr>
                <w:spacing w:val="-6"/>
              </w:rPr>
              <w:t>（6.4%，美元计价）</w:t>
            </w:r>
          </w:p>
        </w:tc>
      </w:tr>
      <w:tr>
        <w:trPr>
          <w:trHeight w:val="491" w:hRule="atLeast"/>
        </w:trPr>
        <w:tc>
          <w:tcPr>
            <w:tcW w:w="141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</w:tcPr>
          <w:p>
            <w:pPr>
              <w:pStyle w:val="TableText"/>
              <w:ind w:left="467"/>
              <w:spacing w:before="153" w:line="224" w:lineRule="auto"/>
              <w:rPr/>
            </w:pPr>
            <w:r>
              <w:rPr/>
              <w:t>—进口总额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1087"/>
              <w:spacing w:before="30" w:line="239" w:lineRule="auto"/>
              <w:rPr/>
            </w:pPr>
            <w:r>
              <w:rPr>
                <w:spacing w:val="-4"/>
              </w:rPr>
              <w:t>-0.8%</w:t>
            </w:r>
          </w:p>
          <w:p>
            <w:pPr>
              <w:pStyle w:val="TableText"/>
              <w:ind w:left="472"/>
              <w:spacing w:line="204" w:lineRule="auto"/>
              <w:rPr/>
            </w:pPr>
            <w:r>
              <w:rPr>
                <w:spacing w:val="-6"/>
              </w:rPr>
              <w:t>（-7.9%，美元计价）</w:t>
            </w:r>
          </w:p>
        </w:tc>
        <w:tc>
          <w:tcPr>
            <w:tcW w:w="2409" w:type="dxa"/>
            <w:vAlign w:val="top"/>
          </w:tcPr>
          <w:p>
            <w:pPr>
              <w:pStyle w:val="TableText"/>
              <w:ind w:left="356"/>
              <w:spacing w:before="273" w:line="204" w:lineRule="auto"/>
              <w:rPr/>
            </w:pPr>
            <w:r>
              <w:rPr>
                <w:spacing w:val="-5"/>
              </w:rPr>
              <w:t>（-0.12%，美元计价）</w:t>
            </w:r>
          </w:p>
        </w:tc>
      </w:tr>
      <w:tr>
        <w:trPr>
          <w:trHeight w:val="249" w:hRule="atLeast"/>
        </w:trPr>
        <w:tc>
          <w:tcPr>
            <w:tcW w:w="141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29"/>
              <w:spacing w:before="159" w:line="226" w:lineRule="auto"/>
              <w:rPr/>
            </w:pPr>
            <w:r>
              <w:rPr>
                <w:spacing w:val="-2"/>
              </w:rPr>
              <w:t>价格</w:t>
            </w:r>
          </w:p>
        </w:tc>
        <w:tc>
          <w:tcPr>
            <w:tcW w:w="1842" w:type="dxa"/>
            <w:vAlign w:val="top"/>
          </w:tcPr>
          <w:p>
            <w:pPr>
              <w:pStyle w:val="TableText"/>
              <w:ind w:left="802"/>
              <w:spacing w:before="59" w:line="177" w:lineRule="auto"/>
              <w:rPr/>
            </w:pPr>
            <w:r>
              <w:rPr>
                <w:spacing w:val="-4"/>
              </w:rPr>
              <w:t>CPI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1122"/>
              <w:spacing w:before="31" w:line="204" w:lineRule="auto"/>
              <w:rPr/>
            </w:pPr>
            <w:r>
              <w:rPr>
                <w:spacing w:val="-2"/>
              </w:rPr>
              <w:t>0.1%</w:t>
            </w:r>
          </w:p>
        </w:tc>
        <w:tc>
          <w:tcPr>
            <w:tcW w:w="2409" w:type="dxa"/>
            <w:vAlign w:val="top"/>
          </w:tcPr>
          <w:p>
            <w:pPr>
              <w:pStyle w:val="TableText"/>
              <w:ind w:left="1052"/>
              <w:spacing w:before="31" w:line="204" w:lineRule="auto"/>
              <w:rPr/>
            </w:pPr>
            <w:r>
              <w:rPr>
                <w:spacing w:val="-2"/>
              </w:rPr>
              <w:t>0.4%</w:t>
            </w:r>
          </w:p>
        </w:tc>
      </w:tr>
      <w:tr>
        <w:trPr>
          <w:trHeight w:val="254" w:hRule="atLeast"/>
        </w:trPr>
        <w:tc>
          <w:tcPr>
            <w:tcW w:w="141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2" w:type="dxa"/>
            <w:vAlign w:val="top"/>
          </w:tcPr>
          <w:p>
            <w:pPr>
              <w:pStyle w:val="TableText"/>
              <w:ind w:left="813"/>
              <w:spacing w:before="61" w:line="180" w:lineRule="auto"/>
              <w:rPr/>
            </w:pPr>
            <w:r>
              <w:rPr>
                <w:spacing w:val="-6"/>
              </w:rPr>
              <w:t>PPI</w:t>
            </w:r>
          </w:p>
        </w:tc>
        <w:tc>
          <w:tcPr>
            <w:tcW w:w="2550" w:type="dxa"/>
            <w:vAlign w:val="top"/>
          </w:tcPr>
          <w:p>
            <w:pPr>
              <w:pStyle w:val="TableText"/>
              <w:ind w:left="1087"/>
              <w:spacing w:before="32" w:line="208" w:lineRule="auto"/>
              <w:rPr/>
            </w:pPr>
            <w:r>
              <w:rPr>
                <w:spacing w:val="-4"/>
              </w:rPr>
              <w:t>-3.6%</w:t>
            </w:r>
          </w:p>
        </w:tc>
        <w:tc>
          <w:tcPr>
            <w:tcW w:w="2409" w:type="dxa"/>
            <w:vAlign w:val="top"/>
          </w:tcPr>
          <w:p>
            <w:pPr>
              <w:pStyle w:val="TableText"/>
              <w:ind w:left="1017"/>
              <w:spacing w:before="32" w:line="208" w:lineRule="auto"/>
              <w:rPr/>
            </w:pPr>
            <w:r>
              <w:rPr>
                <w:spacing w:val="-4"/>
              </w:rPr>
              <w:t>-3.3%</w:t>
            </w:r>
          </w:p>
        </w:tc>
      </w:tr>
    </w:tbl>
    <w:p>
      <w:pPr>
        <w:ind w:left="4759"/>
        <w:spacing w:before="44" w:line="226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21"/>
          <w:szCs w:val="21"/>
          <w:spacing w:val="-1"/>
        </w:rPr>
        <w:t>来源：根据国家统计局等公开资料整理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ind w:left="26" w:firstLine="604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一季度我国经济增长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4.5%</w:t>
      </w:r>
      <w:r>
        <w:rPr>
          <w:rFonts w:ascii="SimSun" w:hAnsi="SimSun" w:eastAsia="SimSun" w:cs="SimSun"/>
          <w:sz w:val="30"/>
          <w:szCs w:val="30"/>
          <w:spacing w:val="-6"/>
        </w:rPr>
        <w:t>，高于此前机构预测的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3.8~4.0%</w:t>
      </w:r>
      <w:r>
        <w:rPr>
          <w:rFonts w:ascii="SimSun" w:hAnsi="SimSun" w:eastAsia="SimSun" w:cs="SimSun"/>
          <w:sz w:val="30"/>
          <w:szCs w:val="30"/>
          <w:spacing w:val="-6"/>
        </w:rPr>
        <w:t>，</w:t>
      </w:r>
      <w:r>
        <w:rPr>
          <w:rFonts w:ascii="SimSun" w:hAnsi="SimSun" w:eastAsia="SimSun" w:cs="SimSun"/>
          <w:sz w:val="30"/>
          <w:szCs w:val="30"/>
          <w:spacing w:val="-5"/>
        </w:rPr>
        <w:t>服务性消费恢复、面向东盟超预期出口是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3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月份经济增速大幅好</w:t>
      </w:r>
      <w:r>
        <w:rPr>
          <w:rFonts w:ascii="SimSun" w:hAnsi="SimSun" w:eastAsia="SimSun" w:cs="SimSun"/>
          <w:sz w:val="30"/>
          <w:szCs w:val="30"/>
          <w:spacing w:val="-5"/>
        </w:rPr>
        <w:t>于市场预期的主要原因。但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4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月相关数据显示，除出口需求指标</w:t>
      </w:r>
    </w:p>
    <w:p>
      <w:pPr>
        <w:spacing w:line="259" w:lineRule="auto"/>
        <w:sectPr>
          <w:pgSz w:w="11907" w:h="16839"/>
          <w:pgMar w:top="1431" w:right="171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5" w:right="205" w:firstLine="7"/>
        <w:spacing w:before="87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外，我国经济发展的增长、需求、价格等绝大部分指标均低于市</w:t>
      </w:r>
      <w:r>
        <w:rPr>
          <w:rFonts w:ascii="SimSun" w:hAnsi="SimSun" w:eastAsia="SimSun" w:cs="SimSun"/>
          <w:sz w:val="30"/>
          <w:szCs w:val="30"/>
          <w:spacing w:val="-11"/>
        </w:rPr>
        <w:t>场预期。</w:t>
      </w:r>
    </w:p>
    <w:p>
      <w:pPr>
        <w:ind w:left="624"/>
        <w:spacing w:before="271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．我国经济复苏存在较大不充分、不均衡</w:t>
      </w:r>
    </w:p>
    <w:p>
      <w:pPr>
        <w:ind w:left="20" w:right="207" w:firstLine="610"/>
        <w:spacing w:before="320" w:line="26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不充分主要体现为经济增速、消费增速、投资增速等指标与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2019 </w:t>
      </w:r>
      <w:r>
        <w:rPr>
          <w:rFonts w:ascii="SimSun" w:hAnsi="SimSun" w:eastAsia="SimSun" w:cs="SimSun"/>
          <w:sz w:val="30"/>
          <w:szCs w:val="30"/>
          <w:spacing w:val="-2"/>
        </w:rPr>
        <w:t>年同期（疫情前）水平、市场预期水平差距较大。</w:t>
      </w:r>
    </w:p>
    <w:p>
      <w:pPr>
        <w:ind w:left="23" w:right="202" w:firstLine="607"/>
        <w:spacing w:before="254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不平衡主要体现在，</w:t>
      </w:r>
      <w:r>
        <w:rPr>
          <w:rFonts w:ascii="Times New Roman" w:hAnsi="Times New Roman" w:eastAsia="Times New Roman" w:cs="Times New Roman"/>
          <w:sz w:val="30"/>
          <w:szCs w:val="30"/>
        </w:rPr>
        <w:t>GDP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"/>
        </w:rPr>
        <w:t>超预期增长与物价水平超预期持</w:t>
      </w:r>
      <w:r>
        <w:rPr>
          <w:rFonts w:ascii="SimSun" w:hAnsi="SimSun" w:eastAsia="SimSun" w:cs="SimSun"/>
          <w:sz w:val="30"/>
          <w:szCs w:val="30"/>
          <w:spacing w:val="-7"/>
        </w:rPr>
        <w:t>续低迷并存，国有投资中高速增长（增长</w:t>
      </w:r>
      <w:r>
        <w:rPr>
          <w:rFonts w:ascii="SimSun" w:hAnsi="SimSun" w:eastAsia="SimSun" w:cs="SimSun"/>
          <w:sz w:val="30"/>
          <w:szCs w:val="3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9.4%</w:t>
      </w:r>
      <w:r>
        <w:rPr>
          <w:rFonts w:ascii="Times New Roman" w:hAnsi="Times New Roman" w:eastAsia="Times New Roman" w:cs="Times New Roma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，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1~4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月下同）与</w:t>
      </w:r>
      <w:r>
        <w:rPr>
          <w:rFonts w:ascii="SimSun" w:hAnsi="SimSun" w:eastAsia="SimSun" w:cs="SimSun"/>
          <w:sz w:val="30"/>
          <w:szCs w:val="30"/>
          <w:spacing w:val="-4"/>
        </w:rPr>
        <w:t>民间投资低迷（增长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0.4%</w:t>
      </w:r>
      <w:r>
        <w:rPr>
          <w:rFonts w:ascii="SimSun" w:hAnsi="SimSun" w:eastAsia="SimSun" w:cs="SimSun"/>
          <w:sz w:val="30"/>
          <w:szCs w:val="30"/>
          <w:spacing w:val="-4"/>
        </w:rPr>
        <w:t>）并存，出口超预期增长（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10.6%</w:t>
      </w:r>
      <w:r>
        <w:rPr>
          <w:rFonts w:ascii="SimSun" w:hAnsi="SimSun" w:eastAsia="SimSun" w:cs="SimSun"/>
          <w:sz w:val="30"/>
          <w:szCs w:val="30"/>
          <w:spacing w:val="-4"/>
        </w:rPr>
        <w:t>）与</w:t>
      </w:r>
      <w:r>
        <w:rPr>
          <w:rFonts w:ascii="SimSun" w:hAnsi="SimSun" w:eastAsia="SimSun" w:cs="SimSun"/>
          <w:sz w:val="30"/>
          <w:szCs w:val="30"/>
          <w:spacing w:val="-7"/>
        </w:rPr>
        <w:t>进口负增长（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3</w:t>
      </w:r>
      <w:r>
        <w:rPr>
          <w:rFonts w:ascii="SimSun" w:hAnsi="SimSun" w:eastAsia="SimSun" w:cs="SimSun"/>
          <w:sz w:val="30"/>
          <w:szCs w:val="30"/>
          <w:spacing w:val="-7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4</w:t>
      </w:r>
      <w:r>
        <w:rPr>
          <w:rFonts w:ascii="Times New Roman" w:hAnsi="Times New Roman" w:eastAsia="Times New Roman" w:cs="Times New Roman"/>
          <w:sz w:val="30"/>
          <w:szCs w:val="30"/>
          <w:spacing w:val="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月接连同比下降）并存，服务业生产指数高增</w:t>
      </w:r>
      <w:r>
        <w:rPr>
          <w:rFonts w:ascii="SimSun" w:hAnsi="SimSun" w:eastAsia="SimSun" w:cs="SimSun"/>
          <w:sz w:val="30"/>
          <w:szCs w:val="30"/>
          <w:spacing w:val="-4"/>
        </w:rPr>
        <w:t>长（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8.4%</w:t>
      </w:r>
      <w:r>
        <w:rPr>
          <w:rFonts w:ascii="SimSun" w:hAnsi="SimSun" w:eastAsia="SimSun" w:cs="SimSun"/>
          <w:sz w:val="30"/>
          <w:szCs w:val="30"/>
          <w:spacing w:val="-4"/>
        </w:rPr>
        <w:t>）与工业相关发展指标持续低迷</w:t>
      </w:r>
      <w:r>
        <w:rPr>
          <w:rFonts w:ascii="SimSun" w:hAnsi="SimSun" w:eastAsia="SimSun" w:cs="SimSun"/>
          <w:sz w:val="30"/>
          <w:szCs w:val="30"/>
          <w:spacing w:val="-5"/>
        </w:rPr>
        <w:t>并存（规模以上工业增</w:t>
      </w:r>
      <w:r>
        <w:rPr>
          <w:rFonts w:ascii="SimSun" w:hAnsi="SimSun" w:eastAsia="SimSun" w:cs="SimSun"/>
          <w:sz w:val="30"/>
          <w:szCs w:val="30"/>
          <w:spacing w:val="-6"/>
        </w:rPr>
        <w:t>加值增</w:t>
      </w:r>
      <w:r>
        <w:rPr>
          <w:rFonts w:ascii="SimSun" w:hAnsi="SimSun" w:eastAsia="SimSun" w:cs="SimSun"/>
          <w:sz w:val="30"/>
          <w:szCs w:val="3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3.6%</w:t>
      </w:r>
      <w:r>
        <w:rPr>
          <w:rFonts w:ascii="SimSun" w:hAnsi="SimSun" w:eastAsia="SimSun" w:cs="SimSun"/>
          <w:sz w:val="30"/>
          <w:szCs w:val="30"/>
          <w:spacing w:val="-6"/>
        </w:rPr>
        <w:t>、营收下滑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0.6%</w:t>
      </w:r>
      <w:r>
        <w:rPr>
          <w:rFonts w:ascii="SimSun" w:hAnsi="SimSun" w:eastAsia="SimSun" w:cs="SimSun"/>
          <w:sz w:val="30"/>
          <w:szCs w:val="30"/>
          <w:spacing w:val="-6"/>
        </w:rPr>
        <w:t>、利润总额下滑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21.4%</w:t>
      </w:r>
      <w:r>
        <w:rPr>
          <w:rFonts w:ascii="SimSun" w:hAnsi="SimSun" w:eastAsia="SimSun" w:cs="SimSun"/>
          <w:sz w:val="30"/>
          <w:szCs w:val="30"/>
          <w:spacing w:val="-6"/>
        </w:rPr>
        <w:t>）。</w:t>
      </w:r>
    </w:p>
    <w:p>
      <w:pPr>
        <w:ind w:left="496"/>
        <w:spacing w:before="259" w:line="207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表</w:t>
      </w:r>
      <w:r>
        <w:rPr>
          <w:rFonts w:ascii="KaiTi" w:hAnsi="KaiTi" w:eastAsia="KaiTi" w:cs="KaiTi"/>
          <w:sz w:val="30"/>
          <w:szCs w:val="30"/>
          <w:spacing w:val="-6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2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2023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年</w:t>
      </w:r>
      <w:r>
        <w:rPr>
          <w:rFonts w:ascii="KaiTi" w:hAnsi="KaiTi" w:eastAsia="KaiTi" w:cs="KaiTi"/>
          <w:sz w:val="30"/>
          <w:szCs w:val="30"/>
          <w:spacing w:val="-4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1～4</w:t>
      </w:r>
      <w:r>
        <w:rPr>
          <w:rFonts w:ascii="KaiTi" w:hAnsi="KaiTi" w:eastAsia="KaiTi" w:cs="KaiTi"/>
          <w:sz w:val="30"/>
          <w:szCs w:val="30"/>
          <w:spacing w:val="-4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月我国经济复苏不充分与不平衡信号</w:t>
      </w:r>
    </w:p>
    <w:tbl>
      <w:tblPr>
        <w:tblStyle w:val="TableNormal"/>
        <w:tblW w:w="8506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267"/>
        <w:gridCol w:w="1559"/>
        <w:gridCol w:w="4680"/>
      </w:tblGrid>
      <w:tr>
        <w:trPr>
          <w:trHeight w:val="280" w:hRule="atLeast"/>
        </w:trPr>
        <w:tc>
          <w:tcPr>
            <w:shd w:val="clear" w:fill="BDD6EE"/>
            <w:tcW w:w="2267" w:type="dxa"/>
            <w:vAlign w:val="top"/>
          </w:tcPr>
          <w:p>
            <w:pPr>
              <w:pStyle w:val="TableText"/>
              <w:ind w:left="500"/>
              <w:spacing w:before="37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2023 年</w:t>
            </w:r>
            <w:r>
              <w:rPr>
                <w:sz w:val="19"/>
                <w:szCs w:val="19"/>
                <w:spacing w:val="22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1-4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月</w:t>
            </w:r>
          </w:p>
        </w:tc>
        <w:tc>
          <w:tcPr>
            <w:shd w:val="clear" w:fill="BDD6EE"/>
            <w:tcW w:w="1559" w:type="dxa"/>
            <w:vAlign w:val="top"/>
          </w:tcPr>
          <w:p>
            <w:pPr>
              <w:pStyle w:val="TableText"/>
              <w:ind w:left="146"/>
              <w:spacing w:before="37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2019 年</w:t>
            </w:r>
            <w:r>
              <w:rPr>
                <w:sz w:val="19"/>
                <w:szCs w:val="19"/>
                <w:spacing w:val="22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1-4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月</w:t>
            </w:r>
          </w:p>
        </w:tc>
        <w:tc>
          <w:tcPr>
            <w:shd w:val="clear" w:fill="BDD6EE"/>
            <w:tcW w:w="4680" w:type="dxa"/>
            <w:vAlign w:val="top"/>
          </w:tcPr>
          <w:p>
            <w:pPr>
              <w:pStyle w:val="TableText"/>
              <w:ind w:left="1004"/>
              <w:spacing w:before="37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2023 年 1-4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月</w:t>
            </w:r>
            <w:r>
              <w:rPr>
                <w:sz w:val="19"/>
                <w:szCs w:val="19"/>
                <w:spacing w:val="-14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（不平衡信号）</w:t>
            </w:r>
          </w:p>
        </w:tc>
      </w:tr>
      <w:tr>
        <w:trPr>
          <w:trHeight w:val="494" w:hRule="atLeast"/>
        </w:trPr>
        <w:tc>
          <w:tcPr>
            <w:tcW w:w="2267" w:type="dxa"/>
            <w:vAlign w:val="top"/>
          </w:tcPr>
          <w:p>
            <w:pPr>
              <w:pStyle w:val="TableText"/>
              <w:ind w:left="149" w:right="149" w:firstLine="253"/>
              <w:spacing w:before="30" w:line="223" w:lineRule="auto"/>
              <w:rPr/>
            </w:pPr>
            <w:r>
              <w:rPr>
                <w:spacing w:val="-3"/>
              </w:rPr>
              <w:t>GDP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3"/>
              </w:rPr>
              <w:t>同比增长 4.5%</w:t>
            </w:r>
            <w:r>
              <w:rPr/>
              <w:t xml:space="preserve">  </w:t>
            </w:r>
            <w:r>
              <w:rPr>
                <w:spacing w:val="-6"/>
              </w:rPr>
              <w:t>（一季度（Q1</w:t>
            </w:r>
            <w:r>
              <w:rPr>
                <w:spacing w:val="-5"/>
              </w:rPr>
              <w:t>），</w:t>
            </w:r>
            <w:r>
              <w:rPr>
                <w:spacing w:val="-6"/>
              </w:rPr>
              <w:t>右同）</w:t>
            </w:r>
          </w:p>
        </w:tc>
        <w:tc>
          <w:tcPr>
            <w:tcW w:w="1559" w:type="dxa"/>
            <w:vAlign w:val="top"/>
          </w:tcPr>
          <w:p>
            <w:pPr>
              <w:pStyle w:val="TableText"/>
              <w:ind w:left="642"/>
              <w:spacing w:before="150" w:line="248" w:lineRule="exact"/>
              <w:rPr/>
            </w:pPr>
            <w:r>
              <w:rPr>
                <w:spacing w:val="-3"/>
                <w:position w:val="2"/>
              </w:rPr>
              <w:t>6.4%</w:t>
            </w:r>
          </w:p>
        </w:tc>
        <w:tc>
          <w:tcPr>
            <w:tcW w:w="4680" w:type="dxa"/>
            <w:vAlign w:val="top"/>
          </w:tcPr>
          <w:p>
            <w:pPr>
              <w:pStyle w:val="TableText"/>
              <w:ind w:left="105" w:right="279"/>
              <w:spacing w:before="30" w:line="223" w:lineRule="auto"/>
              <w:rPr/>
            </w:pPr>
            <w:r>
              <w:rPr>
                <w:spacing w:val="-1"/>
              </w:rPr>
              <w:t>—剔除恢复性需求，Q1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GDP 增长 2.6%(世界经济论坛)</w:t>
            </w:r>
            <w:r>
              <w:rPr/>
              <w:t xml:space="preserve"> </w:t>
            </w:r>
            <w:r>
              <w:rPr>
                <w:spacing w:val="-1"/>
              </w:rPr>
              <w:t>—CPI 增速下降 0.6 百分点、PPI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降幅扩大 1.1 个</w:t>
            </w:r>
            <w:r>
              <w:rPr>
                <w:spacing w:val="-2"/>
              </w:rPr>
              <w:t>百分点</w:t>
            </w:r>
          </w:p>
        </w:tc>
      </w:tr>
      <w:tr>
        <w:trPr>
          <w:trHeight w:val="736" w:hRule="atLeast"/>
        </w:trPr>
        <w:tc>
          <w:tcPr>
            <w:tcW w:w="2267" w:type="dxa"/>
            <w:vAlign w:val="top"/>
          </w:tcPr>
          <w:p>
            <w:pPr>
              <w:pStyle w:val="TableText"/>
              <w:ind w:left="609" w:right="320" w:hanging="283"/>
              <w:spacing w:before="150" w:line="244" w:lineRule="auto"/>
              <w:rPr/>
            </w:pPr>
            <w:r>
              <w:rPr>
                <w:spacing w:val="-1"/>
              </w:rPr>
              <w:t>社会消费品零售总额</w:t>
            </w:r>
            <w:r>
              <w:rPr>
                <w:spacing w:val="-3"/>
              </w:rPr>
              <w:t>同比增长 8.5%</w:t>
            </w:r>
          </w:p>
        </w:tc>
        <w:tc>
          <w:tcPr>
            <w:tcW w:w="1559" w:type="dxa"/>
            <w:vAlign w:val="top"/>
          </w:tcPr>
          <w:p>
            <w:pPr>
              <w:pStyle w:val="TableText"/>
              <w:ind w:left="641"/>
              <w:spacing w:before="270" w:line="249" w:lineRule="exact"/>
              <w:rPr/>
            </w:pPr>
            <w:r>
              <w:rPr>
                <w:spacing w:val="-3"/>
                <w:position w:val="2"/>
              </w:rPr>
              <w:t>8.0%</w:t>
            </w:r>
          </w:p>
        </w:tc>
        <w:tc>
          <w:tcPr>
            <w:tcW w:w="4680" w:type="dxa"/>
            <w:vAlign w:val="top"/>
          </w:tcPr>
          <w:p>
            <w:pPr>
              <w:pStyle w:val="TableText"/>
              <w:ind w:left="136"/>
              <w:spacing w:before="27" w:line="225" w:lineRule="auto"/>
              <w:rPr/>
            </w:pPr>
            <w:r>
              <w:rPr>
                <w:spacing w:val="2"/>
              </w:rPr>
              <w:t>—剔除低基数效应，两年复合增长仅2.7%</w:t>
            </w:r>
          </w:p>
          <w:p>
            <w:pPr>
              <w:pStyle w:val="TableText"/>
              <w:ind w:left="144" w:right="126" w:hanging="8"/>
              <w:spacing w:before="14" w:line="224" w:lineRule="auto"/>
              <w:rPr/>
            </w:pPr>
            <w:r>
              <w:rPr>
                <w:spacing w:val="1"/>
              </w:rPr>
              <w:t>—Q1 住户存款余额增加额为2022 年一半，2022 年已创</w:t>
            </w:r>
            <w:r>
              <w:rPr>
                <w:spacing w:val="-2"/>
              </w:rPr>
              <w:t>历史记录</w:t>
            </w:r>
          </w:p>
        </w:tc>
      </w:tr>
      <w:tr>
        <w:trPr>
          <w:trHeight w:val="1222" w:hRule="atLeast"/>
        </w:trPr>
        <w:tc>
          <w:tcPr>
            <w:tcW w:w="2267" w:type="dxa"/>
            <w:vAlign w:val="top"/>
          </w:tcPr>
          <w:p>
            <w:pPr>
              <w:pStyle w:val="TableText"/>
              <w:ind w:left="129"/>
              <w:spacing w:before="270" w:line="225" w:lineRule="auto"/>
              <w:rPr/>
            </w:pPr>
            <w:r>
              <w:rPr>
                <w:spacing w:val="2"/>
              </w:rPr>
              <w:t>固定投资同比增长4.7%</w:t>
            </w:r>
          </w:p>
          <w:p>
            <w:pPr>
              <w:pStyle w:val="TableText"/>
              <w:ind w:left="107" w:right="137" w:firstLine="31"/>
              <w:spacing w:before="15" w:line="246" w:lineRule="auto"/>
              <w:rPr/>
            </w:pPr>
            <w:r>
              <w:rPr>
                <w:spacing w:val="3"/>
              </w:rPr>
              <w:t>—民间投资同比增长0.4%</w:t>
            </w:r>
            <w:r>
              <w:rPr>
                <w:spacing w:val="6"/>
              </w:rPr>
              <w:t xml:space="preserve"> </w:t>
            </w:r>
            <w:r>
              <w:rPr/>
              <w:t>—房地产投资同比-6.2%</w:t>
            </w:r>
          </w:p>
        </w:tc>
        <w:tc>
          <w:tcPr>
            <w:tcW w:w="1559" w:type="dxa"/>
            <w:vAlign w:val="top"/>
          </w:tcPr>
          <w:p>
            <w:pPr>
              <w:pStyle w:val="TableText"/>
              <w:ind w:left="104" w:right="332" w:firstLine="52"/>
              <w:spacing w:before="270" w:line="241" w:lineRule="auto"/>
              <w:rPr/>
            </w:pPr>
            <w:r>
              <w:rPr>
                <w:spacing w:val="-3"/>
              </w:rPr>
              <w:t>固定投资 6.1%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—民间 5.5%</w:t>
            </w:r>
          </w:p>
          <w:p>
            <w:pPr>
              <w:pStyle w:val="TableText"/>
              <w:ind w:left="104"/>
              <w:spacing w:line="225" w:lineRule="auto"/>
              <w:rPr/>
            </w:pPr>
            <w:r>
              <w:rPr>
                <w:spacing w:val="-1"/>
              </w:rPr>
              <w:t>—房地产 11.9%</w:t>
            </w:r>
          </w:p>
        </w:tc>
        <w:tc>
          <w:tcPr>
            <w:tcW w:w="4680" w:type="dxa"/>
            <w:vAlign w:val="top"/>
          </w:tcPr>
          <w:p>
            <w:pPr>
              <w:pStyle w:val="TableText"/>
              <w:ind w:left="105"/>
              <w:spacing w:before="28" w:line="225" w:lineRule="auto"/>
              <w:rPr/>
            </w:pPr>
            <w:r>
              <w:rPr>
                <w:spacing w:val="-1"/>
              </w:rPr>
              <w:t>—民间投资占比 54%，增速持续下降</w:t>
            </w:r>
          </w:p>
          <w:p>
            <w:pPr>
              <w:pStyle w:val="TableText"/>
              <w:ind w:left="105"/>
              <w:spacing w:before="13" w:line="225" w:lineRule="auto"/>
              <w:rPr/>
            </w:pPr>
            <w:r>
              <w:rPr>
                <w:spacing w:val="1"/>
              </w:rPr>
              <w:t>—房地产投资占比24%，降幅持续扩大</w:t>
            </w:r>
          </w:p>
          <w:p>
            <w:pPr>
              <w:pStyle w:val="TableText"/>
              <w:ind w:left="117" w:right="250" w:hanging="12"/>
              <w:spacing w:before="16"/>
              <w:rPr/>
            </w:pPr>
            <w:r>
              <w:rPr>
                <w:spacing w:val="-1"/>
              </w:rPr>
              <w:t>—规模以上工业企业营收同比增长 0.6%、利润总额同比</w:t>
            </w:r>
            <w:r>
              <w:rPr>
                <w:spacing w:val="-1"/>
              </w:rPr>
              <w:t>下降 20.6%，利润总额连续 9 月</w:t>
            </w:r>
            <w:r>
              <w:rPr>
                <w:spacing w:val="-2"/>
              </w:rPr>
              <w:t>同比下滑</w:t>
            </w:r>
          </w:p>
          <w:p>
            <w:pPr>
              <w:pStyle w:val="TableText"/>
              <w:ind w:left="105"/>
              <w:spacing w:line="205" w:lineRule="auto"/>
              <w:rPr/>
            </w:pPr>
            <w:r>
              <w:rPr>
                <w:spacing w:val="-1"/>
              </w:rPr>
              <w:t>—国有企业营收、利润总额同比增 7.1%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、1</w:t>
            </w:r>
            <w:r>
              <w:rPr>
                <w:spacing w:val="-2"/>
              </w:rPr>
              <w:t>5.1%</w:t>
            </w:r>
          </w:p>
        </w:tc>
      </w:tr>
      <w:tr>
        <w:trPr>
          <w:trHeight w:val="983" w:hRule="atLeast"/>
        </w:trPr>
        <w:tc>
          <w:tcPr>
            <w:tcW w:w="2267" w:type="dxa"/>
            <w:vAlign w:val="top"/>
          </w:tcPr>
          <w:p>
            <w:pPr>
              <w:pStyle w:val="TableText"/>
              <w:ind w:left="361" w:right="137" w:hanging="213"/>
              <w:spacing w:before="152"/>
              <w:rPr/>
            </w:pPr>
            <w:r>
              <w:rPr>
                <w:spacing w:val="2"/>
              </w:rPr>
              <w:t>进出口总额同比增速5.8%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—出口同比增长 10.6%</w:t>
            </w:r>
          </w:p>
          <w:p>
            <w:pPr>
              <w:pStyle w:val="TableText"/>
              <w:ind w:left="340"/>
              <w:spacing w:line="226" w:lineRule="auto"/>
              <w:rPr/>
            </w:pPr>
            <w:r>
              <w:rPr/>
              <w:t>—进口同比增长：0.8%</w:t>
            </w:r>
          </w:p>
        </w:tc>
        <w:tc>
          <w:tcPr>
            <w:tcW w:w="1559" w:type="dxa"/>
            <w:vAlign w:val="top"/>
          </w:tcPr>
          <w:p>
            <w:pPr>
              <w:pStyle w:val="TableText"/>
              <w:ind w:left="117"/>
              <w:spacing w:before="152" w:line="224" w:lineRule="auto"/>
              <w:rPr/>
            </w:pPr>
            <w:r>
              <w:rPr>
                <w:spacing w:val="-4"/>
              </w:rPr>
              <w:t>总额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6.5%</w:t>
            </w:r>
          </w:p>
          <w:p>
            <w:pPr>
              <w:pStyle w:val="TableText"/>
              <w:ind w:left="104" w:right="450"/>
              <w:spacing w:before="14" w:line="248" w:lineRule="auto"/>
              <w:rPr/>
            </w:pPr>
            <w:r>
              <w:rPr>
                <w:spacing w:val="-1"/>
              </w:rPr>
              <w:t>—出口  3.1%</w:t>
            </w:r>
            <w:r>
              <w:rPr/>
              <w:t xml:space="preserve"> </w:t>
            </w:r>
            <w:r>
              <w:rPr>
                <w:spacing w:val="-2"/>
              </w:rPr>
              <w:t>—进口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10.3%</w:t>
            </w:r>
          </w:p>
        </w:tc>
        <w:tc>
          <w:tcPr>
            <w:tcW w:w="4680" w:type="dxa"/>
            <w:vAlign w:val="top"/>
          </w:tcPr>
          <w:p>
            <w:pPr>
              <w:pStyle w:val="TableText"/>
              <w:ind w:left="141" w:right="153" w:hanging="5"/>
              <w:spacing w:before="29"/>
              <w:rPr/>
            </w:pPr>
            <w:r>
              <w:rPr>
                <w:spacing w:val="-1"/>
              </w:rPr>
              <w:t>—2023 年，世界商品贸易量有望增长 1.7%，高于此前预</w:t>
            </w:r>
            <w:r>
              <w:rPr>
                <w:spacing w:val="-2"/>
              </w:rPr>
              <w:t>估的 1%，但仍低于去年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2.7%的增速</w:t>
            </w:r>
          </w:p>
          <w:p>
            <w:pPr>
              <w:pStyle w:val="TableText"/>
              <w:ind w:left="140" w:right="153" w:hanging="4"/>
              <w:spacing w:line="224" w:lineRule="auto"/>
              <w:rPr/>
            </w:pPr>
            <w:r>
              <w:rPr/>
              <w:t>—李强总理：“需要想方设法稳定对发达国家的出口，全</w:t>
            </w:r>
            <w:r>
              <w:rPr>
                <w:spacing w:val="1"/>
              </w:rPr>
              <w:t>球经济放缓对国内经济影响仍是一个关键问题”</w:t>
            </w:r>
          </w:p>
        </w:tc>
      </w:tr>
    </w:tbl>
    <w:p>
      <w:pPr>
        <w:ind w:left="4343"/>
        <w:spacing w:before="44" w:line="226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21"/>
          <w:szCs w:val="21"/>
          <w:spacing w:val="-1"/>
        </w:rPr>
        <w:t>资料来源：根据国家统计局等公开资料整理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left="621"/>
        <w:spacing w:before="98" w:line="234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．我国经济复苏不充分、不平衡的成因</w:t>
      </w:r>
    </w:p>
    <w:p>
      <w:pPr>
        <w:ind w:left="27" w:right="121" w:firstLine="603"/>
        <w:spacing w:before="318" w:line="26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不充分的方面，疫情、重点行业监管、发达经济体下行与打</w:t>
      </w:r>
      <w:r>
        <w:rPr>
          <w:rFonts w:ascii="SimSun" w:hAnsi="SimSun" w:eastAsia="SimSun" w:cs="SimSun"/>
          <w:sz w:val="30"/>
          <w:szCs w:val="30"/>
          <w:spacing w:val="-1"/>
        </w:rPr>
        <w:t>压，造成的市场预期、需求潜力、生产供给水平不同于疫情前，</w:t>
      </w:r>
      <w:r>
        <w:rPr>
          <w:rFonts w:ascii="SimSun" w:hAnsi="SimSun" w:eastAsia="SimSun" w:cs="SimSun"/>
          <w:sz w:val="30"/>
          <w:szCs w:val="30"/>
          <w:spacing w:val="-3"/>
        </w:rPr>
        <w:t>经济增长幅度低于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2019 </w:t>
      </w:r>
      <w:r>
        <w:rPr>
          <w:rFonts w:ascii="SimSun" w:hAnsi="SimSun" w:eastAsia="SimSun" w:cs="SimSun"/>
          <w:sz w:val="30"/>
          <w:szCs w:val="30"/>
          <w:spacing w:val="-3"/>
        </w:rPr>
        <w:t>年同期。</w:t>
      </w:r>
    </w:p>
    <w:p>
      <w:pPr>
        <w:ind w:left="26" w:right="205" w:firstLine="604"/>
        <w:spacing w:before="250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不平衡的方面，疫情疤痕效应导致有效需求不足这一制约更</w:t>
      </w:r>
      <w:r>
        <w:rPr>
          <w:rFonts w:ascii="SimSun" w:hAnsi="SimSun" w:eastAsia="SimSun" w:cs="SimSun"/>
          <w:sz w:val="30"/>
          <w:szCs w:val="30"/>
          <w:spacing w:val="-4"/>
        </w:rPr>
        <w:t>加凸显，非恢复性的和非政策驱动的自发经济活动普遍性存在复</w:t>
      </w:r>
    </w:p>
    <w:p>
      <w:pPr>
        <w:spacing w:line="261" w:lineRule="auto"/>
        <w:sectPr>
          <w:pgSz w:w="11907" w:h="16839"/>
          <w:pgMar w:top="1431" w:right="1594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32"/>
        <w:spacing w:before="97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苏不足，内生动力不强导致经济复苏不平衡。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二、关于我国是否存在通缩的分析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636"/>
        <w:spacing w:before="98" w:line="232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．物价指数低迷引发经济陷入通缩担忧</w:t>
      </w:r>
    </w:p>
    <w:p>
      <w:pPr>
        <w:ind w:left="26" w:right="9" w:firstLine="629"/>
        <w:spacing w:before="318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国家统计局日前发布我国</w:t>
      </w:r>
      <w:r>
        <w:rPr>
          <w:rFonts w:ascii="SimSun" w:hAnsi="SimSun" w:eastAsia="SimSun" w:cs="SimSun"/>
          <w:sz w:val="30"/>
          <w:szCs w:val="3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4</w:t>
      </w:r>
      <w:r>
        <w:rPr>
          <w:rFonts w:ascii="Times New Roman" w:hAnsi="Times New Roman" w:eastAsia="Times New Roman" w:cs="Times New Roman"/>
          <w:sz w:val="30"/>
          <w:szCs w:val="30"/>
          <w:spacing w:val="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月份</w:t>
      </w:r>
      <w:r>
        <w:rPr>
          <w:rFonts w:ascii="SimSun" w:hAnsi="SimSun" w:eastAsia="SimSun" w:cs="SimSun"/>
          <w:sz w:val="30"/>
          <w:szCs w:val="3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CPI</w:t>
      </w:r>
      <w:r>
        <w:rPr>
          <w:rFonts w:ascii="Times New Roman" w:hAnsi="Times New Roman" w:eastAsia="Times New Roman" w:cs="Times New Roman"/>
          <w:sz w:val="30"/>
          <w:szCs w:val="30"/>
          <w:spacing w:val="60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同比上涨</w:t>
      </w:r>
      <w:r>
        <w:rPr>
          <w:rFonts w:ascii="SimSun" w:hAnsi="SimSun" w:eastAsia="SimSun" w:cs="SimSun"/>
          <w:sz w:val="30"/>
          <w:szCs w:val="3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0.1%</w:t>
      </w:r>
      <w:r>
        <w:rPr>
          <w:rFonts w:ascii="SimSun" w:hAnsi="SimSun" w:eastAsia="SimSun" w:cs="SimSun"/>
          <w:sz w:val="30"/>
          <w:szCs w:val="30"/>
          <w:spacing w:val="-5"/>
        </w:rPr>
        <w:t>、增幅</w:t>
      </w:r>
      <w:r>
        <w:rPr>
          <w:rFonts w:ascii="SimSun" w:hAnsi="SimSun" w:eastAsia="SimSun" w:cs="SimSun"/>
          <w:sz w:val="30"/>
          <w:szCs w:val="30"/>
          <w:spacing w:val="-5"/>
        </w:rPr>
        <w:t>较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3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月降低</w:t>
      </w:r>
      <w:r>
        <w:rPr>
          <w:rFonts w:ascii="SimSun" w:hAnsi="SimSun" w:eastAsia="SimSun" w:cs="SimSun"/>
          <w:sz w:val="30"/>
          <w:szCs w:val="3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0.6 </w:t>
      </w:r>
      <w:r>
        <w:rPr>
          <w:rFonts w:ascii="SimSun" w:hAnsi="SimSun" w:eastAsia="SimSun" w:cs="SimSun"/>
          <w:sz w:val="30"/>
          <w:szCs w:val="30"/>
          <w:spacing w:val="-5"/>
        </w:rPr>
        <w:t>个百分点，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PPI</w:t>
      </w:r>
      <w:r>
        <w:rPr>
          <w:rFonts w:ascii="Times New Roman" w:hAnsi="Times New Roman" w:eastAsia="Times New Roman" w:cs="Times New Roman"/>
          <w:sz w:val="30"/>
          <w:szCs w:val="30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同比下降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3.6%</w:t>
      </w:r>
      <w:r>
        <w:rPr>
          <w:rFonts w:ascii="SimSun" w:hAnsi="SimSun" w:eastAsia="SimSun" w:cs="SimSun"/>
          <w:sz w:val="30"/>
          <w:szCs w:val="30"/>
          <w:spacing w:val="-5"/>
        </w:rPr>
        <w:t>、降幅较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3</w:t>
      </w:r>
      <w:r>
        <w:rPr>
          <w:rFonts w:ascii="Times New Roman" w:hAnsi="Times New Roman" w:eastAsia="Times New Roman" w:cs="Times New Roman"/>
          <w:sz w:val="30"/>
          <w:szCs w:val="3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月扩大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1.1 </w:t>
      </w:r>
      <w:r>
        <w:rPr>
          <w:rFonts w:ascii="SimSun" w:hAnsi="SimSun" w:eastAsia="SimSun" w:cs="SimSun"/>
          <w:sz w:val="30"/>
          <w:szCs w:val="30"/>
          <w:spacing w:val="1"/>
        </w:rPr>
        <w:t>个百分点。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3 </w:t>
      </w:r>
      <w:r>
        <w:rPr>
          <w:rFonts w:ascii="SimSun" w:hAnsi="SimSun" w:eastAsia="SimSun" w:cs="SimSun"/>
          <w:sz w:val="30"/>
          <w:szCs w:val="30"/>
          <w:spacing w:val="1"/>
        </w:rPr>
        <w:t>月和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4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月连续两个月物价水</w:t>
      </w:r>
      <w:r>
        <w:rPr>
          <w:rFonts w:ascii="SimSun" w:hAnsi="SimSun" w:eastAsia="SimSun" w:cs="SimSun"/>
          <w:sz w:val="30"/>
          <w:szCs w:val="30"/>
        </w:rPr>
        <w:t>平低迷，与</w:t>
      </w:r>
      <w:r>
        <w:rPr>
          <w:rFonts w:ascii="Times New Roman" w:hAnsi="Times New Roman" w:eastAsia="Times New Roman" w:cs="Times New Roman"/>
          <w:sz w:val="30"/>
          <w:szCs w:val="30"/>
        </w:rPr>
        <w:t>2023 </w:t>
      </w:r>
      <w:r>
        <w:rPr>
          <w:rFonts w:ascii="SimSun" w:hAnsi="SimSun" w:eastAsia="SimSun" w:cs="SimSun"/>
          <w:sz w:val="30"/>
          <w:szCs w:val="30"/>
        </w:rPr>
        <w:t>年</w:t>
      </w:r>
      <w:r>
        <w:rPr>
          <w:rFonts w:ascii="SimSun" w:hAnsi="SimSun" w:eastAsia="SimSun" w:cs="SimSun"/>
          <w:sz w:val="30"/>
          <w:szCs w:val="30"/>
          <w:spacing w:val="-1"/>
        </w:rPr>
        <w:t>全球</w:t>
      </w:r>
      <w:r>
        <w:rPr>
          <w:rFonts w:ascii="SimSun" w:hAnsi="SimSun" w:eastAsia="SimSun" w:cs="SimSun"/>
          <w:sz w:val="30"/>
          <w:szCs w:val="3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7%</w:t>
      </w:r>
      <w:r>
        <w:rPr>
          <w:rFonts w:ascii="SimSun" w:hAnsi="SimSun" w:eastAsia="SimSun" w:cs="SimSun"/>
          <w:sz w:val="30"/>
          <w:szCs w:val="30"/>
          <w:spacing w:val="-1"/>
        </w:rPr>
        <w:t>通货膨胀率预期、疫情防控转段后经济复苏预期等形成</w:t>
      </w:r>
      <w:r>
        <w:rPr>
          <w:rFonts w:ascii="SimSun" w:hAnsi="SimSun" w:eastAsia="SimSun" w:cs="SimSun"/>
          <w:sz w:val="30"/>
          <w:szCs w:val="30"/>
          <w:spacing w:val="-4"/>
        </w:rPr>
        <w:t>强烈对比，引发我国经济是否已经陷入或者滑向通货紧缩的强烈</w:t>
      </w:r>
      <w:r>
        <w:rPr>
          <w:rFonts w:ascii="SimSun" w:hAnsi="SimSun" w:eastAsia="SimSun" w:cs="SimSun"/>
          <w:sz w:val="30"/>
          <w:szCs w:val="30"/>
          <w:spacing w:val="-13"/>
        </w:rPr>
        <w:t>担忧。</w:t>
      </w:r>
    </w:p>
    <w:p>
      <w:pPr>
        <w:ind w:left="2996"/>
        <w:spacing w:before="270" w:line="19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pict>
          <v:shape id="_x0000_s2" style="position:absolute;margin-left:2.31799pt;margin-top:21.0879pt;mso-position-vertical-relative:text;mso-position-horizontal-relative:text;width:15.4pt;height:121.2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5" w:lineRule="exact"/>
                    <w:rPr>
                      <w:rFonts w:ascii="DengXian" w:hAnsi="DengXian" w:eastAsia="DengXian" w:cs="DengXian"/>
                      <w:sz w:val="12"/>
                      <w:szCs w:val="12"/>
                    </w:rPr>
                  </w:pPr>
                  <w:r>
                    <w:rPr>
                      <w:rFonts w:ascii="DengXian" w:hAnsi="DengXian" w:eastAsia="DengXian" w:cs="DengXian"/>
                      <w:sz w:val="12"/>
                      <w:szCs w:val="12"/>
                      <w:color w:val="595959"/>
                      <w:spacing w:val="-2"/>
                      <w:position w:val="1"/>
                    </w:rPr>
                    <w:t>16.0%</w:t>
                  </w:r>
                </w:p>
                <w:p>
                  <w:pPr>
                    <w:ind w:left="20"/>
                    <w:spacing w:before="35" w:line="166" w:lineRule="exact"/>
                    <w:rPr>
                      <w:rFonts w:ascii="DengXian" w:hAnsi="DengXian" w:eastAsia="DengXian" w:cs="DengXian"/>
                      <w:sz w:val="12"/>
                      <w:szCs w:val="12"/>
                    </w:rPr>
                  </w:pPr>
                  <w:r>
                    <w:rPr>
                      <w:rFonts w:ascii="DengXian" w:hAnsi="DengXian" w:eastAsia="DengXian" w:cs="DengXian"/>
                      <w:sz w:val="12"/>
                      <w:szCs w:val="12"/>
                      <w:color w:val="595959"/>
                      <w:spacing w:val="-2"/>
                      <w:position w:val="1"/>
                    </w:rPr>
                    <w:t>14.0%</w:t>
                  </w:r>
                </w:p>
                <w:p>
                  <w:pPr>
                    <w:ind w:left="20"/>
                    <w:spacing w:before="36" w:line="165" w:lineRule="exact"/>
                    <w:rPr>
                      <w:rFonts w:ascii="DengXian" w:hAnsi="DengXian" w:eastAsia="DengXian" w:cs="DengXian"/>
                      <w:sz w:val="12"/>
                      <w:szCs w:val="12"/>
                    </w:rPr>
                  </w:pPr>
                  <w:r>
                    <w:rPr>
                      <w:rFonts w:ascii="DengXian" w:hAnsi="DengXian" w:eastAsia="DengXian" w:cs="DengXian"/>
                      <w:sz w:val="12"/>
                      <w:szCs w:val="12"/>
                      <w:color w:val="595959"/>
                      <w:spacing w:val="-2"/>
                      <w:position w:val="1"/>
                    </w:rPr>
                    <w:t>12.0%</w:t>
                  </w:r>
                </w:p>
                <w:p>
                  <w:pPr>
                    <w:ind w:left="20"/>
                    <w:spacing w:before="36" w:line="165" w:lineRule="exact"/>
                    <w:rPr>
                      <w:rFonts w:ascii="DengXian" w:hAnsi="DengXian" w:eastAsia="DengXian" w:cs="DengXian"/>
                      <w:sz w:val="12"/>
                      <w:szCs w:val="12"/>
                    </w:rPr>
                  </w:pPr>
                  <w:r>
                    <w:rPr>
                      <w:rFonts w:ascii="DengXian" w:hAnsi="DengXian" w:eastAsia="DengXian" w:cs="DengXian"/>
                      <w:sz w:val="12"/>
                      <w:szCs w:val="12"/>
                      <w:color w:val="595959"/>
                      <w:spacing w:val="-2"/>
                      <w:position w:val="1"/>
                    </w:rPr>
                    <w:t>10.0%</w:t>
                  </w:r>
                </w:p>
                <w:p>
                  <w:pPr>
                    <w:ind w:left="80"/>
                    <w:spacing w:before="36" w:line="166" w:lineRule="exact"/>
                    <w:rPr>
                      <w:rFonts w:ascii="DengXian" w:hAnsi="DengXian" w:eastAsia="DengXian" w:cs="DengXian"/>
                      <w:sz w:val="12"/>
                      <w:szCs w:val="12"/>
                    </w:rPr>
                  </w:pPr>
                  <w:r>
                    <w:rPr>
                      <w:rFonts w:ascii="DengXian" w:hAnsi="DengXian" w:eastAsia="DengXian" w:cs="DengXian"/>
                      <w:sz w:val="12"/>
                      <w:szCs w:val="12"/>
                      <w:color w:val="595959"/>
                      <w:spacing w:val="-2"/>
                      <w:position w:val="1"/>
                    </w:rPr>
                    <w:t>8.0%</w:t>
                  </w:r>
                </w:p>
                <w:p>
                  <w:pPr>
                    <w:ind w:left="81"/>
                    <w:spacing w:before="36" w:line="166" w:lineRule="exact"/>
                    <w:rPr>
                      <w:rFonts w:ascii="DengXian" w:hAnsi="DengXian" w:eastAsia="DengXian" w:cs="DengXian"/>
                      <w:sz w:val="12"/>
                      <w:szCs w:val="12"/>
                    </w:rPr>
                  </w:pPr>
                  <w:r>
                    <w:rPr>
                      <w:rFonts w:ascii="DengXian" w:hAnsi="DengXian" w:eastAsia="DengXian" w:cs="DengXian"/>
                      <w:sz w:val="12"/>
                      <w:szCs w:val="12"/>
                      <w:color w:val="595959"/>
                      <w:spacing w:val="-2"/>
                      <w:position w:val="1"/>
                    </w:rPr>
                    <w:t>6.0%</w:t>
                  </w:r>
                </w:p>
                <w:p>
                  <w:pPr>
                    <w:ind w:left="76"/>
                    <w:spacing w:before="36" w:line="166" w:lineRule="exact"/>
                    <w:rPr>
                      <w:rFonts w:ascii="DengXian" w:hAnsi="DengXian" w:eastAsia="DengXian" w:cs="DengXian"/>
                      <w:sz w:val="12"/>
                      <w:szCs w:val="12"/>
                    </w:rPr>
                  </w:pPr>
                  <w:r>
                    <w:rPr>
                      <w:rFonts w:ascii="DengXian" w:hAnsi="DengXian" w:eastAsia="DengXian" w:cs="DengXian"/>
                      <w:sz w:val="12"/>
                      <w:szCs w:val="12"/>
                      <w:color w:val="595959"/>
                      <w:spacing w:val="-1"/>
                      <w:position w:val="1"/>
                    </w:rPr>
                    <w:t>4.0%</w:t>
                  </w:r>
                </w:p>
                <w:p>
                  <w:pPr>
                    <w:ind w:left="80"/>
                    <w:spacing w:before="36" w:line="165" w:lineRule="exact"/>
                    <w:rPr>
                      <w:rFonts w:ascii="DengXian" w:hAnsi="DengXian" w:eastAsia="DengXian" w:cs="DengXian"/>
                      <w:sz w:val="12"/>
                      <w:szCs w:val="12"/>
                    </w:rPr>
                  </w:pPr>
                  <w:r>
                    <w:rPr>
                      <w:rFonts w:ascii="DengXian" w:hAnsi="DengXian" w:eastAsia="DengXian" w:cs="DengXian"/>
                      <w:sz w:val="12"/>
                      <w:szCs w:val="12"/>
                      <w:color w:val="595959"/>
                      <w:spacing w:val="-2"/>
                      <w:position w:val="1"/>
                    </w:rPr>
                    <w:t>2.0%</w:t>
                  </w:r>
                </w:p>
                <w:p>
                  <w:pPr>
                    <w:ind w:left="79"/>
                    <w:spacing w:before="36" w:line="166" w:lineRule="exact"/>
                    <w:rPr>
                      <w:rFonts w:ascii="DengXian" w:hAnsi="DengXian" w:eastAsia="DengXian" w:cs="DengXian"/>
                      <w:sz w:val="12"/>
                      <w:szCs w:val="12"/>
                    </w:rPr>
                  </w:pPr>
                  <w:r>
                    <w:rPr>
                      <w:rFonts w:ascii="DengXian" w:hAnsi="DengXian" w:eastAsia="DengXian" w:cs="DengXian"/>
                      <w:sz w:val="12"/>
                      <w:szCs w:val="12"/>
                      <w:color w:val="595959"/>
                      <w:spacing w:val="-2"/>
                      <w:position w:val="1"/>
                    </w:rPr>
                    <w:t>0.0%</w:t>
                  </w:r>
                </w:p>
                <w:p>
                  <w:pPr>
                    <w:ind w:left="27"/>
                    <w:spacing w:before="36" w:line="166" w:lineRule="exact"/>
                    <w:rPr>
                      <w:rFonts w:ascii="DengXian" w:hAnsi="DengXian" w:eastAsia="DengXian" w:cs="DengXian"/>
                      <w:sz w:val="12"/>
                      <w:szCs w:val="12"/>
                    </w:rPr>
                  </w:pPr>
                  <w:r>
                    <w:rPr>
                      <w:rFonts w:ascii="DengXian" w:hAnsi="DengXian" w:eastAsia="DengXian" w:cs="DengXian"/>
                      <w:sz w:val="12"/>
                      <w:szCs w:val="12"/>
                      <w:color w:val="595959"/>
                      <w:spacing w:val="-3"/>
                      <w:position w:val="1"/>
                    </w:rPr>
                    <w:t>-2.0%</w:t>
                  </w:r>
                </w:p>
                <w:p>
                  <w:pPr>
                    <w:ind w:left="27"/>
                    <w:spacing w:before="36" w:line="166" w:lineRule="exact"/>
                    <w:rPr>
                      <w:rFonts w:ascii="DengXian" w:hAnsi="DengXian" w:eastAsia="DengXian" w:cs="DengXian"/>
                      <w:sz w:val="12"/>
                      <w:szCs w:val="12"/>
                    </w:rPr>
                  </w:pPr>
                  <w:r>
                    <w:rPr>
                      <w:rFonts w:ascii="DengXian" w:hAnsi="DengXian" w:eastAsia="DengXian" w:cs="DengXian"/>
                      <w:sz w:val="12"/>
                      <w:szCs w:val="12"/>
                      <w:color w:val="595959"/>
                      <w:spacing w:val="-3"/>
                      <w:position w:val="1"/>
                    </w:rPr>
                    <w:t>-4.0%</w:t>
                  </w:r>
                </w:p>
                <w:p>
                  <w:pPr>
                    <w:ind w:left="27"/>
                    <w:spacing w:before="35" w:line="166" w:lineRule="exact"/>
                    <w:rPr>
                      <w:rFonts w:ascii="DengXian" w:hAnsi="DengXian" w:eastAsia="DengXian" w:cs="DengXian"/>
                      <w:sz w:val="12"/>
                      <w:szCs w:val="12"/>
                    </w:rPr>
                  </w:pPr>
                  <w:r>
                    <w:rPr>
                      <w:rFonts w:ascii="DengXian" w:hAnsi="DengXian" w:eastAsia="DengXian" w:cs="DengXian"/>
                      <w:sz w:val="12"/>
                      <w:szCs w:val="12"/>
                      <w:color w:val="595959"/>
                      <w:spacing w:val="-3"/>
                      <w:position w:val="1"/>
                    </w:rPr>
                    <w:t>-6.0%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1"/>
          <w:szCs w:val="21"/>
          <w:color w:val="595959"/>
        </w:rPr>
        <w:t>近一年我国CPI与PPI增速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7648"/>
        <w:spacing w:before="45" w:line="249" w:lineRule="exact"/>
        <w:rPr>
          <w:rFonts w:ascii="DengXian" w:hAnsi="DengXian" w:eastAsia="DengXian" w:cs="DengXian"/>
          <w:sz w:val="13"/>
          <w:szCs w:val="13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11963</wp:posOffset>
            </wp:positionH>
            <wp:positionV relativeFrom="paragraph">
              <wp:posOffset>-1063052</wp:posOffset>
            </wp:positionV>
            <wp:extent cx="5259323" cy="206654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9323" cy="2066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engXian" w:hAnsi="DengXian" w:eastAsia="DengXian" w:cs="DengXian"/>
          <w:sz w:val="13"/>
          <w:szCs w:val="13"/>
          <w:color w:val="404040"/>
          <w:spacing w:val="3"/>
          <w:position w:val="7"/>
        </w:rPr>
        <w:t>0.7%</w:t>
      </w:r>
      <w:r>
        <w:rPr>
          <w:rFonts w:ascii="DengXian" w:hAnsi="DengXian" w:eastAsia="DengXian" w:cs="DengXian"/>
          <w:sz w:val="13"/>
          <w:szCs w:val="13"/>
          <w:color w:val="404040"/>
          <w:spacing w:val="21"/>
          <w:w w:val="101"/>
          <w:position w:val="7"/>
        </w:rPr>
        <w:t xml:space="preserve"> </w:t>
      </w:r>
      <w:r>
        <w:rPr>
          <w:rFonts w:ascii="DengXian" w:hAnsi="DengXian" w:eastAsia="DengXian" w:cs="DengXian"/>
          <w:sz w:val="13"/>
          <w:szCs w:val="13"/>
          <w:color w:val="404040"/>
          <w:spacing w:val="3"/>
          <w:position w:val="1"/>
        </w:rPr>
        <w:t>0.1%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ind w:left="7623"/>
        <w:spacing w:before="45" w:line="174" w:lineRule="auto"/>
        <w:rPr>
          <w:rFonts w:ascii="DengXian" w:hAnsi="DengXian" w:eastAsia="DengXian" w:cs="DengXian"/>
          <w:sz w:val="13"/>
          <w:szCs w:val="13"/>
        </w:rPr>
      </w:pPr>
      <w:r>
        <w:rPr>
          <w:rFonts w:ascii="DengXian" w:hAnsi="DengXian" w:eastAsia="DengXian" w:cs="DengXian"/>
          <w:sz w:val="13"/>
          <w:szCs w:val="13"/>
          <w:color w:val="404040"/>
          <w:spacing w:val="1"/>
        </w:rPr>
        <w:t>-2.5%</w:t>
      </w:r>
    </w:p>
    <w:p>
      <w:pPr>
        <w:ind w:left="7922"/>
        <w:spacing w:before="1" w:line="234" w:lineRule="auto"/>
        <w:rPr>
          <w:rFonts w:ascii="DengXian" w:hAnsi="DengXian" w:eastAsia="DengXian" w:cs="DengXian"/>
          <w:sz w:val="13"/>
          <w:szCs w:val="13"/>
        </w:rPr>
      </w:pPr>
      <w:r>
        <w:rPr>
          <w:rFonts w:ascii="DengXian" w:hAnsi="DengXian" w:eastAsia="DengXian" w:cs="DengXian"/>
          <w:sz w:val="13"/>
          <w:szCs w:val="13"/>
          <w:color w:val="404040"/>
          <w:spacing w:val="1"/>
        </w:rPr>
        <w:t>-3.6%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2453"/>
        <w:spacing w:before="98" w:line="220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2"/>
        </w:rPr>
        <w:t>图</w:t>
      </w:r>
      <w:r>
        <w:rPr>
          <w:rFonts w:ascii="KaiTi" w:hAnsi="KaiTi" w:eastAsia="KaiTi" w:cs="KaiTi"/>
          <w:sz w:val="30"/>
          <w:szCs w:val="30"/>
          <w:spacing w:val="-4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2"/>
        </w:rPr>
        <w:t>1</w:t>
      </w:r>
      <w:r>
        <w:rPr>
          <w:rFonts w:ascii="KaiTi" w:hAnsi="KaiTi" w:eastAsia="KaiTi" w:cs="KaiTi"/>
          <w:sz w:val="30"/>
          <w:szCs w:val="30"/>
          <w:spacing w:val="10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2"/>
        </w:rPr>
        <w:t>我国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2"/>
        </w:rPr>
        <w:t>CPI</w:t>
      </w:r>
      <w:r>
        <w:rPr>
          <w:rFonts w:ascii="KaiTi" w:hAnsi="KaiTi" w:eastAsia="KaiTi" w:cs="KaiTi"/>
          <w:sz w:val="30"/>
          <w:szCs w:val="30"/>
          <w:spacing w:val="-5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2"/>
        </w:rPr>
        <w:t>与</w:t>
      </w:r>
      <w:r>
        <w:rPr>
          <w:rFonts w:ascii="KaiTi" w:hAnsi="KaiTi" w:eastAsia="KaiTi" w:cs="KaiTi"/>
          <w:sz w:val="30"/>
          <w:szCs w:val="30"/>
          <w:spacing w:val="-6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2"/>
        </w:rPr>
        <w:t>PPI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2"/>
        </w:rPr>
        <w:t>增速</w:t>
      </w:r>
    </w:p>
    <w:p>
      <w:pPr>
        <w:ind w:left="624"/>
        <w:spacing w:before="33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．大部分研究机构认为我国经济未通缩</w:t>
      </w:r>
    </w:p>
    <w:p>
      <w:pPr>
        <w:ind w:left="26" w:right="13" w:firstLine="598"/>
        <w:spacing w:before="319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梳理官方机构及智库机构对于我国经济是否进入通缩的判</w:t>
      </w:r>
      <w:r>
        <w:rPr>
          <w:rFonts w:ascii="SimSun" w:hAnsi="SimSun" w:eastAsia="SimSun" w:cs="SimSun"/>
          <w:sz w:val="30"/>
          <w:szCs w:val="30"/>
          <w:spacing w:val="-4"/>
        </w:rPr>
        <w:t>断，除少数观点外，大部分机构认为我国经济并未达到通货紧缩</w:t>
      </w:r>
      <w:r>
        <w:rPr>
          <w:rFonts w:ascii="SimSun" w:hAnsi="SimSun" w:eastAsia="SimSun" w:cs="SimSun"/>
          <w:sz w:val="30"/>
          <w:szCs w:val="30"/>
          <w:spacing w:val="-8"/>
        </w:rPr>
        <w:t>相关标准。但认为，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物价低迷折射出我国经济复苏的形势不容乐</w:t>
      </w:r>
      <w:r>
        <w:rPr>
          <w:rFonts w:ascii="SimSun" w:hAnsi="SimSun" w:eastAsia="SimSun" w:cs="SimSun"/>
          <w:sz w:val="30"/>
          <w:szCs w:val="30"/>
          <w:spacing w:val="-4"/>
        </w:rPr>
        <w:t>观，存在市场信心不足、有效需求不足、经济复苏内生动力不强</w:t>
      </w:r>
      <w:r>
        <w:rPr>
          <w:rFonts w:ascii="SimSun" w:hAnsi="SimSun" w:eastAsia="SimSun" w:cs="SimSun"/>
          <w:sz w:val="30"/>
          <w:szCs w:val="30"/>
          <w:spacing w:val="-11"/>
        </w:rPr>
        <w:t>等问题。</w:t>
      </w:r>
    </w:p>
    <w:p>
      <w:pPr>
        <w:ind w:left="458"/>
        <w:spacing w:before="257" w:line="207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表</w:t>
      </w:r>
      <w:r>
        <w:rPr>
          <w:rFonts w:ascii="KaiTi" w:hAnsi="KaiTi" w:eastAsia="KaiTi" w:cs="KaiTi"/>
          <w:sz w:val="30"/>
          <w:szCs w:val="30"/>
          <w:spacing w:val="-5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3</w:t>
      </w:r>
      <w:r>
        <w:rPr>
          <w:rFonts w:ascii="KaiTi" w:hAnsi="KaiTi" w:eastAsia="KaiTi" w:cs="KaiTi"/>
          <w:sz w:val="30"/>
          <w:szCs w:val="30"/>
          <w:spacing w:val="-1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"/>
        </w:rPr>
        <w:t>官方及研究机构关于我国经济是否通缩的相关讨论</w:t>
      </w:r>
    </w:p>
    <w:tbl>
      <w:tblPr>
        <w:tblStyle w:val="TableNormal"/>
        <w:tblW w:w="830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22"/>
        <w:gridCol w:w="6885"/>
      </w:tblGrid>
      <w:tr>
        <w:trPr>
          <w:trHeight w:val="327" w:hRule="atLeast"/>
        </w:trPr>
        <w:tc>
          <w:tcPr>
            <w:shd w:val="clear" w:fill="BDD6EE"/>
            <w:tcW w:w="1422" w:type="dxa"/>
            <w:vAlign w:val="top"/>
          </w:tcPr>
          <w:p>
            <w:pPr>
              <w:pStyle w:val="TableText"/>
              <w:ind w:left="469"/>
              <w:spacing w:before="33" w:line="20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机构</w:t>
            </w:r>
          </w:p>
        </w:tc>
        <w:tc>
          <w:tcPr>
            <w:shd w:val="clear" w:fill="BDD6EE"/>
            <w:tcW w:w="6885" w:type="dxa"/>
            <w:vAlign w:val="top"/>
          </w:tcPr>
          <w:p>
            <w:pPr>
              <w:pStyle w:val="TableText"/>
              <w:ind w:left="2975"/>
              <w:spacing w:before="33" w:line="20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主要观点</w:t>
            </w:r>
          </w:p>
        </w:tc>
      </w:tr>
      <w:tr>
        <w:trPr>
          <w:trHeight w:val="284" w:hRule="atLeast"/>
        </w:trPr>
        <w:tc>
          <w:tcPr>
            <w:tcW w:w="8307" w:type="dxa"/>
            <w:vAlign w:val="top"/>
            <w:gridSpan w:val="2"/>
          </w:tcPr>
          <w:p>
            <w:pPr>
              <w:pStyle w:val="TableText"/>
              <w:ind w:left="3315"/>
              <w:spacing w:before="30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不符合通缩标准</w:t>
            </w:r>
          </w:p>
        </w:tc>
      </w:tr>
      <w:tr>
        <w:trPr>
          <w:trHeight w:val="569" w:hRule="atLeast"/>
        </w:trPr>
        <w:tc>
          <w:tcPr>
            <w:tcW w:w="1422" w:type="dxa"/>
            <w:vAlign w:val="top"/>
          </w:tcPr>
          <w:p>
            <w:pPr>
              <w:pStyle w:val="TableText"/>
              <w:ind w:left="135"/>
              <w:spacing w:before="170" w:line="22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国家统计局</w:t>
            </w:r>
          </w:p>
        </w:tc>
        <w:tc>
          <w:tcPr>
            <w:tcW w:w="6885" w:type="dxa"/>
            <w:vAlign w:val="top"/>
          </w:tcPr>
          <w:p>
            <w:pPr>
              <w:pStyle w:val="TableText"/>
              <w:ind w:left="136"/>
              <w:spacing w:before="32" w:line="20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当前中国经济没有通缩，下阶段也不会出现通缩</w:t>
            </w:r>
          </w:p>
          <w:p>
            <w:pPr>
              <w:pStyle w:val="TableText"/>
              <w:ind w:left="131"/>
              <w:spacing w:before="1" w:line="18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国内经济复苏态势良好，需求不足的制约仍然明显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7" w:h="16839"/>
          <w:pgMar w:top="400" w:right="1785" w:bottom="0" w:left="178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0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22"/>
        <w:gridCol w:w="6885"/>
      </w:tblGrid>
      <w:tr>
        <w:trPr>
          <w:trHeight w:val="571" w:hRule="atLeast"/>
        </w:trPr>
        <w:tc>
          <w:tcPr>
            <w:tcW w:w="1422" w:type="dxa"/>
            <w:vAlign w:val="top"/>
          </w:tcPr>
          <w:p>
            <w:pPr>
              <w:pStyle w:val="TableText"/>
              <w:ind w:left="235"/>
              <w:spacing w:before="175" w:line="22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人民银行</w:t>
            </w:r>
          </w:p>
        </w:tc>
        <w:tc>
          <w:tcPr>
            <w:tcW w:w="6885" w:type="dxa"/>
            <w:vAlign w:val="top"/>
          </w:tcPr>
          <w:p>
            <w:pPr>
              <w:pStyle w:val="TableText"/>
              <w:ind w:left="131" w:right="295" w:hanging="16"/>
              <w:spacing w:before="32" w:line="19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货币信贷较快增长与物价回落并存，本质上是受时滞影响，我</w:t>
            </w:r>
            <w:r>
              <w:rPr>
                <w:sz w:val="24"/>
                <w:szCs w:val="24"/>
                <w:spacing w:val="-2"/>
              </w:rPr>
              <w:t>国不存在长期通缩或通胀的基础</w:t>
            </w:r>
          </w:p>
        </w:tc>
      </w:tr>
      <w:tr>
        <w:trPr>
          <w:trHeight w:val="1122" w:hRule="atLeast"/>
        </w:trPr>
        <w:tc>
          <w:tcPr>
            <w:tcW w:w="1422" w:type="dxa"/>
            <w:vAlign w:val="top"/>
          </w:tcPr>
          <w:p>
            <w:pPr>
              <w:pStyle w:val="TableText"/>
              <w:ind w:left="353" w:right="229" w:hanging="93"/>
              <w:spacing w:before="308" w:line="21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9"/>
              </w:rPr>
              <w:t>中国社会</w:t>
            </w:r>
            <w:r>
              <w:rPr>
                <w:sz w:val="24"/>
                <w:szCs w:val="24"/>
                <w:spacing w:val="-2"/>
              </w:rPr>
              <w:t>科学院</w:t>
            </w:r>
          </w:p>
        </w:tc>
        <w:tc>
          <w:tcPr>
            <w:tcW w:w="6885" w:type="dxa"/>
            <w:vAlign w:val="top"/>
          </w:tcPr>
          <w:p>
            <w:pPr>
              <w:pStyle w:val="TableText"/>
              <w:ind w:left="112" w:right="150" w:firstLine="24"/>
              <w:spacing w:before="30" w:line="20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中国社科院学部委员：关注通缩完全正确；P</w:t>
            </w:r>
            <w:r>
              <w:rPr>
                <w:sz w:val="24"/>
                <w:szCs w:val="24"/>
                <w:spacing w:val="-2"/>
              </w:rPr>
              <w:t>PI 连续负增长令人</w:t>
            </w:r>
            <w:r>
              <w:rPr>
                <w:sz w:val="24"/>
                <w:szCs w:val="24"/>
                <w:spacing w:val="-3"/>
              </w:rPr>
              <w:t>担忧</w:t>
            </w:r>
          </w:p>
          <w:p>
            <w:pPr>
              <w:pStyle w:val="TableText"/>
              <w:ind w:left="112" w:right="294" w:firstLine="5"/>
              <w:spacing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宏观经济研究室：通缩言之过早仍需观察，目前是疫后的短暂</w:t>
            </w:r>
            <w:r>
              <w:rPr>
                <w:sz w:val="24"/>
                <w:szCs w:val="24"/>
                <w:spacing w:val="-2"/>
              </w:rPr>
              <w:t>状况</w:t>
            </w:r>
          </w:p>
        </w:tc>
      </w:tr>
      <w:tr>
        <w:trPr>
          <w:trHeight w:val="565" w:hRule="atLeast"/>
        </w:trPr>
        <w:tc>
          <w:tcPr>
            <w:tcW w:w="1422" w:type="dxa"/>
            <w:vAlign w:val="top"/>
          </w:tcPr>
          <w:p>
            <w:pPr>
              <w:pStyle w:val="TableText"/>
              <w:ind w:left="114" w:right="109" w:firstLine="146"/>
              <w:spacing w:before="32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9"/>
              </w:rPr>
              <w:t>中国财政</w:t>
            </w:r>
            <w:r>
              <w:rPr>
                <w:sz w:val="24"/>
                <w:szCs w:val="24"/>
                <w:spacing w:val="-2"/>
              </w:rPr>
              <w:t>科学研究院</w:t>
            </w:r>
          </w:p>
        </w:tc>
        <w:tc>
          <w:tcPr>
            <w:tcW w:w="6885" w:type="dxa"/>
            <w:vAlign w:val="top"/>
          </w:tcPr>
          <w:p>
            <w:pPr>
              <w:pStyle w:val="TableText"/>
              <w:ind w:left="121"/>
              <w:spacing w:before="31" w:line="20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关注一季度经济数据中的结构性复苏不均衡</w:t>
            </w:r>
          </w:p>
          <w:p>
            <w:pPr>
              <w:pStyle w:val="TableText"/>
              <w:ind w:left="116"/>
              <w:spacing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经济复苏内生动力有所不足</w:t>
            </w:r>
          </w:p>
        </w:tc>
      </w:tr>
      <w:tr>
        <w:trPr>
          <w:trHeight w:val="563" w:hRule="atLeast"/>
        </w:trPr>
        <w:tc>
          <w:tcPr>
            <w:tcW w:w="1422" w:type="dxa"/>
            <w:vAlign w:val="top"/>
          </w:tcPr>
          <w:p>
            <w:pPr>
              <w:pStyle w:val="TableText"/>
              <w:ind w:left="238"/>
              <w:spacing w:before="170"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泽平宏观</w:t>
            </w:r>
          </w:p>
        </w:tc>
        <w:tc>
          <w:tcPr>
            <w:tcW w:w="6885" w:type="dxa"/>
            <w:vAlign w:val="top"/>
          </w:tcPr>
          <w:p>
            <w:pPr>
              <w:pStyle w:val="TableText"/>
              <w:ind w:left="110" w:right="295" w:firstLine="27"/>
              <w:spacing w:before="30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中国经济并非通缩，处于复苏早期；但市场</w:t>
            </w:r>
            <w:r>
              <w:rPr>
                <w:sz w:val="24"/>
                <w:szCs w:val="24"/>
                <w:spacing w:val="-2"/>
              </w:rPr>
              <w:t>信心和总需求不足</w:t>
            </w:r>
            <w:r>
              <w:rPr>
                <w:sz w:val="24"/>
                <w:szCs w:val="24"/>
                <w:spacing w:val="-1"/>
              </w:rPr>
              <w:t>应防止经济二次探底</w:t>
            </w:r>
          </w:p>
        </w:tc>
      </w:tr>
      <w:tr>
        <w:trPr>
          <w:trHeight w:val="847" w:hRule="atLeast"/>
        </w:trPr>
        <w:tc>
          <w:tcPr>
            <w:tcW w:w="1422" w:type="dxa"/>
            <w:vAlign w:val="top"/>
          </w:tcPr>
          <w:p>
            <w:pPr>
              <w:pStyle w:val="TableText"/>
              <w:ind w:left="483"/>
              <w:spacing w:before="173" w:line="20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上海</w:t>
            </w:r>
          </w:p>
          <w:p>
            <w:pPr>
              <w:pStyle w:val="TableText"/>
              <w:ind w:left="235"/>
              <w:spacing w:line="22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财经大学</w:t>
            </w:r>
          </w:p>
        </w:tc>
        <w:tc>
          <w:tcPr>
            <w:tcW w:w="6885" w:type="dxa"/>
            <w:vAlign w:val="top"/>
          </w:tcPr>
          <w:p>
            <w:pPr>
              <w:pStyle w:val="TableText"/>
              <w:ind w:left="136"/>
              <w:spacing w:before="34" w:line="20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当前并非通缩，需求复苏进度慢于供给导致物价回落</w:t>
            </w:r>
          </w:p>
          <w:p>
            <w:pPr>
              <w:pStyle w:val="TableText"/>
              <w:ind w:left="113" w:right="295" w:firstLine="3"/>
              <w:spacing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经济正从社会秩序与交易修复阶段向利润与资产负债表修复阶</w:t>
            </w:r>
            <w:r>
              <w:rPr>
                <w:sz w:val="24"/>
                <w:szCs w:val="24"/>
                <w:spacing w:val="-3"/>
              </w:rPr>
              <w:t>段迈进</w:t>
            </w:r>
          </w:p>
        </w:tc>
      </w:tr>
      <w:tr>
        <w:trPr>
          <w:trHeight w:val="563" w:hRule="atLeast"/>
        </w:trPr>
        <w:tc>
          <w:tcPr>
            <w:tcW w:w="1422" w:type="dxa"/>
            <w:vAlign w:val="top"/>
          </w:tcPr>
          <w:p>
            <w:pPr>
              <w:pStyle w:val="TableText"/>
              <w:ind w:left="476" w:right="159" w:hanging="305"/>
              <w:spacing w:before="32"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金融 40 人</w:t>
            </w:r>
            <w:r>
              <w:rPr>
                <w:sz w:val="24"/>
                <w:szCs w:val="24"/>
                <w:spacing w:val="-3"/>
              </w:rPr>
              <w:t>论坛</w:t>
            </w:r>
          </w:p>
        </w:tc>
        <w:tc>
          <w:tcPr>
            <w:tcW w:w="6885" w:type="dxa"/>
            <w:vAlign w:val="top"/>
          </w:tcPr>
          <w:p>
            <w:pPr>
              <w:pStyle w:val="TableText"/>
              <w:ind w:left="114" w:right="775" w:firstLine="39"/>
              <w:spacing w:before="32"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目前面临的是物价下行的压力，并未达到通货紧缩的标准</w:t>
            </w:r>
            <w:r>
              <w:rPr>
                <w:sz w:val="24"/>
                <w:szCs w:val="24"/>
                <w:spacing w:val="-1"/>
              </w:rPr>
              <w:t>不应对当前经济形势盲目乐观，宏观政策不宜过早退场</w:t>
            </w:r>
          </w:p>
        </w:tc>
      </w:tr>
      <w:tr>
        <w:trPr>
          <w:trHeight w:val="566" w:hRule="atLeast"/>
        </w:trPr>
        <w:tc>
          <w:tcPr>
            <w:tcW w:w="1422" w:type="dxa"/>
            <w:vAlign w:val="top"/>
          </w:tcPr>
          <w:p>
            <w:pPr>
              <w:pStyle w:val="TableText"/>
              <w:ind w:left="246"/>
              <w:spacing w:before="175" w:line="22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美国银行</w:t>
            </w:r>
          </w:p>
        </w:tc>
        <w:tc>
          <w:tcPr>
            <w:tcW w:w="6885" w:type="dxa"/>
            <w:vAlign w:val="top"/>
          </w:tcPr>
          <w:p>
            <w:pPr>
              <w:pStyle w:val="TableText"/>
              <w:ind w:left="115" w:right="295" w:hanging="5"/>
              <w:spacing w:before="33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尽管尚未达到通货紧缩水平，但中国低通胀可</w:t>
            </w:r>
            <w:r>
              <w:rPr>
                <w:sz w:val="24"/>
                <w:szCs w:val="24"/>
                <w:spacing w:val="-1"/>
              </w:rPr>
              <w:t>能是由需求不足</w:t>
            </w:r>
            <w:r>
              <w:rPr>
                <w:sz w:val="24"/>
                <w:szCs w:val="24"/>
                <w:spacing w:val="-3"/>
              </w:rPr>
              <w:t>驱动</w:t>
            </w:r>
          </w:p>
        </w:tc>
      </w:tr>
      <w:tr>
        <w:trPr>
          <w:trHeight w:val="283" w:hRule="atLeast"/>
        </w:trPr>
        <w:tc>
          <w:tcPr>
            <w:tcW w:w="8307" w:type="dxa"/>
            <w:vAlign w:val="top"/>
            <w:gridSpan w:val="2"/>
          </w:tcPr>
          <w:p>
            <w:pPr>
              <w:pStyle w:val="TableText"/>
              <w:ind w:left="3434"/>
              <w:spacing w:before="33" w:line="17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经济进入通缩</w:t>
            </w:r>
          </w:p>
        </w:tc>
      </w:tr>
      <w:tr>
        <w:trPr>
          <w:trHeight w:val="566" w:hRule="atLeast"/>
        </w:trPr>
        <w:tc>
          <w:tcPr>
            <w:tcW w:w="1422" w:type="dxa"/>
            <w:vAlign w:val="top"/>
          </w:tcPr>
          <w:p>
            <w:pPr>
              <w:pStyle w:val="TableText"/>
              <w:ind w:left="394"/>
              <w:spacing w:before="73" w:line="1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WEF&amp;</w:t>
            </w:r>
          </w:p>
          <w:p>
            <w:pPr>
              <w:pStyle w:val="TableText"/>
              <w:ind w:left="239"/>
              <w:spacing w:line="1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澳新银行</w:t>
            </w:r>
          </w:p>
        </w:tc>
        <w:tc>
          <w:tcPr>
            <w:tcW w:w="6885" w:type="dxa"/>
            <w:vAlign w:val="top"/>
          </w:tcPr>
          <w:p>
            <w:pPr>
              <w:pStyle w:val="TableText"/>
              <w:ind w:left="112" w:right="295" w:firstLine="3"/>
              <w:spacing w:before="35"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通缩幽灵笼罩中国经济。家庭正储蓄应对不确定性；企业对维</w:t>
            </w:r>
            <w:r>
              <w:rPr>
                <w:sz w:val="24"/>
                <w:szCs w:val="24"/>
                <w:spacing w:val="-3"/>
              </w:rPr>
              <w:t>持生产/新投资持谨慎态度。</w:t>
            </w:r>
          </w:p>
        </w:tc>
      </w:tr>
      <w:tr>
        <w:trPr>
          <w:trHeight w:val="290" w:hRule="atLeast"/>
        </w:trPr>
        <w:tc>
          <w:tcPr>
            <w:tcW w:w="1422" w:type="dxa"/>
            <w:vAlign w:val="top"/>
          </w:tcPr>
          <w:p>
            <w:pPr>
              <w:pStyle w:val="TableText"/>
              <w:ind w:left="140"/>
              <w:spacing w:before="33" w:line="1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6"/>
              </w:rPr>
              <w:t>中国社科院</w:t>
            </w:r>
          </w:p>
        </w:tc>
        <w:tc>
          <w:tcPr>
            <w:tcW w:w="6885" w:type="dxa"/>
            <w:vAlign w:val="top"/>
          </w:tcPr>
          <w:p>
            <w:pPr>
              <w:pStyle w:val="TableText"/>
              <w:ind w:left="112"/>
              <w:spacing w:before="33" w:line="1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金融重点实验室：通缩信号已经出现，经济落入衰退象限</w:t>
            </w:r>
          </w:p>
        </w:tc>
      </w:tr>
    </w:tbl>
    <w:p>
      <w:pPr>
        <w:ind w:right="10"/>
        <w:spacing w:before="44" w:line="226" w:lineRule="auto"/>
        <w:jc w:val="righ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21"/>
          <w:szCs w:val="21"/>
          <w:spacing w:val="-1"/>
        </w:rPr>
        <w:t>来源：公开资料整理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left="621"/>
        <w:spacing w:before="97" w:line="232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．物价低迷的成因</w:t>
      </w:r>
    </w:p>
    <w:p>
      <w:pPr>
        <w:ind w:left="25" w:right="13" w:firstLine="599"/>
        <w:spacing w:before="320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对照“两特征一伴随”的通缩经典分析框架，现阶段我</w:t>
      </w:r>
      <w:r>
        <w:rPr>
          <w:rFonts w:ascii="SimSun" w:hAnsi="SimSun" w:eastAsia="SimSun" w:cs="SimSun"/>
          <w:sz w:val="30"/>
          <w:szCs w:val="30"/>
          <w:spacing w:val="-5"/>
        </w:rPr>
        <w:t>国经</w:t>
      </w:r>
      <w:r>
        <w:rPr>
          <w:rFonts w:ascii="SimSun" w:hAnsi="SimSun" w:eastAsia="SimSun" w:cs="SimSun"/>
          <w:sz w:val="30"/>
          <w:szCs w:val="30"/>
          <w:spacing w:val="-4"/>
        </w:rPr>
        <w:t>济连技术型通缩都不构成，遑论是通常意义上的通货紧缩。我国</w:t>
      </w:r>
      <w:r>
        <w:rPr>
          <w:rFonts w:ascii="SimSun" w:hAnsi="SimSun" w:eastAsia="SimSun" w:cs="SimSun"/>
          <w:sz w:val="30"/>
          <w:szCs w:val="30"/>
          <w:spacing w:val="-4"/>
        </w:rPr>
        <w:t>物价接连低迷，其主要原因是，长达三年的疫情叠加针对房地产</w:t>
      </w:r>
      <w:r>
        <w:rPr>
          <w:rFonts w:ascii="SimSun" w:hAnsi="SimSun" w:eastAsia="SimSun" w:cs="SimSun"/>
          <w:sz w:val="30"/>
          <w:szCs w:val="30"/>
          <w:spacing w:val="-4"/>
        </w:rPr>
        <w:t>及平台经济等关联效应大的行业监管，损伤居民与企业等微观主</w:t>
      </w:r>
      <w:r>
        <w:rPr>
          <w:rFonts w:ascii="SimSun" w:hAnsi="SimSun" w:eastAsia="SimSun" w:cs="SimSun"/>
          <w:sz w:val="30"/>
          <w:szCs w:val="30"/>
          <w:spacing w:val="-4"/>
        </w:rPr>
        <w:t>体预期，显著增长地方政府债务风险，导致我国有效总需求不足</w:t>
      </w:r>
      <w:r>
        <w:rPr>
          <w:rFonts w:ascii="SimSun" w:hAnsi="SimSun" w:eastAsia="SimSun" w:cs="SimSun"/>
          <w:sz w:val="30"/>
          <w:szCs w:val="30"/>
          <w:spacing w:val="-4"/>
        </w:rPr>
        <w:t>这一固有问题对经济起步复苏形成明显制约，消费与民间投资需</w:t>
      </w:r>
      <w:r>
        <w:rPr>
          <w:rFonts w:ascii="SimSun" w:hAnsi="SimSun" w:eastAsia="SimSun" w:cs="SimSun"/>
          <w:sz w:val="30"/>
          <w:szCs w:val="30"/>
          <w:spacing w:val="-18"/>
        </w:rPr>
        <w:t>求大幅放缓、货币持有偏好显著增强（见表</w:t>
      </w:r>
      <w:r>
        <w:rPr>
          <w:rFonts w:ascii="SimSun" w:hAnsi="SimSun" w:eastAsia="SimSun" w:cs="SimSun"/>
          <w:sz w:val="30"/>
          <w:szCs w:val="3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8"/>
        </w:rPr>
        <w:t>2</w:t>
      </w:r>
      <w:r>
        <w:rPr>
          <w:rFonts w:ascii="Times New Roman" w:hAnsi="Times New Roman" w:eastAsia="Times New Roman" w:cs="Times New Roman"/>
          <w:sz w:val="30"/>
          <w:szCs w:val="30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8"/>
        </w:rPr>
        <w:t>中相关消费、投资、</w:t>
      </w:r>
      <w:r>
        <w:rPr>
          <w:rFonts w:ascii="SimSun" w:hAnsi="SimSun" w:eastAsia="SimSun" w:cs="SimSun"/>
          <w:sz w:val="30"/>
          <w:szCs w:val="30"/>
          <w:spacing w:val="-31"/>
        </w:rPr>
        <w:t>储蓄数据）。</w:t>
      </w:r>
    </w:p>
    <w:p>
      <w:pPr>
        <w:ind w:left="2259"/>
        <w:spacing w:before="261" w:line="207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表</w:t>
      </w:r>
      <w:r>
        <w:rPr>
          <w:rFonts w:ascii="KaiTi" w:hAnsi="KaiTi" w:eastAsia="KaiTi" w:cs="KaiTi"/>
          <w:sz w:val="30"/>
          <w:szCs w:val="30"/>
          <w:spacing w:val="-6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4</w:t>
      </w:r>
      <w:r>
        <w:rPr>
          <w:rFonts w:ascii="KaiTi" w:hAnsi="KaiTi" w:eastAsia="KaiTi" w:cs="KaiTi"/>
          <w:sz w:val="30"/>
          <w:szCs w:val="30"/>
          <w:spacing w:val="-1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"/>
        </w:rPr>
        <w:t>通货紧缩相关判定标准</w:t>
      </w:r>
    </w:p>
    <w:tbl>
      <w:tblPr>
        <w:tblStyle w:val="TableNormal"/>
        <w:tblW w:w="7861" w:type="dxa"/>
        <w:tblInd w:w="23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01"/>
        <w:gridCol w:w="2850"/>
        <w:gridCol w:w="3610"/>
      </w:tblGrid>
      <w:tr>
        <w:trPr>
          <w:trHeight w:val="478" w:hRule="atLeast"/>
        </w:trPr>
        <w:tc>
          <w:tcPr>
            <w:shd w:val="clear" w:fill="DEEAF6"/>
            <w:tcW w:w="1401" w:type="dxa"/>
            <w:vAlign w:val="top"/>
          </w:tcPr>
          <w:p>
            <w:pPr>
              <w:pStyle w:val="TableText"/>
              <w:ind w:left="235"/>
              <w:spacing w:before="136" w:line="22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判断指标</w:t>
            </w:r>
          </w:p>
        </w:tc>
        <w:tc>
          <w:tcPr>
            <w:shd w:val="clear" w:fill="DEEAF6"/>
            <w:tcW w:w="2850" w:type="dxa"/>
            <w:vAlign w:val="top"/>
          </w:tcPr>
          <w:p>
            <w:pPr>
              <w:pStyle w:val="TableText"/>
              <w:ind w:left="958"/>
              <w:spacing w:before="137" w:line="22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判断条件</w:t>
            </w:r>
          </w:p>
        </w:tc>
        <w:tc>
          <w:tcPr>
            <w:shd w:val="clear" w:fill="DEEAF6"/>
            <w:tcW w:w="3610" w:type="dxa"/>
            <w:vAlign w:val="top"/>
          </w:tcPr>
          <w:p>
            <w:pPr>
              <w:pStyle w:val="TableText"/>
              <w:ind w:left="695"/>
              <w:spacing w:before="136" w:line="22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我国 1~4 月经济情况</w:t>
            </w:r>
          </w:p>
        </w:tc>
      </w:tr>
      <w:tr>
        <w:trPr>
          <w:trHeight w:val="905" w:hRule="atLeast"/>
        </w:trPr>
        <w:tc>
          <w:tcPr>
            <w:tcW w:w="1401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"/>
              <w:spacing w:before="81" w:line="22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价格水平</w:t>
            </w:r>
          </w:p>
        </w:tc>
        <w:tc>
          <w:tcPr>
            <w:tcW w:w="2850" w:type="dxa"/>
            <w:vAlign w:val="top"/>
          </w:tcPr>
          <w:p>
            <w:pPr>
              <w:pStyle w:val="TableText"/>
              <w:ind w:left="112" w:right="124" w:firstLine="5"/>
              <w:spacing w:before="49" w:line="20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CPI</w:t>
            </w:r>
            <w:r>
              <w:rPr>
                <w:sz w:val="24"/>
                <w:szCs w:val="24"/>
                <w:spacing w:val="32"/>
                <w:w w:val="101"/>
              </w:rPr>
              <w:t xml:space="preserve"> </w:t>
            </w:r>
            <w:r>
              <w:rPr>
                <w:sz w:val="24"/>
                <w:szCs w:val="24"/>
                <w:spacing w:val="-5"/>
              </w:rPr>
              <w:t>同比涨幅低于 1%，且</w:t>
            </w:r>
            <w:r>
              <w:rPr>
                <w:sz w:val="24"/>
                <w:szCs w:val="24"/>
                <w:spacing w:val="-3"/>
              </w:rPr>
              <w:t>持续 6 个月以上，为技</w:t>
            </w:r>
            <w:r>
              <w:rPr>
                <w:sz w:val="24"/>
                <w:szCs w:val="24"/>
                <w:spacing w:val="-2"/>
              </w:rPr>
              <w:t>术型通缩</w:t>
            </w:r>
          </w:p>
        </w:tc>
        <w:tc>
          <w:tcPr>
            <w:tcW w:w="3610" w:type="dxa"/>
            <w:vAlign w:val="top"/>
          </w:tcPr>
          <w:p>
            <w:pPr>
              <w:pStyle w:val="TableText"/>
              <w:ind w:left="116" w:right="136" w:firstLine="1"/>
              <w:spacing w:before="49" w:line="20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大宗商品价格回落，PPI 指数连</w:t>
            </w:r>
            <w:r>
              <w:rPr>
                <w:sz w:val="24"/>
                <w:szCs w:val="24"/>
                <w:spacing w:val="-4"/>
              </w:rPr>
              <w:t>续 7 个月负增长；CPI 指数 3</w:t>
            </w:r>
            <w:r>
              <w:rPr>
                <w:sz w:val="24"/>
                <w:szCs w:val="24"/>
                <w:spacing w:val="-19"/>
              </w:rPr>
              <w:t xml:space="preserve"> </w:t>
            </w:r>
            <w:r>
              <w:rPr>
                <w:sz w:val="24"/>
                <w:szCs w:val="24"/>
                <w:spacing w:val="-4"/>
              </w:rPr>
              <w:t>、4</w:t>
            </w:r>
            <w:r>
              <w:rPr>
                <w:sz w:val="24"/>
                <w:szCs w:val="24"/>
                <w:spacing w:val="-4"/>
              </w:rPr>
              <w:t>月低于</w:t>
            </w:r>
            <w:r>
              <w:rPr>
                <w:sz w:val="24"/>
                <w:szCs w:val="24"/>
                <w:spacing w:val="12"/>
              </w:rPr>
              <w:t xml:space="preserve"> </w:t>
            </w:r>
            <w:r>
              <w:rPr>
                <w:sz w:val="24"/>
                <w:szCs w:val="24"/>
                <w:spacing w:val="-4"/>
              </w:rPr>
              <w:t>1%</w:t>
            </w:r>
          </w:p>
        </w:tc>
      </w:tr>
      <w:tr>
        <w:trPr>
          <w:trHeight w:val="608" w:hRule="atLeast"/>
        </w:trPr>
        <w:tc>
          <w:tcPr>
            <w:tcW w:w="1401" w:type="dxa"/>
            <w:vAlign w:val="top"/>
          </w:tcPr>
          <w:p>
            <w:pPr>
              <w:pStyle w:val="TableText"/>
              <w:ind w:left="112"/>
              <w:spacing w:before="197" w:line="22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货币量</w:t>
            </w:r>
          </w:p>
        </w:tc>
        <w:tc>
          <w:tcPr>
            <w:tcW w:w="2850" w:type="dxa"/>
            <w:vAlign w:val="top"/>
          </w:tcPr>
          <w:p>
            <w:pPr>
              <w:pStyle w:val="TableText"/>
              <w:ind w:left="126" w:right="249" w:hanging="12"/>
              <w:spacing w:before="48" w:line="20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货币供应量持续下降/货</w:t>
            </w:r>
            <w:r>
              <w:rPr>
                <w:sz w:val="24"/>
                <w:szCs w:val="24"/>
                <w:spacing w:val="-3"/>
              </w:rPr>
              <w:t>币供应增速持续下降</w:t>
            </w:r>
          </w:p>
        </w:tc>
        <w:tc>
          <w:tcPr>
            <w:tcW w:w="3610" w:type="dxa"/>
            <w:vAlign w:val="top"/>
          </w:tcPr>
          <w:p>
            <w:pPr>
              <w:pStyle w:val="TableText"/>
              <w:ind w:left="127"/>
              <w:spacing w:before="48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M0/M1/M2 增长</w:t>
            </w:r>
          </w:p>
          <w:p>
            <w:pPr>
              <w:pStyle w:val="TableText"/>
              <w:ind w:left="124"/>
              <w:spacing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10.7%/5.3%/12.4%，相对平稳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3"/>
          <w:pgSz w:w="11907" w:h="16839"/>
          <w:pgMar w:top="400" w:right="1785" w:bottom="0" w:left="178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7861" w:type="dxa"/>
        <w:tblInd w:w="23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01"/>
        <w:gridCol w:w="2850"/>
        <w:gridCol w:w="3610"/>
      </w:tblGrid>
      <w:tr>
        <w:trPr>
          <w:trHeight w:val="909" w:hRule="atLeast"/>
        </w:trPr>
        <w:tc>
          <w:tcPr>
            <w:tcW w:w="1401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2"/>
              <w:spacing w:before="81"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经济增长</w:t>
            </w:r>
          </w:p>
        </w:tc>
        <w:tc>
          <w:tcPr>
            <w:tcW w:w="2850" w:type="dxa"/>
            <w:vAlign w:val="top"/>
          </w:tcPr>
          <w:p>
            <w:pPr>
              <w:pStyle w:val="TableText"/>
              <w:ind w:left="112" w:right="341" w:firstLine="3"/>
              <w:spacing w:before="49" w:line="209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经济增速下滑，且低于</w:t>
            </w:r>
            <w:r>
              <w:rPr>
                <w:sz w:val="24"/>
                <w:szCs w:val="24"/>
                <w:spacing w:val="-1"/>
              </w:rPr>
              <w:t>持续低于潜在经济增长</w:t>
            </w:r>
            <w:r>
              <w:rPr>
                <w:sz w:val="24"/>
                <w:szCs w:val="24"/>
              </w:rPr>
              <w:t>率</w:t>
            </w:r>
          </w:p>
        </w:tc>
        <w:tc>
          <w:tcPr>
            <w:tcW w:w="3610" w:type="dxa"/>
            <w:vAlign w:val="top"/>
          </w:tcPr>
          <w:p>
            <w:pPr>
              <w:pStyle w:val="TableText"/>
              <w:ind w:left="119" w:right="184"/>
              <w:spacing w:before="49" w:line="209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一季度 GDP 增速 4.5%</w:t>
            </w:r>
            <w:r>
              <w:rPr>
                <w:sz w:val="24"/>
                <w:szCs w:val="24"/>
                <w:spacing w:val="-35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，2023 年</w:t>
            </w:r>
            <w:r>
              <w:rPr>
                <w:sz w:val="24"/>
                <w:szCs w:val="24"/>
                <w:spacing w:val="-2"/>
              </w:rPr>
              <w:t>5.2%，我国经济潜在增长率 5%-</w:t>
            </w:r>
            <w:r>
              <w:rPr>
                <w:sz w:val="24"/>
                <w:szCs w:val="24"/>
                <w:spacing w:val="8"/>
              </w:rPr>
              <w:t xml:space="preserve"> </w:t>
            </w:r>
            <w:r>
              <w:rPr>
                <w:sz w:val="24"/>
                <w:szCs w:val="24"/>
                <w:spacing w:val="-4"/>
              </w:rPr>
              <w:t>5.7%</w:t>
            </w:r>
          </w:p>
        </w:tc>
      </w:tr>
    </w:tbl>
    <w:p>
      <w:pPr>
        <w:ind w:right="8"/>
        <w:spacing w:before="44" w:line="225" w:lineRule="auto"/>
        <w:jc w:val="righ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21"/>
          <w:szCs w:val="21"/>
          <w:spacing w:val="-1"/>
        </w:rPr>
        <w:t>资料来源：分析框架源自北京大学中国经济研究中心宏观组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left="624"/>
        <w:spacing w:before="98" w:line="232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4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．物价低迷的持续性</w:t>
      </w:r>
    </w:p>
    <w:p>
      <w:pPr>
        <w:ind w:left="27" w:right="10" w:firstLine="602"/>
        <w:spacing w:before="319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从外部机构观点判断，各类研究机构从价格指数成份、供需</w:t>
      </w:r>
      <w:r>
        <w:rPr>
          <w:rFonts w:ascii="SimSun" w:hAnsi="SimSun" w:eastAsia="SimSun" w:cs="SimSun"/>
          <w:sz w:val="30"/>
          <w:szCs w:val="30"/>
          <w:spacing w:val="-1"/>
        </w:rPr>
        <w:t>关系角度分析，大幅下调全年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CPI </w:t>
      </w:r>
      <w:r>
        <w:rPr>
          <w:rFonts w:ascii="SimSun" w:hAnsi="SimSun" w:eastAsia="SimSun" w:cs="SimSun"/>
          <w:sz w:val="30"/>
          <w:szCs w:val="30"/>
          <w:spacing w:val="-1"/>
        </w:rPr>
        <w:t>增速</w:t>
      </w:r>
      <w:r>
        <w:rPr>
          <w:rFonts w:ascii="SimSun" w:hAnsi="SimSun" w:eastAsia="SimSun" w:cs="SimSun"/>
          <w:sz w:val="30"/>
          <w:szCs w:val="30"/>
          <w:spacing w:val="-2"/>
        </w:rPr>
        <w:t>至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1%</w:t>
      </w:r>
      <w:r>
        <w:rPr>
          <w:rFonts w:ascii="SimSun" w:hAnsi="SimSun" w:eastAsia="SimSun" w:cs="SimSun"/>
          <w:sz w:val="30"/>
          <w:szCs w:val="30"/>
          <w:spacing w:val="-2"/>
        </w:rPr>
        <w:t>左右，并认为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2022</w:t>
      </w:r>
      <w:r>
        <w:rPr>
          <w:rFonts w:ascii="SimSun" w:hAnsi="SimSun" w:eastAsia="SimSun" w:cs="SimSun"/>
          <w:sz w:val="30"/>
          <w:szCs w:val="30"/>
          <w:spacing w:val="-2"/>
        </w:rPr>
        <w:t>年物价基数高叠加当前需求复苏滞后，将导致物价持续低迷至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7</w:t>
      </w:r>
      <w:r>
        <w:rPr>
          <w:rFonts w:ascii="SimSun" w:hAnsi="SimSun" w:eastAsia="SimSun" w:cs="SimSun"/>
          <w:sz w:val="30"/>
          <w:szCs w:val="30"/>
          <w:spacing w:val="-8"/>
        </w:rPr>
        <w:t>月后才能稳步温和复苏。从货币供求关系判断，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通货膨胀本质是</w:t>
      </w:r>
      <w:r>
        <w:rPr>
          <w:rFonts w:ascii="SimSun" w:hAnsi="SimSun" w:eastAsia="SimSun" w:cs="SimSun"/>
          <w:sz w:val="30"/>
          <w:szCs w:val="30"/>
          <w:spacing w:val="-4"/>
        </w:rPr>
        <w:t>一种货币现象，我国货币供应量适度，物价恢复温和上涨具备较</w:t>
      </w:r>
      <w:r>
        <w:rPr>
          <w:rFonts w:ascii="SimSun" w:hAnsi="SimSun" w:eastAsia="SimSun" w:cs="SimSun"/>
          <w:sz w:val="30"/>
          <w:szCs w:val="30"/>
          <w:spacing w:val="-11"/>
        </w:rPr>
        <w:t>强的货币基础，面向中长期亦无通胀压力。我国三年疫情期间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M2</w:t>
      </w:r>
      <w:r>
        <w:rPr>
          <w:rFonts w:ascii="SimSun" w:hAnsi="SimSun" w:eastAsia="SimSun" w:cs="SimSun"/>
          <w:sz w:val="30"/>
          <w:szCs w:val="30"/>
          <w:spacing w:val="3"/>
        </w:rPr>
        <w:t>口径下货币供应量增速均值为 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>10%</w:t>
      </w:r>
      <w:r>
        <w:rPr>
          <w:rFonts w:ascii="SimSun" w:hAnsi="SimSun" w:eastAsia="SimSun" w:cs="SimSun"/>
          <w:sz w:val="30"/>
          <w:szCs w:val="30"/>
          <w:spacing w:val="3"/>
        </w:rPr>
        <w:t>，比温和通胀阶段增速仅高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1.4</w:t>
      </w:r>
      <w:r>
        <w:rPr>
          <w:rFonts w:ascii="Times New Roman" w:hAnsi="Times New Roman" w:eastAsia="Times New Roman" w:cs="Times New Roman"/>
          <w:sz w:val="30"/>
          <w:szCs w:val="30"/>
          <w:spacing w:val="78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个百分点；而美联储扩表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21</w:t>
      </w:r>
      <w:r>
        <w:rPr>
          <w:rFonts w:ascii="Times New Roman" w:hAnsi="Times New Roman" w:eastAsia="Times New Roman" w:cs="Times New Roman"/>
          <w:sz w:val="30"/>
          <w:szCs w:val="30"/>
          <w:spacing w:val="6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个月期间美国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M2</w:t>
      </w:r>
      <w:r>
        <w:rPr>
          <w:rFonts w:ascii="Times New Roman" w:hAnsi="Times New Roman" w:eastAsia="Times New Roman" w:cs="Times New Roman"/>
          <w:sz w:val="30"/>
          <w:szCs w:val="30"/>
          <w:spacing w:val="61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增速均值为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19%</w:t>
      </w:r>
      <w:r>
        <w:rPr>
          <w:rFonts w:ascii="SimSun" w:hAnsi="SimSun" w:eastAsia="SimSun" w:cs="SimSun"/>
          <w:sz w:val="30"/>
          <w:szCs w:val="30"/>
          <w:spacing w:val="-4"/>
        </w:rPr>
        <w:t>，比温和通胀阶段增速高出</w:t>
      </w:r>
      <w:r>
        <w:rPr>
          <w:rFonts w:ascii="SimSun" w:hAnsi="SimSun" w:eastAsia="SimSun" w:cs="SimSun"/>
          <w:sz w:val="30"/>
          <w:szCs w:val="3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15 </w:t>
      </w:r>
      <w:r>
        <w:rPr>
          <w:rFonts w:ascii="SimSun" w:hAnsi="SimSun" w:eastAsia="SimSun" w:cs="SimSun"/>
          <w:sz w:val="30"/>
          <w:szCs w:val="30"/>
          <w:spacing w:val="-4"/>
        </w:rPr>
        <w:t>个百分点。</w:t>
      </w:r>
    </w:p>
    <w:p>
      <w:pPr>
        <w:ind w:left="1922"/>
        <w:spacing w:before="248" w:line="208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2"/>
        </w:rPr>
        <w:t>表</w:t>
      </w:r>
      <w:r>
        <w:rPr>
          <w:rFonts w:ascii="KaiTi" w:hAnsi="KaiTi" w:eastAsia="KaiTi" w:cs="KaiTi"/>
          <w:sz w:val="30"/>
          <w:szCs w:val="30"/>
          <w:spacing w:val="-58"/>
        </w:rPr>
        <w:t xml:space="preserve"> </w:t>
      </w:r>
      <w:r>
        <w:rPr>
          <w:rFonts w:ascii="KaiTi" w:hAnsi="KaiTi" w:eastAsia="KaiTi" w:cs="KaiTi"/>
          <w:sz w:val="30"/>
          <w:szCs w:val="30"/>
          <w:spacing w:val="2"/>
        </w:rPr>
        <w:t>5</w:t>
      </w:r>
      <w:r>
        <w:rPr>
          <w:rFonts w:ascii="KaiTi" w:hAnsi="KaiTi" w:eastAsia="KaiTi" w:cs="KaiTi"/>
          <w:sz w:val="30"/>
          <w:szCs w:val="30"/>
          <w:spacing w:val="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2"/>
        </w:rPr>
        <w:t>2023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2"/>
        </w:rPr>
        <w:t>年物价与</w:t>
      </w:r>
      <w:r>
        <w:rPr>
          <w:rFonts w:ascii="KaiTi" w:hAnsi="KaiTi" w:eastAsia="KaiTi" w:cs="KaiTi"/>
          <w:sz w:val="30"/>
          <w:szCs w:val="30"/>
        </w:rPr>
        <w:t>GDP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2"/>
        </w:rPr>
        <w:t>增长预测</w:t>
      </w:r>
    </w:p>
    <w:tbl>
      <w:tblPr>
        <w:tblStyle w:val="TableNormal"/>
        <w:tblW w:w="8223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84"/>
        <w:gridCol w:w="3967"/>
        <w:gridCol w:w="2272"/>
      </w:tblGrid>
      <w:tr>
        <w:trPr>
          <w:trHeight w:val="290" w:hRule="atLeast"/>
        </w:trPr>
        <w:tc>
          <w:tcPr>
            <w:shd w:val="clear" w:fill="DEEAF6"/>
            <w:tcW w:w="1984" w:type="dxa"/>
            <w:vAlign w:val="top"/>
          </w:tcPr>
          <w:p>
            <w:pPr>
              <w:pStyle w:val="TableText"/>
              <w:ind w:left="750"/>
              <w:spacing w:before="33" w:line="1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机构</w:t>
            </w:r>
          </w:p>
        </w:tc>
        <w:tc>
          <w:tcPr>
            <w:shd w:val="clear" w:fill="DEEAF6"/>
            <w:tcW w:w="3967" w:type="dxa"/>
            <w:vAlign w:val="top"/>
          </w:tcPr>
          <w:p>
            <w:pPr>
              <w:pStyle w:val="TableText"/>
              <w:ind w:left="854"/>
              <w:spacing w:before="33" w:line="1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2023 年物价增长预期</w:t>
            </w:r>
          </w:p>
        </w:tc>
        <w:tc>
          <w:tcPr>
            <w:shd w:val="clear" w:fill="DEEAF6"/>
            <w:tcW w:w="2272" w:type="dxa"/>
            <w:vAlign w:val="top"/>
          </w:tcPr>
          <w:p>
            <w:pPr>
              <w:pStyle w:val="TableText"/>
              <w:ind w:left="635"/>
              <w:spacing w:before="33" w:line="1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GDP 增速</w:t>
            </w:r>
          </w:p>
        </w:tc>
      </w:tr>
      <w:tr>
        <w:trPr>
          <w:trHeight w:val="285" w:hRule="atLeast"/>
        </w:trPr>
        <w:tc>
          <w:tcPr>
            <w:tcW w:w="1984" w:type="dxa"/>
            <w:vAlign w:val="top"/>
          </w:tcPr>
          <w:p>
            <w:pPr>
              <w:pStyle w:val="TableText"/>
              <w:ind w:left="274"/>
              <w:spacing w:before="28" w:line="1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政府工作报告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116"/>
              <w:spacing w:before="28" w:line="1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居民消费价格涨幅 3.0%左右</w:t>
            </w:r>
          </w:p>
        </w:tc>
        <w:tc>
          <w:tcPr>
            <w:tcW w:w="2272" w:type="dxa"/>
            <w:vAlign w:val="top"/>
            <w:vMerge w:val="restart"/>
            <w:tcBorders>
              <w:bottom w:val="nil"/>
            </w:tcBorders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 w:right="239"/>
              <w:spacing w:before="82" w:line="219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海外机构普遍将中</w:t>
            </w:r>
            <w:r>
              <w:rPr>
                <w:sz w:val="24"/>
                <w:szCs w:val="24"/>
                <w:spacing w:val="-2"/>
              </w:rPr>
              <w:t>国经济增速上调至</w:t>
            </w:r>
            <w:r>
              <w:rPr>
                <w:sz w:val="24"/>
                <w:szCs w:val="24"/>
                <w:spacing w:val="-3"/>
              </w:rPr>
              <w:t>5~6%</w:t>
            </w:r>
          </w:p>
          <w:p>
            <w:pPr>
              <w:pStyle w:val="TableText"/>
              <w:ind w:left="122" w:right="232" w:hanging="15"/>
              <w:spacing w:before="229" w:line="21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6"/>
              </w:rPr>
              <w:t>—联合国：从4.8%</w:t>
            </w:r>
            <w:r>
              <w:rPr>
                <w:sz w:val="24"/>
                <w:szCs w:val="24"/>
                <w:spacing w:val="-3"/>
              </w:rPr>
              <w:t>上调至 5.3%</w:t>
            </w:r>
          </w:p>
          <w:p>
            <w:pPr>
              <w:pStyle w:val="TableText"/>
              <w:ind w:left="120" w:right="589" w:hanging="13"/>
              <w:spacing w:before="250" w:line="22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—IMF：上调至</w:t>
            </w:r>
            <w:r>
              <w:rPr>
                <w:sz w:val="24"/>
                <w:szCs w:val="24"/>
                <w:spacing w:val="-4"/>
              </w:rPr>
              <w:t>5.2%</w:t>
            </w:r>
          </w:p>
        </w:tc>
      </w:tr>
      <w:tr>
        <w:trPr>
          <w:trHeight w:val="283" w:hRule="atLeast"/>
        </w:trPr>
        <w:tc>
          <w:tcPr>
            <w:tcW w:w="1984" w:type="dxa"/>
            <w:vAlign w:val="top"/>
          </w:tcPr>
          <w:p>
            <w:pPr>
              <w:pStyle w:val="TableText"/>
              <w:ind w:left="802"/>
              <w:spacing w:before="29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8"/>
              </w:rPr>
              <w:t>IMF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116"/>
              <w:spacing w:before="29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居民消费价格指数增长 2.0%</w:t>
            </w:r>
          </w:p>
        </w:tc>
        <w:tc>
          <w:tcPr>
            <w:tcW w:w="227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5" w:hRule="atLeast"/>
        </w:trPr>
        <w:tc>
          <w:tcPr>
            <w:tcW w:w="1984" w:type="dxa"/>
            <w:vAlign w:val="top"/>
          </w:tcPr>
          <w:p>
            <w:pPr>
              <w:pStyle w:val="TableText"/>
              <w:ind w:left="180"/>
              <w:spacing w:before="170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中国银行研究院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115" w:right="387" w:hanging="1"/>
              <w:spacing w:before="32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6"/>
              </w:rPr>
              <w:t>3~7 月为低谷期，8 月开始反弹，</w:t>
            </w:r>
            <w:r>
              <w:rPr>
                <w:sz w:val="24"/>
                <w:szCs w:val="24"/>
                <w:spacing w:val="-2"/>
              </w:rPr>
              <w:t>年底当月值反弹至 2%</w:t>
            </w:r>
          </w:p>
        </w:tc>
        <w:tc>
          <w:tcPr>
            <w:tcW w:w="227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4" w:hRule="atLeast"/>
        </w:trPr>
        <w:tc>
          <w:tcPr>
            <w:tcW w:w="1984" w:type="dxa"/>
            <w:vAlign w:val="top"/>
          </w:tcPr>
          <w:p>
            <w:pPr>
              <w:pStyle w:val="TableText"/>
              <w:ind w:left="514"/>
              <w:spacing w:before="311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招银国际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114"/>
              <w:spacing w:before="30" w:line="20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6"/>
              </w:rPr>
              <w:t>将 CPI</w:t>
            </w:r>
            <w:r>
              <w:rPr>
                <w:sz w:val="24"/>
                <w:szCs w:val="24"/>
                <w:spacing w:val="-30"/>
              </w:rPr>
              <w:t xml:space="preserve"> </w:t>
            </w:r>
            <w:r>
              <w:rPr>
                <w:sz w:val="24"/>
                <w:szCs w:val="24"/>
                <w:spacing w:val="-6"/>
              </w:rPr>
              <w:t>、</w:t>
            </w:r>
            <w:r>
              <w:rPr>
                <w:sz w:val="24"/>
                <w:szCs w:val="24"/>
                <w:spacing w:val="-43"/>
              </w:rPr>
              <w:t xml:space="preserve"> </w:t>
            </w:r>
            <w:r>
              <w:rPr>
                <w:sz w:val="24"/>
                <w:szCs w:val="24"/>
                <w:spacing w:val="-6"/>
              </w:rPr>
              <w:t>PPI 增速预测从</w:t>
            </w:r>
            <w:r>
              <w:rPr>
                <w:sz w:val="24"/>
                <w:szCs w:val="24"/>
                <w:spacing w:val="8"/>
              </w:rPr>
              <w:t xml:space="preserve"> </w:t>
            </w:r>
            <w:r>
              <w:rPr>
                <w:sz w:val="24"/>
                <w:szCs w:val="24"/>
                <w:spacing w:val="-6"/>
              </w:rPr>
              <w:t>2.2%</w:t>
            </w:r>
            <w:r>
              <w:rPr>
                <w:sz w:val="24"/>
                <w:szCs w:val="24"/>
                <w:spacing w:val="-33"/>
              </w:rPr>
              <w:t xml:space="preserve"> </w:t>
            </w:r>
            <w:r>
              <w:rPr>
                <w:sz w:val="24"/>
                <w:szCs w:val="24"/>
                <w:spacing w:val="-6"/>
              </w:rPr>
              <w:t>、</w:t>
            </w:r>
            <w:r>
              <w:rPr>
                <w:sz w:val="24"/>
                <w:szCs w:val="24"/>
                <w:spacing w:val="-39"/>
              </w:rPr>
              <w:t xml:space="preserve"> </w:t>
            </w:r>
            <w:r>
              <w:rPr>
                <w:sz w:val="24"/>
                <w:szCs w:val="24"/>
                <w:spacing w:val="-6"/>
              </w:rPr>
              <w:t>-</w:t>
            </w:r>
          </w:p>
          <w:p>
            <w:pPr>
              <w:pStyle w:val="TableText"/>
              <w:ind w:left="116" w:right="319" w:hanging="1"/>
              <w:spacing w:before="2"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0.5%，下调至</w:t>
            </w:r>
            <w:r>
              <w:rPr>
                <w:sz w:val="24"/>
                <w:szCs w:val="24"/>
                <w:spacing w:val="38"/>
              </w:rPr>
              <w:t xml:space="preserve"> </w:t>
            </w:r>
            <w:r>
              <w:rPr>
                <w:sz w:val="24"/>
                <w:szCs w:val="24"/>
                <w:spacing w:val="-5"/>
              </w:rPr>
              <w:t>1.4%</w:t>
            </w:r>
            <w:r>
              <w:rPr>
                <w:sz w:val="24"/>
                <w:szCs w:val="24"/>
                <w:spacing w:val="-33"/>
              </w:rPr>
              <w:t xml:space="preserve"> </w:t>
            </w:r>
            <w:r>
              <w:rPr>
                <w:sz w:val="24"/>
                <w:szCs w:val="24"/>
                <w:spacing w:val="-5"/>
              </w:rPr>
              <w:t>、</w:t>
            </w:r>
            <w:r>
              <w:rPr>
                <w:sz w:val="24"/>
                <w:szCs w:val="24"/>
                <w:spacing w:val="-40"/>
              </w:rPr>
              <w:t xml:space="preserve"> </w:t>
            </w:r>
            <w:r>
              <w:rPr>
                <w:sz w:val="24"/>
                <w:szCs w:val="24"/>
                <w:spacing w:val="-5"/>
              </w:rPr>
              <w:t>-1.6%，CPI 指</w:t>
            </w:r>
            <w:r>
              <w:rPr>
                <w:sz w:val="24"/>
                <w:szCs w:val="24"/>
                <w:spacing w:val="-2"/>
              </w:rPr>
              <w:t>数从 5 月份起至四季度轻微回升</w:t>
            </w:r>
          </w:p>
        </w:tc>
        <w:tc>
          <w:tcPr>
            <w:tcW w:w="227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5" w:hRule="atLeast"/>
        </w:trPr>
        <w:tc>
          <w:tcPr>
            <w:tcW w:w="1984" w:type="dxa"/>
            <w:vAlign w:val="top"/>
          </w:tcPr>
          <w:p>
            <w:pPr>
              <w:pStyle w:val="TableText"/>
              <w:ind w:left="175"/>
              <w:spacing w:before="172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民生银行研究院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119" w:right="315" w:hanging="1"/>
              <w:spacing w:before="32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CPI 可能还是处于比较低的水平</w:t>
            </w:r>
            <w:r>
              <w:rPr>
                <w:sz w:val="24"/>
                <w:szCs w:val="24"/>
                <w:spacing w:val="-32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，</w:t>
            </w:r>
            <w:r>
              <w:rPr>
                <w:sz w:val="24"/>
                <w:szCs w:val="24"/>
                <w:spacing w:val="-5"/>
              </w:rPr>
              <w:t>上半年增长 0.8%，全年增长 1.3%，</w:t>
            </w:r>
          </w:p>
        </w:tc>
        <w:tc>
          <w:tcPr>
            <w:tcW w:w="227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4" w:hRule="atLeast"/>
        </w:trPr>
        <w:tc>
          <w:tcPr>
            <w:tcW w:w="1984" w:type="dxa"/>
            <w:vAlign w:val="top"/>
          </w:tcPr>
          <w:p>
            <w:pPr>
              <w:pStyle w:val="TableText"/>
              <w:ind w:left="516"/>
              <w:spacing w:before="311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渣打银行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110" w:right="257" w:firstLine="7"/>
              <w:spacing w:before="33" w:line="197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CPI 增长预测从 2.3%下调至</w:t>
            </w:r>
            <w:r>
              <w:rPr>
                <w:sz w:val="24"/>
                <w:szCs w:val="24"/>
                <w:spacing w:val="20"/>
              </w:rPr>
              <w:t xml:space="preserve"> </w:t>
            </w:r>
            <w:r>
              <w:rPr>
                <w:sz w:val="24"/>
                <w:szCs w:val="24"/>
                <w:spacing w:val="-4"/>
              </w:rPr>
              <w:t>1%</w:t>
            </w:r>
            <w:r>
              <w:rPr>
                <w:sz w:val="24"/>
                <w:szCs w:val="24"/>
                <w:spacing w:val="-34"/>
              </w:rPr>
              <w:t xml:space="preserve"> </w:t>
            </w:r>
            <w:r>
              <w:rPr>
                <w:sz w:val="24"/>
                <w:szCs w:val="24"/>
                <w:spacing w:val="-4"/>
              </w:rPr>
              <w:t>，主</w:t>
            </w:r>
            <w:r>
              <w:rPr>
                <w:sz w:val="24"/>
                <w:szCs w:val="24"/>
                <w:spacing w:val="-1"/>
              </w:rPr>
              <w:t>要原因是需求不振及食品和能源价</w:t>
            </w:r>
            <w:r>
              <w:rPr>
                <w:sz w:val="24"/>
                <w:szCs w:val="24"/>
                <w:spacing w:val="-2"/>
              </w:rPr>
              <w:t>格下降</w:t>
            </w:r>
          </w:p>
        </w:tc>
        <w:tc>
          <w:tcPr>
            <w:tcW w:w="227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8" w:hRule="atLeast"/>
        </w:trPr>
        <w:tc>
          <w:tcPr>
            <w:tcW w:w="1984" w:type="dxa"/>
            <w:vAlign w:val="top"/>
          </w:tcPr>
          <w:p>
            <w:pPr>
              <w:pStyle w:val="TableText"/>
              <w:ind w:left="640"/>
              <w:spacing w:before="172" w:line="22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毕马威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111" w:right="336" w:firstLine="7"/>
              <w:spacing w:before="32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CPI</w:t>
            </w:r>
            <w:r>
              <w:rPr>
                <w:sz w:val="24"/>
                <w:szCs w:val="24"/>
                <w:spacing w:val="27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同比涨幅仍将大概率维持在偏</w:t>
            </w:r>
            <w:r>
              <w:rPr>
                <w:sz w:val="24"/>
                <w:szCs w:val="24"/>
                <w:spacing w:val="-2"/>
              </w:rPr>
              <w:t>低区间</w:t>
            </w:r>
          </w:p>
        </w:tc>
        <w:tc>
          <w:tcPr>
            <w:tcW w:w="227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right="13"/>
        <w:spacing w:before="37" w:line="226" w:lineRule="auto"/>
        <w:jc w:val="righ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21"/>
          <w:szCs w:val="21"/>
          <w:spacing w:val="-1"/>
        </w:rPr>
        <w:t>来源：公开资料整理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三、复苏不均衡对通信行业发展影响分析及相关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建议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27" w:right="15" w:firstLine="609"/>
        <w:spacing w:before="98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．应警惕市场信心和总需求不足对现金牛业务的发展形成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冲击</w:t>
      </w:r>
    </w:p>
    <w:p>
      <w:pPr>
        <w:sectPr>
          <w:pgSz w:w="11907" w:h="16839"/>
          <w:pgMar w:top="400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26" w:right="106" w:firstLine="602"/>
        <w:spacing w:before="98" w:line="26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经济复苏应为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ICT </w:t>
      </w:r>
      <w:r>
        <w:rPr>
          <w:rFonts w:ascii="SimSun" w:hAnsi="SimSun" w:eastAsia="SimSun" w:cs="SimSun"/>
          <w:sz w:val="30"/>
          <w:szCs w:val="30"/>
          <w:spacing w:val="-6"/>
        </w:rPr>
        <w:t>产业年内发展创造了良好条件，但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ICT </w:t>
      </w:r>
      <w:r>
        <w:rPr>
          <w:rFonts w:ascii="SimSun" w:hAnsi="SimSun" w:eastAsia="SimSun" w:cs="SimSun"/>
          <w:sz w:val="30"/>
          <w:szCs w:val="30"/>
          <w:spacing w:val="-7"/>
        </w:rPr>
        <w:t>各</w:t>
      </w:r>
      <w:r>
        <w:rPr>
          <w:rFonts w:ascii="SimSun" w:hAnsi="SimSun" w:eastAsia="SimSun" w:cs="SimSun"/>
          <w:sz w:val="30"/>
          <w:szCs w:val="30"/>
          <w:spacing w:val="-4"/>
        </w:rPr>
        <w:t>行业在各自发展周期影响下，增长呈现一定分化，经济复苏不平</w:t>
      </w:r>
      <w:r>
        <w:rPr>
          <w:rFonts w:ascii="SimSun" w:hAnsi="SimSun" w:eastAsia="SimSun" w:cs="SimSun"/>
          <w:sz w:val="30"/>
          <w:szCs w:val="30"/>
          <w:spacing w:val="-4"/>
        </w:rPr>
        <w:t>衡放大</w:t>
      </w:r>
      <w:r>
        <w:rPr>
          <w:rFonts w:ascii="SimSun" w:hAnsi="SimSun" w:eastAsia="SimSun" w:cs="SimSun"/>
          <w:sz w:val="30"/>
          <w:szCs w:val="3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ICT </w:t>
      </w:r>
      <w:r>
        <w:rPr>
          <w:rFonts w:ascii="SimSun" w:hAnsi="SimSun" w:eastAsia="SimSun" w:cs="SimSun"/>
          <w:sz w:val="30"/>
          <w:szCs w:val="30"/>
          <w:spacing w:val="-4"/>
        </w:rPr>
        <w:t>行业增长分化。</w:t>
      </w:r>
    </w:p>
    <w:p>
      <w:pPr>
        <w:ind w:left="25" w:firstLine="599"/>
        <w:spacing w:before="256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在相关行业中，与固定投资增长相关的信息技术服务如</w:t>
      </w:r>
      <w:r>
        <w:rPr>
          <w:rFonts w:ascii="SimSun" w:hAnsi="SimSun" w:eastAsia="SimSun" w:cs="SimSun"/>
          <w:sz w:val="30"/>
          <w:szCs w:val="30"/>
          <w:spacing w:val="-5"/>
        </w:rPr>
        <w:t>云计</w:t>
      </w:r>
      <w:r>
        <w:rPr>
          <w:rFonts w:ascii="SimSun" w:hAnsi="SimSun" w:eastAsia="SimSun" w:cs="SimSun"/>
          <w:sz w:val="30"/>
          <w:szCs w:val="30"/>
          <w:spacing w:val="-4"/>
        </w:rPr>
        <w:t>算与大数据业务，与生活服务恢复相关的互联网零售和生活服务</w:t>
      </w:r>
      <w:r>
        <w:rPr>
          <w:rFonts w:ascii="SimSun" w:hAnsi="SimSun" w:eastAsia="SimSun" w:cs="SimSun"/>
          <w:sz w:val="30"/>
          <w:szCs w:val="30"/>
          <w:spacing w:val="-8"/>
        </w:rPr>
        <w:t>平台等领域增长较快、好于去年同期；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与居民信心及消费相关的</w:t>
      </w:r>
      <w:r>
        <w:rPr>
          <w:rFonts w:ascii="SimSun" w:hAnsi="SimSun" w:eastAsia="SimSun" w:cs="SimSun"/>
          <w:sz w:val="30"/>
          <w:szCs w:val="30"/>
        </w:rPr>
        <w:t>业务如互联网内容服务业务、流量业务、终端业务等增长低迷、</w:t>
      </w:r>
      <w:r>
        <w:rPr>
          <w:rFonts w:ascii="SimSun" w:hAnsi="SimSun" w:eastAsia="SimSun" w:cs="SimSun"/>
          <w:sz w:val="30"/>
          <w:szCs w:val="30"/>
          <w:spacing w:val="-1"/>
        </w:rPr>
        <w:t>低于去年同期。上述经典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2C </w:t>
      </w:r>
      <w:r>
        <w:rPr>
          <w:rFonts w:ascii="SimSun" w:hAnsi="SimSun" w:eastAsia="SimSun" w:cs="SimSun"/>
          <w:sz w:val="30"/>
          <w:szCs w:val="30"/>
          <w:spacing w:val="-1"/>
        </w:rPr>
        <w:t>类业务发展指标联动性走低并可能</w:t>
      </w:r>
      <w:r>
        <w:rPr>
          <w:rFonts w:ascii="SimSun" w:hAnsi="SimSun" w:eastAsia="SimSun" w:cs="SimSun"/>
          <w:sz w:val="30"/>
          <w:szCs w:val="30"/>
          <w:spacing w:val="-1"/>
        </w:rPr>
        <w:t>趋势性恶化，表明居民信心不足对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2C </w:t>
      </w:r>
      <w:r>
        <w:rPr>
          <w:rFonts w:ascii="SimSun" w:hAnsi="SimSun" w:eastAsia="SimSun" w:cs="SimSun"/>
          <w:sz w:val="30"/>
          <w:szCs w:val="30"/>
          <w:spacing w:val="-1"/>
        </w:rPr>
        <w:t>类业务发展构成实质性损</w:t>
      </w:r>
      <w:r>
        <w:rPr>
          <w:rFonts w:ascii="SimSun" w:hAnsi="SimSun" w:eastAsia="SimSun" w:cs="SimSun"/>
          <w:sz w:val="30"/>
          <w:szCs w:val="30"/>
          <w:spacing w:val="-6"/>
        </w:rPr>
        <w:t>伤，值得高度重视。</w:t>
      </w:r>
    </w:p>
    <w:p>
      <w:pPr>
        <w:ind w:left="28" w:right="107" w:firstLine="596"/>
        <w:spacing w:before="27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在基础连接板块，建议紧紧抓牢行业协同这一关键</w:t>
      </w:r>
      <w:r>
        <w:rPr>
          <w:rFonts w:ascii="SimSun" w:hAnsi="SimSun" w:eastAsia="SimSun" w:cs="SimSun"/>
          <w:sz w:val="30"/>
          <w:szCs w:val="30"/>
          <w:spacing w:val="-5"/>
        </w:rPr>
        <w:t>，打破技</w:t>
      </w:r>
      <w:r>
        <w:rPr>
          <w:rFonts w:ascii="SimSun" w:hAnsi="SimSun" w:eastAsia="SimSun" w:cs="SimSun"/>
          <w:sz w:val="30"/>
          <w:szCs w:val="30"/>
          <w:spacing w:val="-4"/>
        </w:rPr>
        <w:t>术成熟期必价格战的市场规律，与行业一道将避免价格战升级为</w:t>
      </w:r>
      <w:r>
        <w:rPr>
          <w:rFonts w:ascii="SimSun" w:hAnsi="SimSun" w:eastAsia="SimSun" w:cs="SimSun"/>
          <w:sz w:val="30"/>
          <w:szCs w:val="30"/>
          <w:spacing w:val="-3"/>
        </w:rPr>
        <w:t>经营高压线，保护行业价值，在增量基础上实现增收。</w:t>
      </w:r>
    </w:p>
    <w:p>
      <w:pPr>
        <w:ind w:left="25" w:right="107" w:firstLine="599"/>
        <w:spacing w:before="274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在增值类消费应用板块，建议参考日本运营商运作</w:t>
      </w:r>
      <w:r>
        <w:rPr>
          <w:rFonts w:ascii="SimSun" w:hAnsi="SimSun" w:eastAsia="SimSun" w:cs="SimSun"/>
          <w:sz w:val="30"/>
          <w:szCs w:val="30"/>
          <w:spacing w:val="-5"/>
        </w:rPr>
        <w:t>模式，组</w:t>
      </w:r>
      <w:r>
        <w:rPr>
          <w:rFonts w:ascii="SimSun" w:hAnsi="SimSun" w:eastAsia="SimSun" w:cs="SimSun"/>
          <w:sz w:val="30"/>
          <w:szCs w:val="30"/>
          <w:spacing w:val="-4"/>
        </w:rPr>
        <w:t>建信息消费联盟生态，将会员经营体系定位升级为信息消费统一</w:t>
      </w:r>
      <w:r>
        <w:rPr>
          <w:rFonts w:ascii="SimSun" w:hAnsi="SimSun" w:eastAsia="SimSun" w:cs="SimSun"/>
          <w:sz w:val="30"/>
          <w:szCs w:val="30"/>
          <w:spacing w:val="-9"/>
        </w:rPr>
        <w:t>账户底座，以统一账号连通生活服务、视频、内容等生态， 从规</w:t>
      </w:r>
      <w:r>
        <w:rPr>
          <w:rFonts w:ascii="SimSun" w:hAnsi="SimSun" w:eastAsia="SimSun" w:cs="SimSun"/>
          <w:sz w:val="30"/>
          <w:szCs w:val="30"/>
          <w:spacing w:val="-5"/>
        </w:rPr>
        <w:t>模经济走向范围经济。</w:t>
      </w:r>
    </w:p>
    <w:p>
      <w:pPr>
        <w:ind w:left="1997"/>
        <w:spacing w:before="257" w:line="207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6"/>
        </w:rPr>
        <w:t>表</w:t>
      </w:r>
      <w:r>
        <w:rPr>
          <w:rFonts w:ascii="KaiTi" w:hAnsi="KaiTi" w:eastAsia="KaiTi" w:cs="KaiTi"/>
          <w:sz w:val="30"/>
          <w:szCs w:val="30"/>
          <w:spacing w:val="-5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6</w:t>
      </w:r>
      <w:r>
        <w:rPr>
          <w:rFonts w:ascii="KaiTi" w:hAnsi="KaiTi" w:eastAsia="KaiTi" w:cs="KaiTi"/>
          <w:sz w:val="30"/>
          <w:szCs w:val="30"/>
          <w:spacing w:val="29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6"/>
        </w:rPr>
        <w:t>ICT</w:t>
      </w:r>
      <w:r>
        <w:rPr>
          <w:rFonts w:ascii="KaiTi" w:hAnsi="KaiTi" w:eastAsia="KaiTi" w:cs="KaiTi"/>
          <w:sz w:val="30"/>
          <w:szCs w:val="30"/>
          <w:spacing w:val="-6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产业重要业务增长分化</w:t>
      </w:r>
    </w:p>
    <w:tbl>
      <w:tblPr>
        <w:tblStyle w:val="TableNormal"/>
        <w:tblW w:w="8223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17"/>
        <w:gridCol w:w="1984"/>
        <w:gridCol w:w="1559"/>
        <w:gridCol w:w="1557"/>
        <w:gridCol w:w="1706"/>
      </w:tblGrid>
      <w:tr>
        <w:trPr>
          <w:trHeight w:val="570" w:hRule="atLeast"/>
        </w:trPr>
        <w:tc>
          <w:tcPr>
            <w:shd w:val="clear" w:fill="DEEAF6"/>
            <w:tcW w:w="1417" w:type="dxa"/>
            <w:vAlign w:val="top"/>
          </w:tcPr>
          <w:p>
            <w:pPr>
              <w:pStyle w:val="TableText"/>
              <w:ind w:left="472"/>
              <w:spacing w:before="35" w:line="22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行业</w:t>
            </w:r>
          </w:p>
        </w:tc>
        <w:tc>
          <w:tcPr>
            <w:shd w:val="clear" w:fill="DEEAF6"/>
            <w:tcW w:w="1984" w:type="dxa"/>
            <w:vAlign w:val="top"/>
          </w:tcPr>
          <w:p>
            <w:pPr>
              <w:pStyle w:val="TableText"/>
              <w:ind w:left="762"/>
              <w:spacing w:before="36" w:line="22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业务</w:t>
            </w:r>
          </w:p>
        </w:tc>
        <w:tc>
          <w:tcPr>
            <w:shd w:val="clear" w:fill="DEEAF6"/>
            <w:tcW w:w="1559" w:type="dxa"/>
            <w:vAlign w:val="top"/>
          </w:tcPr>
          <w:p>
            <w:pPr>
              <w:pStyle w:val="TableText"/>
              <w:ind w:left="183"/>
              <w:spacing w:before="35" w:line="332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  <w:position w:val="3"/>
              </w:rPr>
              <w:t>2022：1~4</w:t>
            </w:r>
          </w:p>
        </w:tc>
        <w:tc>
          <w:tcPr>
            <w:shd w:val="clear" w:fill="DEEAF6"/>
            <w:tcW w:w="1557" w:type="dxa"/>
            <w:vAlign w:val="top"/>
          </w:tcPr>
          <w:p>
            <w:pPr>
              <w:pStyle w:val="TableText"/>
              <w:ind w:left="185"/>
              <w:spacing w:before="35" w:line="332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  <w:position w:val="3"/>
              </w:rPr>
              <w:t>2023：1~4</w:t>
            </w:r>
          </w:p>
        </w:tc>
        <w:tc>
          <w:tcPr>
            <w:shd w:val="clear" w:fill="DEEAF6"/>
            <w:tcW w:w="1706" w:type="dxa"/>
            <w:vAlign w:val="top"/>
          </w:tcPr>
          <w:p>
            <w:pPr>
              <w:pStyle w:val="TableText"/>
              <w:ind w:left="490" w:right="251" w:hanging="222"/>
              <w:spacing w:before="37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与宏观经济</w:t>
            </w:r>
            <w:r>
              <w:rPr>
                <w:sz w:val="24"/>
                <w:szCs w:val="24"/>
                <w:b/>
                <w:bCs/>
                <w:spacing w:val="-1"/>
              </w:rPr>
              <w:t>相关性</w:t>
            </w:r>
          </w:p>
        </w:tc>
      </w:tr>
      <w:tr>
        <w:trPr>
          <w:trHeight w:val="285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351"/>
              <w:spacing w:before="29" w:line="18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软件业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72"/>
              <w:spacing w:before="29" w:line="18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信息技术服务</w:t>
            </w:r>
          </w:p>
        </w:tc>
        <w:tc>
          <w:tcPr>
            <w:tcW w:w="1559" w:type="dxa"/>
            <w:vAlign w:val="top"/>
          </w:tcPr>
          <w:p>
            <w:pPr>
              <w:pStyle w:val="TableText"/>
              <w:ind w:left="519"/>
              <w:spacing w:before="29" w:line="18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12.3%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521"/>
              <w:spacing w:before="29" w:line="18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13.4%</w:t>
            </w:r>
          </w:p>
        </w:tc>
        <w:tc>
          <w:tcPr>
            <w:tcW w:w="1706" w:type="dxa"/>
            <w:vAlign w:val="top"/>
          </w:tcPr>
          <w:p>
            <w:pPr>
              <w:pStyle w:val="TableText"/>
              <w:ind w:left="158"/>
              <w:spacing w:before="29" w:line="18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固定投资增长</w:t>
            </w:r>
          </w:p>
        </w:tc>
      </w:tr>
      <w:tr>
        <w:trPr>
          <w:trHeight w:val="285" w:hRule="atLeast"/>
        </w:trPr>
        <w:tc>
          <w:tcPr>
            <w:tcW w:w="141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48" w:right="346" w:firstLine="12"/>
              <w:spacing w:before="180" w:line="21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互联网</w:t>
            </w:r>
            <w:r>
              <w:rPr>
                <w:sz w:val="24"/>
                <w:szCs w:val="24"/>
                <w:b/>
                <w:bCs/>
                <w:spacing w:val="-1"/>
              </w:rPr>
              <w:t>服务业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403"/>
              <w:spacing w:before="29" w:line="18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互联网零售</w:t>
            </w:r>
          </w:p>
        </w:tc>
        <w:tc>
          <w:tcPr>
            <w:tcW w:w="1559" w:type="dxa"/>
            <w:vAlign w:val="top"/>
          </w:tcPr>
          <w:p>
            <w:pPr>
              <w:pStyle w:val="TableText"/>
              <w:ind w:left="336"/>
              <w:spacing w:before="29" w:line="18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8.5%左右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513"/>
              <w:spacing w:before="29" w:line="18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34.9%</w:t>
            </w:r>
          </w:p>
        </w:tc>
        <w:tc>
          <w:tcPr>
            <w:tcW w:w="170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3"/>
              <w:spacing w:before="174" w:line="22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生活服务恢复</w:t>
            </w:r>
          </w:p>
        </w:tc>
      </w:tr>
      <w:tr>
        <w:trPr>
          <w:trHeight w:val="283" w:hRule="atLeast"/>
        </w:trPr>
        <w:tc>
          <w:tcPr>
            <w:tcW w:w="141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81"/>
              <w:spacing w:before="30" w:line="17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生活平台服务</w:t>
            </w:r>
          </w:p>
        </w:tc>
        <w:tc>
          <w:tcPr>
            <w:tcW w:w="1559" w:type="dxa"/>
            <w:vAlign w:val="top"/>
          </w:tcPr>
          <w:p>
            <w:pPr>
              <w:pStyle w:val="TableText"/>
              <w:ind w:left="467"/>
              <w:spacing w:before="30" w:line="17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-20.2%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610"/>
              <w:spacing w:before="30" w:line="17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13%</w:t>
            </w:r>
          </w:p>
        </w:tc>
        <w:tc>
          <w:tcPr>
            <w:tcW w:w="170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4" w:hRule="atLeast"/>
        </w:trPr>
        <w:tc>
          <w:tcPr>
            <w:tcW w:w="141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4" w:type="dxa"/>
            <w:vAlign w:val="top"/>
          </w:tcPr>
          <w:p>
            <w:pPr>
              <w:pStyle w:val="TableText"/>
              <w:ind w:left="272"/>
              <w:spacing w:before="32" w:line="1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信息内容服务</w:t>
            </w:r>
          </w:p>
        </w:tc>
        <w:tc>
          <w:tcPr>
            <w:tcW w:w="1559" w:type="dxa"/>
            <w:vAlign w:val="top"/>
          </w:tcPr>
          <w:p>
            <w:pPr>
              <w:pStyle w:val="TableText"/>
              <w:ind w:left="576"/>
              <w:spacing w:before="32" w:line="1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8.2%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531"/>
              <w:spacing w:before="32" w:line="1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6"/>
              </w:rPr>
              <w:t>-0.1%</w:t>
            </w:r>
          </w:p>
        </w:tc>
        <w:tc>
          <w:tcPr>
            <w:tcW w:w="170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6" w:right="131" w:firstLine="4"/>
              <w:spacing w:before="320" w:line="21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市场信心不足</w:t>
            </w:r>
            <w:r>
              <w:rPr>
                <w:sz w:val="24"/>
                <w:szCs w:val="24"/>
                <w:spacing w:val="-2"/>
              </w:rPr>
              <w:t>个人消费不足</w:t>
            </w:r>
          </w:p>
        </w:tc>
      </w:tr>
      <w:tr>
        <w:trPr>
          <w:trHeight w:val="285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357"/>
              <w:spacing w:before="32" w:line="17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通信业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519"/>
              <w:spacing w:before="32" w:line="17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流量业务</w:t>
            </w:r>
          </w:p>
        </w:tc>
        <w:tc>
          <w:tcPr>
            <w:tcW w:w="1559" w:type="dxa"/>
            <w:vAlign w:val="top"/>
          </w:tcPr>
          <w:p>
            <w:pPr>
              <w:pStyle w:val="TableText"/>
              <w:ind w:left="582"/>
              <w:spacing w:before="32" w:line="17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1.3%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665"/>
              <w:spacing w:before="32" w:line="17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0%</w:t>
            </w:r>
          </w:p>
        </w:tc>
        <w:tc>
          <w:tcPr>
            <w:tcW w:w="170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70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356" w:right="226" w:hanging="106"/>
              <w:spacing w:before="31" w:line="19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</w:rPr>
              <w:t>电子信息</w:t>
            </w:r>
            <w:r>
              <w:rPr>
                <w:sz w:val="24"/>
                <w:szCs w:val="24"/>
                <w:b/>
                <w:bCs/>
                <w:spacing w:val="-3"/>
              </w:rPr>
              <w:t>制造业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754" w:right="271" w:hanging="474"/>
              <w:spacing w:before="31" w:line="19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手机、计算机</w:t>
            </w:r>
            <w:r>
              <w:rPr>
                <w:sz w:val="24"/>
                <w:szCs w:val="24"/>
                <w:spacing w:val="-2"/>
              </w:rPr>
              <w:t>产量</w:t>
            </w:r>
          </w:p>
        </w:tc>
        <w:tc>
          <w:tcPr>
            <w:tcW w:w="1559" w:type="dxa"/>
            <w:vAlign w:val="top"/>
          </w:tcPr>
          <w:p>
            <w:pPr>
              <w:pStyle w:val="TableText"/>
              <w:ind w:left="192"/>
              <w:spacing w:before="33" w:line="20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下降</w:t>
            </w:r>
            <w:r>
              <w:rPr>
                <w:sz w:val="24"/>
                <w:szCs w:val="24"/>
                <w:spacing w:val="12"/>
              </w:rPr>
              <w:t xml:space="preserve"> </w:t>
            </w:r>
            <w:r>
              <w:rPr>
                <w:sz w:val="24"/>
                <w:szCs w:val="24"/>
                <w:spacing w:val="-5"/>
              </w:rPr>
              <w:t>1.3%、</w:t>
            </w:r>
          </w:p>
          <w:p>
            <w:pPr>
              <w:pStyle w:val="TableText"/>
              <w:ind w:left="577"/>
              <w:spacing w:before="1" w:line="18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2.8%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191"/>
              <w:spacing w:before="33" w:line="20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下降 5.6%、</w:t>
            </w:r>
          </w:p>
          <w:p>
            <w:pPr>
              <w:pStyle w:val="TableText"/>
              <w:ind w:left="516"/>
              <w:spacing w:before="1" w:line="18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27.3%</w:t>
            </w:r>
          </w:p>
        </w:tc>
        <w:tc>
          <w:tcPr>
            <w:tcW w:w="170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599"/>
        <w:spacing w:before="45" w:line="226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21"/>
          <w:szCs w:val="21"/>
          <w:spacing w:val="-1"/>
        </w:rPr>
        <w:t>注：数据来源于工信部运行局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left="624"/>
        <w:spacing w:before="97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．各行业生产活动不均衡制约产数业务高增长势头</w:t>
      </w:r>
    </w:p>
    <w:p>
      <w:pPr>
        <w:ind w:left="27" w:right="105" w:firstLine="622"/>
        <w:spacing w:before="318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1~4</w:t>
      </w:r>
      <w:r>
        <w:rPr>
          <w:rFonts w:ascii="Times New Roman" w:hAnsi="Times New Roman" w:eastAsia="Times New Roman" w:cs="Times New Roman"/>
          <w:sz w:val="30"/>
          <w:szCs w:val="3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月民间投资增长低迷、进口总额增长持续低迷</w:t>
      </w:r>
      <w:r>
        <w:rPr>
          <w:rFonts w:ascii="SimSun" w:hAnsi="SimSun" w:eastAsia="SimSun" w:cs="SimSun"/>
          <w:sz w:val="30"/>
          <w:szCs w:val="30"/>
          <w:spacing w:val="-4"/>
        </w:rPr>
        <w:t>，规模以</w:t>
      </w:r>
      <w:r>
        <w:rPr>
          <w:rFonts w:ascii="SimSun" w:hAnsi="SimSun" w:eastAsia="SimSun" w:cs="SimSun"/>
          <w:sz w:val="30"/>
          <w:szCs w:val="30"/>
          <w:spacing w:val="-5"/>
        </w:rPr>
        <w:t>上工业企业营收增长低迷且利润总额持续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9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月下滑，这些宏观指</w:t>
      </w:r>
      <w:r>
        <w:rPr>
          <w:rFonts w:ascii="SimSun" w:hAnsi="SimSun" w:eastAsia="SimSun" w:cs="SimSun"/>
          <w:sz w:val="30"/>
          <w:szCs w:val="30"/>
          <w:spacing w:val="-1"/>
        </w:rPr>
        <w:t>标均表明国内工业企业生产活动正在收缩，对运营商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2B </w:t>
      </w:r>
      <w:r>
        <w:rPr>
          <w:rFonts w:ascii="SimSun" w:hAnsi="SimSun" w:eastAsia="SimSun" w:cs="SimSun"/>
          <w:sz w:val="30"/>
          <w:szCs w:val="30"/>
          <w:spacing w:val="-1"/>
        </w:rPr>
        <w:t>业务发</w:t>
      </w:r>
    </w:p>
    <w:p>
      <w:pPr>
        <w:spacing w:line="260" w:lineRule="auto"/>
        <w:sectPr>
          <w:pgSz w:w="11907" w:h="16839"/>
          <w:pgMar w:top="400" w:right="1691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28"/>
        <w:spacing w:before="97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展尤其是大额订单拓展将带来明显制约。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25" w:right="112" w:firstLine="608"/>
        <w:spacing w:before="98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另外一方面，服务业生产指数、国有企业营收与利润等指标</w:t>
      </w:r>
      <w:r>
        <w:rPr>
          <w:rFonts w:ascii="SimSun" w:hAnsi="SimSun" w:eastAsia="SimSun" w:cs="SimSun"/>
          <w:sz w:val="30"/>
          <w:szCs w:val="30"/>
          <w:spacing w:val="-4"/>
        </w:rPr>
        <w:t>中高速增长，但相关行业或数字化进程充分、或数字化服务门槛</w:t>
      </w:r>
      <w:r>
        <w:rPr>
          <w:rFonts w:ascii="SimSun" w:hAnsi="SimSun" w:eastAsia="SimSun" w:cs="SimSun"/>
          <w:sz w:val="30"/>
          <w:szCs w:val="30"/>
          <w:spacing w:val="-4"/>
        </w:rPr>
        <w:t>低竞争激烈，若无较强应用能力，相关增长机遇仍局限在资源型</w:t>
      </w:r>
      <w:r>
        <w:rPr>
          <w:rFonts w:ascii="SimSun" w:hAnsi="SimSun" w:eastAsia="SimSun" w:cs="SimSun"/>
          <w:sz w:val="30"/>
          <w:szCs w:val="30"/>
          <w:spacing w:val="-9"/>
        </w:rPr>
        <w:t>业务层面。</w:t>
      </w:r>
    </w:p>
    <w:p>
      <w:pPr>
        <w:ind w:left="26" w:firstLine="603"/>
        <w:spacing w:before="273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建议在业务策略方面，通过强化商机洞察与打单能力建设、</w:t>
      </w:r>
      <w:r>
        <w:rPr>
          <w:rFonts w:ascii="SimSun" w:hAnsi="SimSun" w:eastAsia="SimSun" w:cs="SimSun"/>
          <w:sz w:val="30"/>
          <w:szCs w:val="30"/>
          <w:spacing w:val="-4"/>
        </w:rPr>
        <w:t>适当聚焦营销资源、提升交付运营团队专业化水平等手段推动大</w:t>
      </w:r>
      <w:r>
        <w:rPr>
          <w:rFonts w:ascii="SimSun" w:hAnsi="SimSun" w:eastAsia="SimSun" w:cs="SimSun"/>
          <w:sz w:val="30"/>
          <w:szCs w:val="30"/>
        </w:rPr>
        <w:t>单业务发展；在省与专业公司二级单元层面集约做强小 </w:t>
      </w:r>
      <w:r>
        <w:rPr>
          <w:rFonts w:ascii="Times New Roman" w:hAnsi="Times New Roman" w:eastAsia="Times New Roman" w:cs="Times New Roman"/>
          <w:sz w:val="30"/>
          <w:szCs w:val="30"/>
        </w:rPr>
        <w:t>B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类应</w:t>
      </w:r>
      <w:r>
        <w:rPr>
          <w:rFonts w:ascii="SimSun" w:hAnsi="SimSun" w:eastAsia="SimSun" w:cs="SimSun"/>
          <w:sz w:val="30"/>
          <w:szCs w:val="30"/>
          <w:spacing w:val="-4"/>
        </w:rPr>
        <w:t>用，并理顺内部市场化关系，依托品牌优势和与资源类业务的融</w:t>
      </w:r>
      <w:r>
        <w:rPr>
          <w:rFonts w:ascii="SimSun" w:hAnsi="SimSun" w:eastAsia="SimSun" w:cs="SimSun"/>
          <w:sz w:val="30"/>
          <w:szCs w:val="30"/>
          <w:spacing w:val="-4"/>
        </w:rPr>
        <w:t>合优势，提升业务发展质量。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8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</w:t>
      </w:r>
      <w:r>
        <w:rPr>
          <w:rFonts w:ascii="KaiTi" w:hAnsi="KaiTi" w:eastAsia="KaiTi" w:cs="KaiTi"/>
          <w:spacing w:val="-2"/>
        </w:rPr>
        <w:t>战略发展研究所</w:t>
      </w:r>
    </w:p>
    <w:p>
      <w:pPr>
        <w:spacing w:line="319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202463</wp:posOffset>
            </wp:positionH>
            <wp:positionV relativeFrom="paragraph">
              <wp:posOffset>101798</wp:posOffset>
            </wp:positionV>
            <wp:extent cx="995172" cy="132740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5172" cy="1327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20" w:lineRule="auto"/>
        <w:rPr>
          <w:rFonts w:ascii="Arial"/>
          <w:sz w:val="21"/>
        </w:rPr>
      </w:pPr>
      <w:r/>
    </w:p>
    <w:p>
      <w:pPr>
        <w:ind w:left="2536"/>
        <w:spacing w:before="91" w:line="220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艾宝林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【18001305339】</w:t>
      </w:r>
    </w:p>
    <w:p>
      <w:pPr>
        <w:ind w:left="2522" w:right="321" w:firstLine="277"/>
        <w:spacing w:before="115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硕士，中级工程师，长期从事企业战略环境</w:t>
      </w:r>
      <w:r>
        <w:rPr>
          <w:rFonts w:ascii="KaiTi" w:hAnsi="KaiTi" w:eastAsia="KaiTi" w:cs="KaiTi"/>
          <w:sz w:val="28"/>
          <w:szCs w:val="28"/>
          <w:spacing w:val="-2"/>
        </w:rPr>
        <w:t>分析、战略规划等相关工作</w:t>
      </w:r>
    </w:p>
    <w:sectPr>
      <w:pgSz w:w="11907" w:h="16839"/>
      <w:pgMar w:top="400" w:right="1689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DengXian" w:hAnsi="DengXian" w:eastAsia="DengXian" w:cs="DengXia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2.jpeg"/><Relationship Id="rId3" Type="http://schemas.openxmlformats.org/officeDocument/2006/relationships/header" Target="header2.xml"/><Relationship Id="rId2" Type="http://schemas.openxmlformats.org/officeDocument/2006/relationships/image" Target="media/image1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2023-06-13T16:53:05Z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2025-11-04T15:54:28</vt:filetime>
  </property>
</Properties>
</file>