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A0448">
      <w:pPr>
        <w:spacing w:line="360" w:lineRule="auto"/>
        <w:jc w:val="center"/>
        <w:rPr>
          <w:rFonts w:hint="default" w:ascii="方正小标宋简体" w:hAnsi="仿宋" w:eastAsia="方正小标宋简体"/>
          <w:sz w:val="40"/>
          <w:szCs w:val="40"/>
          <w:lang w:val="en-US" w:eastAsia="zh-CN"/>
        </w:rPr>
      </w:pPr>
      <w:r>
        <w:rPr>
          <w:rFonts w:hint="eastAsia" w:ascii="方正小标宋简体" w:hAnsi="仿宋" w:eastAsia="方正小标宋简体"/>
          <w:sz w:val="40"/>
          <w:szCs w:val="40"/>
          <w:lang w:val="en-US" w:eastAsia="zh-CN"/>
        </w:rPr>
        <w:t>中小企业网络安全防护问题及对策建议</w:t>
      </w:r>
    </w:p>
    <w:p w14:paraId="5EC4C634">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eastAsiaTheme="minorEastAsia"/>
          <w:sz w:val="24"/>
          <w:szCs w:val="32"/>
          <w:lang w:val="en-US" w:eastAsia="zh-CN"/>
        </w:rPr>
      </w:pPr>
      <w:r>
        <w:rPr>
          <w:rFonts w:hint="eastAsia"/>
          <w:sz w:val="24"/>
          <w:szCs w:val="32"/>
          <w:lang w:val="en-US" w:eastAsia="zh-CN"/>
        </w:rPr>
        <w:t>柴雪芳 宋杰 李娟 王洪军</w:t>
      </w:r>
    </w:p>
    <w:p w14:paraId="41A75C5A">
      <w:pPr>
        <w:keepNext w:val="0"/>
        <w:keepLines w:val="0"/>
        <w:pageBreakBefore w:val="0"/>
        <w:widowControl w:val="0"/>
        <w:kinsoku/>
        <w:wordWrap/>
        <w:overflowPunct/>
        <w:topLinePunct w:val="0"/>
        <w:autoSpaceDE/>
        <w:autoSpaceDN/>
        <w:bidi w:val="0"/>
        <w:adjustRightInd/>
        <w:snapToGrid/>
        <w:spacing w:after="157" w:afterLines="50"/>
        <w:jc w:val="both"/>
        <w:textAlignment w:val="auto"/>
        <w:rPr>
          <w:sz w:val="24"/>
          <w:szCs w:val="32"/>
        </w:rPr>
      </w:pPr>
    </w:p>
    <w:p w14:paraId="1CEAE049">
      <w:pPr>
        <w:ind w:firstLine="640" w:firstLineChars="200"/>
        <w:rPr>
          <w:rFonts w:hint="default" w:ascii="仿宋_GB2312" w:hAnsi="仿宋" w:eastAsia="仿宋_GB2312"/>
          <w:sz w:val="32"/>
          <w:szCs w:val="32"/>
          <w:lang w:val="en-US" w:eastAsia="zh-CN"/>
        </w:rPr>
      </w:pPr>
      <w:r>
        <w:rPr>
          <w:rFonts w:hint="eastAsia" w:ascii="仿宋_GB2312" w:hAnsi="仿宋" w:eastAsia="仿宋_GB2312"/>
          <w:sz w:val="32"/>
          <w:szCs w:val="32"/>
          <w:lang w:val="en-US" w:eastAsia="zh-CN"/>
        </w:rPr>
        <w:t>以云计算和人工智能为代表的新兴技术快速发展，基于</w:t>
      </w:r>
      <w:bookmarkStart w:id="0" w:name="_GoBack"/>
      <w:bookmarkEnd w:id="0"/>
      <w:r>
        <w:rPr>
          <w:rFonts w:hint="eastAsia" w:ascii="仿宋_GB2312" w:hAnsi="仿宋" w:eastAsia="仿宋_GB2312"/>
          <w:sz w:val="32"/>
          <w:szCs w:val="32"/>
          <w:lang w:val="en-US" w:eastAsia="zh-CN"/>
        </w:rPr>
        <w:t>云的新型攻击使网络安全风险全面泛化，数字化转型关键阶段的中小企业面临的网络安全形势陡然严峻。数据显示，</w:t>
      </w:r>
      <w:r>
        <w:rPr>
          <w:rFonts w:hint="eastAsia" w:ascii="仿宋_GB2312" w:hAnsi="仿宋" w:eastAsia="仿宋_GB2312"/>
          <w:sz w:val="32"/>
          <w:szCs w:val="32"/>
        </w:rPr>
        <w:t>近一半中小企业在2022年9月-2023年8月期间至少经历过一次网络事件</w:t>
      </w:r>
      <w:r>
        <w:rPr>
          <w:rFonts w:hint="eastAsia" w:ascii="仿宋_GB2312" w:hAnsi="仿宋" w:eastAsia="仿宋_GB2312"/>
          <w:sz w:val="32"/>
          <w:szCs w:val="32"/>
          <w:vertAlign w:val="superscript"/>
        </w:rPr>
        <w:footnoteReference w:id="0"/>
      </w:r>
      <w:r>
        <w:rPr>
          <w:rFonts w:hint="eastAsia" w:ascii="仿宋_GB2312" w:hAnsi="仿宋" w:eastAsia="仿宋_GB2312"/>
          <w:sz w:val="32"/>
          <w:szCs w:val="32"/>
        </w:rPr>
        <w:t>。</w:t>
      </w:r>
      <w:r>
        <w:rPr>
          <w:rFonts w:hint="eastAsia" w:ascii="仿宋_GB2312" w:hAnsi="仿宋" w:eastAsia="仿宋_GB2312"/>
          <w:sz w:val="32"/>
          <w:szCs w:val="32"/>
          <w:lang w:val="en-US" w:eastAsia="zh-CN"/>
        </w:rPr>
        <w:t>而中小企业是国民经济供应链的关键环节，网络安全不仅影响企业自身业务运营，还可能成为黑客攻击大型企业和关键基础设施的跳板，因此审视中小企业的网络安全防护问题势在必行。本文分析认为，中小企业网络安全在监管机制与整体响应处置、行业服务模式、企业自身安全意识与能力建设方面均存在问题。建议完善综合防御体系，创新上云场景下的安全服务模式，降低网络安全产品运营交付与部署难度。</w:t>
      </w:r>
    </w:p>
    <w:p w14:paraId="16C88BC0">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640" w:firstLineChars="0"/>
        <w:jc w:val="both"/>
        <w:textAlignment w:val="auto"/>
        <w:rPr>
          <w:rFonts w:hint="default"/>
          <w:b/>
          <w:sz w:val="32"/>
          <w:szCs w:val="24"/>
          <w:lang w:val="en-US" w:eastAsia="zh-CN"/>
        </w:rPr>
      </w:pPr>
      <w:r>
        <w:rPr>
          <w:rFonts w:hint="eastAsia"/>
          <w:b/>
          <w:sz w:val="32"/>
          <w:szCs w:val="24"/>
          <w:lang w:val="en-US" w:eastAsia="zh-CN"/>
        </w:rPr>
        <w:t>中小企业网络安全防护现状</w:t>
      </w:r>
    </w:p>
    <w:p w14:paraId="17050A9E">
      <w:pPr>
        <w:keepNext w:val="0"/>
        <w:keepLines w:val="0"/>
        <w:pageBreakBefore w:val="0"/>
        <w:widowControl/>
        <w:numPr>
          <w:ilvl w:val="0"/>
          <w:numId w:val="2"/>
        </w:numPr>
        <w:suppressLineNumbers w:val="0"/>
        <w:kinsoku/>
        <w:wordWrap/>
        <w:overflowPunct/>
        <w:topLinePunct w:val="0"/>
        <w:autoSpaceDE/>
        <w:autoSpaceDN/>
        <w:bidi w:val="0"/>
        <w:adjustRightInd/>
        <w:snapToGrid/>
        <w:ind w:left="0" w:leftChars="0" w:firstLine="420" w:firstLineChars="0"/>
        <w:jc w:val="both"/>
        <w:textAlignment w:val="auto"/>
        <w:rPr>
          <w:rFonts w:hint="eastAsia" w:ascii="仿宋_GB2312" w:hAnsi="仿宋" w:eastAsia="仿宋_GB2312"/>
          <w:sz w:val="32"/>
          <w:szCs w:val="32"/>
          <w:lang w:val="en-US" w:eastAsia="zh-CN"/>
        </w:rPr>
      </w:pPr>
      <w:r>
        <w:rPr>
          <w:rFonts w:hint="eastAsia" w:ascii="楷体_GB2312" w:hAnsi="仿宋" w:eastAsia="楷体_GB2312"/>
          <w:sz w:val="32"/>
          <w:szCs w:val="32"/>
          <w:lang w:val="en-US" w:eastAsia="zh-CN"/>
        </w:rPr>
        <w:t>全球范围来看，云和AI的发展极大降低了网络攻击实施门槛，中小企业已经成为部分黑客组织的重点攻击目标</w:t>
      </w:r>
      <w:r>
        <w:rPr>
          <w:rFonts w:hint="eastAsia" w:ascii="仿宋_GB2312" w:hAnsi="仿宋" w:eastAsia="仿宋_GB2312"/>
          <w:sz w:val="32"/>
          <w:szCs w:val="32"/>
          <w:lang w:val="en-US" w:eastAsia="zh-CN"/>
        </w:rPr>
        <w:t>。一是2023年全球范围内65%的勒索攻击受害者是中小企业</w:t>
      </w:r>
      <w:r>
        <w:rPr>
          <w:rStyle w:val="11"/>
          <w:rFonts w:hint="eastAsia" w:ascii="仿宋_GB2312" w:hAnsi="仿宋" w:eastAsia="仿宋_GB2312"/>
          <w:sz w:val="32"/>
          <w:szCs w:val="32"/>
          <w:lang w:val="en-US" w:eastAsia="zh-CN"/>
        </w:rPr>
        <w:footnoteReference w:id="1"/>
      </w:r>
      <w:r>
        <w:rPr>
          <w:rFonts w:hint="eastAsia" w:ascii="仿宋_GB2312" w:hAnsi="仿宋" w:eastAsia="仿宋_GB2312"/>
          <w:sz w:val="32"/>
          <w:szCs w:val="32"/>
          <w:lang w:val="en-US" w:eastAsia="zh-CN"/>
        </w:rPr>
        <w:t>。二是Akira 等勒索软件组织把中小型企业作为攻击目标，自 2023年3月以来，已成功入侵了多家组织，索要赎金从 20 万美元到 400 多万美元不等</w:t>
      </w:r>
      <w:r>
        <w:rPr>
          <w:rStyle w:val="11"/>
          <w:rFonts w:hint="eastAsia" w:ascii="仿宋_GB2312" w:hAnsi="仿宋" w:eastAsia="仿宋_GB2312"/>
          <w:sz w:val="32"/>
          <w:szCs w:val="32"/>
          <w:lang w:val="en-US" w:eastAsia="zh-CN"/>
        </w:rPr>
        <w:footnoteReference w:id="2"/>
      </w:r>
      <w:r>
        <w:rPr>
          <w:rFonts w:hint="eastAsia" w:ascii="仿宋_GB2312" w:hAnsi="仿宋" w:eastAsia="仿宋_GB2312"/>
          <w:sz w:val="32"/>
          <w:szCs w:val="32"/>
          <w:lang w:val="en-US" w:eastAsia="zh-CN"/>
        </w:rPr>
        <w:t>。三是中小企业遭遇的网络攻击数量呈上升趋势。2023年全球范围内网络攻击事件同比增长30%；勒索攻击受害者增长了46%，其中40%是大型企业，48%是中小企业</w:t>
      </w:r>
      <w:r>
        <w:rPr>
          <w:rFonts w:hint="eastAsia" w:ascii="仿宋_GB2312" w:hAnsi="仿宋" w:eastAsia="仿宋_GB2312"/>
          <w:sz w:val="32"/>
          <w:szCs w:val="32"/>
          <w:vertAlign w:val="superscript"/>
          <w:lang w:val="en-US" w:eastAsia="zh-CN"/>
        </w:rPr>
        <w:footnoteReference w:id="3"/>
      </w:r>
      <w:r>
        <w:rPr>
          <w:rFonts w:hint="eastAsia" w:ascii="仿宋_GB2312" w:hAnsi="仿宋" w:eastAsia="仿宋_GB2312"/>
          <w:sz w:val="32"/>
          <w:szCs w:val="32"/>
          <w:lang w:val="en-US" w:eastAsia="zh-CN"/>
        </w:rPr>
        <w:t>。</w:t>
      </w:r>
    </w:p>
    <w:p w14:paraId="11C049CB">
      <w:pPr>
        <w:keepNext w:val="0"/>
        <w:keepLines w:val="0"/>
        <w:pageBreakBefore w:val="0"/>
        <w:widowControl/>
        <w:numPr>
          <w:ilvl w:val="0"/>
          <w:numId w:val="2"/>
        </w:numPr>
        <w:suppressLineNumbers w:val="0"/>
        <w:kinsoku/>
        <w:wordWrap/>
        <w:overflowPunct/>
        <w:topLinePunct w:val="0"/>
        <w:autoSpaceDE/>
        <w:autoSpaceDN/>
        <w:bidi w:val="0"/>
        <w:adjustRightInd/>
        <w:snapToGrid/>
        <w:ind w:left="0" w:leftChars="0" w:firstLine="420" w:firstLineChars="0"/>
        <w:jc w:val="both"/>
        <w:textAlignment w:val="auto"/>
        <w:rPr>
          <w:rFonts w:hint="eastAsia" w:ascii="仿宋_GB2312" w:hAnsi="仿宋" w:eastAsia="仿宋_GB2312"/>
          <w:sz w:val="32"/>
          <w:szCs w:val="32"/>
          <w:lang w:val="en-US" w:eastAsia="zh-CN"/>
        </w:rPr>
      </w:pPr>
      <w:r>
        <w:rPr>
          <w:rFonts w:hint="eastAsia" w:ascii="楷体_GB2312" w:hAnsi="仿宋" w:eastAsia="楷体_GB2312"/>
          <w:sz w:val="32"/>
          <w:szCs w:val="32"/>
          <w:lang w:val="en-US" w:eastAsia="zh-CN"/>
        </w:rPr>
        <w:t>欧美发达国家均已出台面向中小企业的网络安全相关文件，为中小企业提供基本网络安全建议和指南</w:t>
      </w:r>
      <w:r>
        <w:rPr>
          <w:rFonts w:hint="eastAsia" w:ascii="仿宋_GB2312" w:hAnsi="仿宋" w:eastAsia="仿宋_GB2312"/>
          <w:sz w:val="32"/>
          <w:szCs w:val="32"/>
          <w:lang w:val="en-US" w:eastAsia="zh-CN"/>
        </w:rPr>
        <w:t>。一是英国国家网络安全中心（NCSC）于2024年1月发布面向中小企业的《安全使用在线服务指南》。二是欧盟网络安全局（ENISA）于2021年发布《中小企业网络安全指南》。三是美国国家标准与技术研究院（NIST）在疫情之前出台《小企业信息安全：基本原则》。</w:t>
      </w:r>
    </w:p>
    <w:p w14:paraId="1E61D29C">
      <w:pPr>
        <w:keepNext w:val="0"/>
        <w:keepLines w:val="0"/>
        <w:pageBreakBefore w:val="0"/>
        <w:widowControl/>
        <w:numPr>
          <w:ilvl w:val="0"/>
          <w:numId w:val="2"/>
        </w:numPr>
        <w:suppressLineNumbers w:val="0"/>
        <w:kinsoku/>
        <w:wordWrap/>
        <w:overflowPunct/>
        <w:topLinePunct w:val="0"/>
        <w:autoSpaceDE/>
        <w:autoSpaceDN/>
        <w:bidi w:val="0"/>
        <w:adjustRightInd/>
        <w:snapToGrid/>
        <w:ind w:left="0" w:leftChars="0" w:firstLine="420" w:firstLineChars="0"/>
        <w:jc w:val="both"/>
        <w:textAlignment w:val="auto"/>
        <w:rPr>
          <w:rFonts w:hint="eastAsia" w:ascii="仿宋_GB2312" w:hAnsi="仿宋" w:eastAsia="仿宋_GB2312"/>
          <w:sz w:val="32"/>
          <w:szCs w:val="32"/>
          <w:lang w:val="en-US" w:eastAsia="zh-CN"/>
        </w:rPr>
      </w:pPr>
      <w:r>
        <w:rPr>
          <w:rFonts w:hint="eastAsia" w:ascii="楷体_GB2312" w:hAnsi="仿宋" w:eastAsia="楷体_GB2312"/>
          <w:sz w:val="32"/>
          <w:szCs w:val="32"/>
          <w:lang w:val="en-US" w:eastAsia="zh-CN"/>
        </w:rPr>
        <w:t>我国密集出台网络安全相关法律、法规，推动企业重视网络安全。</w:t>
      </w:r>
      <w:r>
        <w:rPr>
          <w:rFonts w:hint="eastAsia" w:ascii="仿宋_GB2312" w:hAnsi="仿宋" w:eastAsia="仿宋_GB2312"/>
          <w:sz w:val="32"/>
          <w:szCs w:val="32"/>
          <w:lang w:val="en-US" w:eastAsia="zh-CN"/>
        </w:rPr>
        <w:t>一是国家层面相继出台《中华人民共和国网络安全法》、《网络安全审查办法》、《网络安全产业高质量发展三年行动计划（2021-2023年）（征求意见稿）》等政策法规。二是针对医疗、交通、金融等重点行业发布相关政策。三是制定网络安全相关的国家技术标准。</w:t>
      </w:r>
    </w:p>
    <w:p w14:paraId="386BC1CF">
      <w:pPr>
        <w:keepNext w:val="0"/>
        <w:keepLines w:val="0"/>
        <w:pageBreakBefore w:val="0"/>
        <w:widowControl/>
        <w:numPr>
          <w:ilvl w:val="0"/>
          <w:numId w:val="2"/>
        </w:numPr>
        <w:suppressLineNumbers w:val="0"/>
        <w:kinsoku/>
        <w:wordWrap/>
        <w:overflowPunct/>
        <w:topLinePunct w:val="0"/>
        <w:autoSpaceDE/>
        <w:autoSpaceDN/>
        <w:bidi w:val="0"/>
        <w:adjustRightInd/>
        <w:snapToGrid/>
        <w:ind w:left="0" w:leftChars="0" w:firstLine="420" w:firstLineChars="0"/>
        <w:jc w:val="both"/>
        <w:textAlignment w:val="auto"/>
        <w:rPr>
          <w:rFonts w:hint="eastAsia" w:ascii="仿宋_GB2312" w:hAnsi="仿宋" w:eastAsia="仿宋_GB2312"/>
          <w:sz w:val="32"/>
          <w:szCs w:val="32"/>
          <w:lang w:val="en-US" w:eastAsia="zh-CN"/>
        </w:rPr>
      </w:pPr>
      <w:r>
        <w:rPr>
          <w:rFonts w:hint="eastAsia" w:ascii="楷体_GB2312" w:hAnsi="仿宋" w:eastAsia="楷体_GB2312"/>
          <w:sz w:val="32"/>
          <w:szCs w:val="32"/>
          <w:lang w:val="en-US" w:eastAsia="zh-CN"/>
        </w:rPr>
        <w:t>我国中小企业遭到的网络攻击呈现出更加复杂的趋势</w:t>
      </w:r>
      <w:r>
        <w:rPr>
          <w:rFonts w:hint="eastAsia" w:ascii="仿宋_GB2312" w:hAnsi="仿宋" w:eastAsia="仿宋_GB2312"/>
          <w:sz w:val="32"/>
          <w:szCs w:val="32"/>
        </w:rPr>
        <w:t>。</w:t>
      </w:r>
      <w:r>
        <w:rPr>
          <w:rFonts w:hint="eastAsia" w:ascii="仿宋_GB2312" w:hAnsi="仿宋" w:eastAsia="仿宋_GB2312"/>
          <w:b w:val="0"/>
          <w:bCs w:val="0"/>
          <w:color w:val="auto"/>
          <w:sz w:val="32"/>
          <w:szCs w:val="32"/>
        </w:rPr>
        <w:t>2021年7月-2022年6月期间，针对我国中小企业最具破坏性的网络攻击威胁包括恶意软件入侵（68%）、勒索攻击（65.3%）、系统漏洞（64%）和网络钓鱼（42.7%）等</w:t>
      </w:r>
      <w:r>
        <w:rPr>
          <w:rStyle w:val="11"/>
          <w:rFonts w:hint="eastAsia" w:ascii="仿宋_GB2312" w:hAnsi="仿宋" w:eastAsia="仿宋_GB2312"/>
          <w:b w:val="0"/>
          <w:bCs w:val="0"/>
          <w:color w:val="auto"/>
          <w:sz w:val="32"/>
          <w:szCs w:val="32"/>
        </w:rPr>
        <w:footnoteReference w:id="4"/>
      </w:r>
      <w:r>
        <w:rPr>
          <w:rFonts w:hint="eastAsia" w:ascii="仿宋_GB2312" w:hAnsi="仿宋" w:eastAsia="仿宋_GB2312"/>
          <w:b w:val="0"/>
          <w:bCs w:val="0"/>
          <w:color w:val="auto"/>
          <w:sz w:val="32"/>
          <w:szCs w:val="32"/>
        </w:rPr>
        <w:t>，攻击方式与大型企业类似。</w:t>
      </w:r>
    </w:p>
    <w:p w14:paraId="3F1E588B">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640" w:firstLineChars="0"/>
        <w:jc w:val="both"/>
        <w:textAlignment w:val="auto"/>
        <w:rPr>
          <w:rFonts w:hint="default"/>
          <w:b/>
          <w:sz w:val="32"/>
          <w:szCs w:val="24"/>
          <w:lang w:val="en-US" w:eastAsia="zh-CN"/>
        </w:rPr>
      </w:pPr>
      <w:r>
        <w:rPr>
          <w:rFonts w:hint="eastAsia"/>
          <w:b/>
          <w:sz w:val="32"/>
          <w:szCs w:val="24"/>
          <w:lang w:val="en-US" w:eastAsia="zh-CN"/>
        </w:rPr>
        <w:t>中小企业网络安全防护存在的主要问题</w:t>
      </w:r>
    </w:p>
    <w:p w14:paraId="4BC792FE">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420" w:firstLineChars="0"/>
        <w:jc w:val="both"/>
        <w:textAlignment w:val="auto"/>
        <w:rPr>
          <w:rFonts w:hint="eastAsia"/>
          <w:b w:val="0"/>
          <w:bCs w:val="0"/>
          <w:color w:val="000000" w:themeColor="text1"/>
          <w:sz w:val="28"/>
          <w:szCs w:val="28"/>
          <w:lang w:val="en-US" w:eastAsia="zh-CN"/>
          <w14:textFill>
            <w14:solidFill>
              <w14:schemeClr w14:val="tx1"/>
            </w14:solidFill>
          </w14:textFill>
        </w:rPr>
      </w:pPr>
      <w:r>
        <w:rPr>
          <w:rFonts w:hint="eastAsia" w:ascii="楷体_GB2312" w:hAnsi="仿宋" w:eastAsia="楷体_GB2312"/>
          <w:sz w:val="32"/>
          <w:szCs w:val="32"/>
          <w:lang w:val="en-US" w:eastAsia="zh-CN"/>
        </w:rPr>
        <w:t>对中小企业履行网络安全防护义务的监管不足，缺少事前事中事后防御的整体性处置和快速响应机制。</w:t>
      </w:r>
      <w:r>
        <w:rPr>
          <w:rFonts w:hint="eastAsia" w:ascii="仿宋_GB2312" w:hAnsi="仿宋" w:eastAsia="仿宋_GB2312"/>
          <w:sz w:val="32"/>
          <w:szCs w:val="32"/>
          <w:lang w:val="en-US" w:eastAsia="zh-CN"/>
        </w:rPr>
        <w:t>一是从国家层面到通信运营商层面均缺乏专门面向中小企业的网络安全指南，导致中小企业网络安全自防护措施缺失。如重点行业的网安政策执行对象主要针对政府及金融、物流、云计算重点行业大型单位。二是整体上缺少面向中小企业群体的网络安全联防预警和处置机制，单个企业防御能力不足以应对渐趋复杂化、智能化的网络攻击，单点事件无法及早预警和联动防护，极易形成大面积爆发和严重影响生产的安全事件。如，2022年8月因畅捷通财务软件漏洞而大面积爆发的勒索病毒攻击事件中，虽然个别安全企业及时发现，但因阻断预警机制不足导致多省数千家中小企业被攻击，造成生产停滞和财产损失。</w:t>
      </w:r>
    </w:p>
    <w:p w14:paraId="410C8342">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420" w:firstLineChars="0"/>
        <w:jc w:val="both"/>
        <w:textAlignment w:val="auto"/>
        <w:rPr>
          <w:rFonts w:hint="eastAsia" w:ascii="仿宋_GB2312" w:hAnsi="仿宋" w:eastAsia="仿宋_GB2312"/>
          <w:sz w:val="32"/>
          <w:szCs w:val="32"/>
          <w:lang w:val="en-US" w:eastAsia="zh-CN"/>
        </w:rPr>
      </w:pPr>
      <w:r>
        <w:rPr>
          <w:rFonts w:hint="eastAsia" w:ascii="楷体_GB2312" w:hAnsi="仿宋" w:eastAsia="楷体_GB2312"/>
          <w:sz w:val="32"/>
          <w:szCs w:val="32"/>
          <w:lang w:val="en-US" w:eastAsia="zh-CN"/>
        </w:rPr>
        <w:t>网安行业面向中小企业的集约化产品和服务供给模式尚未形成，技术和服务模式门槛高。</w:t>
      </w:r>
      <w:r>
        <w:rPr>
          <w:rFonts w:hint="eastAsia" w:ascii="仿宋_GB2312" w:hAnsi="仿宋" w:eastAsia="仿宋_GB2312"/>
          <w:sz w:val="32"/>
          <w:szCs w:val="32"/>
          <w:lang w:val="en-US" w:eastAsia="zh-CN"/>
        </w:rPr>
        <w:t>一是当前市场上的主流产品和服务通常面向更大规模的企业，技术和服务模式门槛高。如，行业主流企业仍以安全子赛道和行业解决方案为核心推介产品，仅适合配备专业安全人员的政府和大型企业选购，中小企业面临选择和部署困难。二是传统端点安全解决方案不适合中小企业业务上云后跨用户、跨设备、跨网络、跨应用程序的复杂运营场景，中小企业面临的新型云攻击威胁剧增，攻击面扩大。如，中小企业使用多个第三方应用及移动办公场景下，传统安全方案很难收集和检测各个不同应用的风险数据，仅靠中小企业自身力量无法解决。三是安全产品供给模式落后，未形成针对中小企业生产运营场景的网络安全产品一站式选购、租赁、托管、SaaS订阅的集约化服务模式。如，目前网安行业仅启明星辰、奇安信、深信服、安恒信息等头部企业逐渐转向SaaS服务模式。</w:t>
      </w:r>
    </w:p>
    <w:p w14:paraId="68ABA5C5">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420" w:firstLineChars="0"/>
        <w:jc w:val="both"/>
        <w:textAlignment w:val="auto"/>
        <w:rPr>
          <w:rFonts w:hint="eastAsia" w:ascii="仿宋_GB2312" w:hAnsi="仿宋" w:eastAsia="仿宋_GB2312"/>
          <w:sz w:val="32"/>
          <w:szCs w:val="32"/>
          <w:lang w:val="en-US" w:eastAsia="zh-CN"/>
        </w:rPr>
      </w:pPr>
      <w:r>
        <w:rPr>
          <w:rFonts w:hint="eastAsia" w:ascii="楷体_GB2312" w:hAnsi="仿宋" w:eastAsia="楷体_GB2312"/>
          <w:sz w:val="32"/>
          <w:szCs w:val="32"/>
          <w:lang w:val="en-US" w:eastAsia="zh-CN"/>
        </w:rPr>
        <w:t>中小企业在网络安全防护能力上存在“无心建设、无力投入、无处保障”的特有难题，防护措施薄弱，逐渐成为影响我国中小企业高质量安全发展的突出因素。</w:t>
      </w:r>
      <w:r>
        <w:rPr>
          <w:rFonts w:hint="eastAsia" w:ascii="仿宋_GB2312" w:hAnsi="仿宋" w:eastAsia="仿宋_GB2312"/>
          <w:sz w:val="32"/>
          <w:szCs w:val="32"/>
          <w:lang w:val="en-US" w:eastAsia="zh-CN"/>
        </w:rPr>
        <w:t>一是中小企业对于新形势下的网络安全威胁认知不足，安全意识淡薄，安全管理缺失。研究认为，网络安全事件中56%是员工疏忽所致，18%因员工权限失窃、弱密码、设备管理缺失导致</w:t>
      </w:r>
      <w:r>
        <w:rPr>
          <w:rFonts w:hint="eastAsia" w:ascii="仿宋_GB2312" w:hAnsi="仿宋" w:eastAsia="仿宋_GB2312"/>
          <w:sz w:val="32"/>
          <w:szCs w:val="32"/>
          <w:vertAlign w:val="superscript"/>
          <w:lang w:val="en-US" w:eastAsia="zh-CN"/>
        </w:rPr>
        <w:footnoteReference w:id="5"/>
      </w:r>
      <w:r>
        <w:rPr>
          <w:rFonts w:hint="eastAsia" w:ascii="仿宋_GB2312" w:hAnsi="仿宋" w:eastAsia="仿宋_GB2312"/>
          <w:sz w:val="32"/>
          <w:szCs w:val="32"/>
          <w:lang w:val="en-US" w:eastAsia="zh-CN"/>
        </w:rPr>
        <w:t>。二是中小企业普遍面临缺安全资金、缺安全人才、缺安全技术的“三缺”困境，导致中小企业面对复杂多变的网络攻击显得“力不从心”。如，2023年网络安全岗位招聘中，中小企业占比达67.4%</w:t>
      </w:r>
      <w:r>
        <w:rPr>
          <w:rStyle w:val="11"/>
          <w:rFonts w:hint="eastAsia" w:ascii="仿宋_GB2312" w:hAnsi="仿宋" w:eastAsia="仿宋_GB2312"/>
          <w:sz w:val="32"/>
          <w:szCs w:val="32"/>
          <w:lang w:val="en-US" w:eastAsia="zh-CN"/>
        </w:rPr>
        <w:footnoteReference w:id="6"/>
      </w:r>
      <w:r>
        <w:rPr>
          <w:rFonts w:hint="eastAsia" w:ascii="仿宋_GB2312" w:hAnsi="仿宋" w:eastAsia="仿宋_GB2312"/>
          <w:sz w:val="32"/>
          <w:szCs w:val="32"/>
          <w:lang w:val="en-US" w:eastAsia="zh-CN"/>
        </w:rPr>
        <w:t>，网络安全人才缺口较大。三是安全企业因中小企业网安需求相对分散且投入产出比低，在该市场投入不足。如，适合中小企业的产品在整个网安产品体系中占比仅约15%，且安全企业主要借助合作渠道覆盖中小企业，服务质量和时效难以保障。</w:t>
      </w:r>
    </w:p>
    <w:p w14:paraId="0D06093A">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640" w:firstLineChars="0"/>
        <w:jc w:val="both"/>
        <w:textAlignment w:val="auto"/>
        <w:rPr>
          <w:rFonts w:hint="default"/>
          <w:lang w:val="en-US" w:eastAsia="zh-CN"/>
        </w:rPr>
      </w:pPr>
      <w:r>
        <w:rPr>
          <w:rFonts w:hint="eastAsia"/>
          <w:b/>
          <w:sz w:val="32"/>
          <w:szCs w:val="24"/>
          <w:lang w:val="en-US" w:eastAsia="zh-CN"/>
        </w:rPr>
        <w:t>运营商提供中小企业网络安全产品中存在的问题</w:t>
      </w:r>
    </w:p>
    <w:p w14:paraId="04037A43">
      <w:pPr>
        <w:keepNext w:val="0"/>
        <w:keepLines w:val="0"/>
        <w:widowControl/>
        <w:numPr>
          <w:ilvl w:val="0"/>
          <w:numId w:val="0"/>
        </w:numPr>
        <w:suppressLineNumbers w:val="0"/>
        <w:ind w:left="0" w:leftChars="0" w:firstLine="419" w:firstLineChars="131"/>
        <w:jc w:val="both"/>
        <w:rPr>
          <w:rFonts w:hint="eastAsia" w:ascii="仿宋_GB2312" w:hAnsi="仿宋" w:eastAsia="仿宋_GB2312"/>
          <w:sz w:val="32"/>
          <w:szCs w:val="32"/>
          <w:lang w:val="en-US" w:eastAsia="zh-CN"/>
        </w:rPr>
      </w:pPr>
      <w:r>
        <w:rPr>
          <w:rFonts w:hint="eastAsia" w:ascii="仿宋_GB2312" w:hAnsi="仿宋" w:eastAsia="仿宋_GB2312"/>
          <w:sz w:val="32"/>
          <w:szCs w:val="32"/>
          <w:lang w:val="en-US" w:eastAsia="zh-CN"/>
        </w:rPr>
        <w:t>运营商在网络安全行业起步较晚，虽然有专门面向中小企业的网安产品，但由于行业沉淀不足，在产品、竞争等方面均面临较大压力。</w:t>
      </w:r>
    </w:p>
    <w:p w14:paraId="38888E97">
      <w:pPr>
        <w:keepNext w:val="0"/>
        <w:keepLines w:val="0"/>
        <w:widowControl/>
        <w:numPr>
          <w:ilvl w:val="0"/>
          <w:numId w:val="4"/>
        </w:numPr>
        <w:suppressLineNumbers w:val="0"/>
        <w:ind w:left="0" w:leftChars="0" w:firstLine="420" w:firstLineChars="0"/>
        <w:jc w:val="both"/>
        <w:rPr>
          <w:rFonts w:hint="default" w:ascii="仿宋_GB2312" w:hAnsi="仿宋" w:eastAsia="仿宋_GB2312"/>
          <w:sz w:val="32"/>
          <w:szCs w:val="32"/>
          <w:lang w:val="en-US" w:eastAsia="zh-CN"/>
        </w:rPr>
      </w:pPr>
      <w:r>
        <w:rPr>
          <w:rFonts w:hint="eastAsia" w:ascii="楷体_GB2312" w:hAnsi="仿宋" w:eastAsia="楷体_GB2312"/>
          <w:sz w:val="32"/>
          <w:szCs w:val="32"/>
          <w:lang w:val="en-US" w:eastAsia="zh-CN"/>
        </w:rPr>
        <w:t>各安全产品独立性强，产品之间缺乏有效融合机制，难以满足用户多方面的安全需求</w:t>
      </w:r>
      <w:r>
        <w:rPr>
          <w:rFonts w:hint="eastAsia" w:ascii="仿宋_GB2312" w:hAnsi="仿宋" w:eastAsia="仿宋_GB2312"/>
          <w:sz w:val="32"/>
          <w:szCs w:val="32"/>
          <w:lang w:val="en-US" w:eastAsia="zh-CN"/>
        </w:rPr>
        <w:t>。省分调研中发现，有的客户有同时安装EDR、漏扫、翼盾、蜜罐、安全大脑等多个产品的需求；但目前各安全产品是独立运营的管理模式，缺乏支持多安全产品快速、有效融合的机制，让跨产品融合变得非常困难。</w:t>
      </w:r>
    </w:p>
    <w:p w14:paraId="3C397205">
      <w:pPr>
        <w:keepNext w:val="0"/>
        <w:keepLines w:val="0"/>
        <w:widowControl/>
        <w:numPr>
          <w:ilvl w:val="0"/>
          <w:numId w:val="4"/>
        </w:numPr>
        <w:suppressLineNumbers w:val="0"/>
        <w:ind w:left="0" w:leftChars="0" w:firstLine="420" w:firstLineChars="0"/>
        <w:jc w:val="both"/>
        <w:rPr>
          <w:rFonts w:hint="default" w:ascii="楷体_GB2312" w:hAnsi="仿宋" w:eastAsia="楷体_GB2312"/>
          <w:sz w:val="32"/>
          <w:szCs w:val="32"/>
          <w:lang w:val="en-US" w:eastAsia="zh-CN"/>
        </w:rPr>
      </w:pPr>
      <w:r>
        <w:rPr>
          <w:rFonts w:hint="eastAsia" w:ascii="楷体_GB2312" w:hAnsi="仿宋" w:eastAsia="楷体_GB2312"/>
          <w:sz w:val="32"/>
          <w:szCs w:val="32"/>
          <w:lang w:val="en-US" w:eastAsia="zh-CN"/>
        </w:rPr>
        <w:t>在网安市场的品牌影响力弱，远不如头部安全厂商。</w:t>
      </w:r>
      <w:r>
        <w:rPr>
          <w:rFonts w:hint="eastAsia" w:ascii="仿宋_GB2312" w:hAnsi="仿宋" w:eastAsia="仿宋_GB2312"/>
          <w:sz w:val="32"/>
          <w:szCs w:val="32"/>
          <w:lang w:val="en-US" w:eastAsia="zh-CN"/>
        </w:rPr>
        <w:t>有两方面原因：一是头部安全厂商如深信服、安恒、奇安信等在网安市场根基深厚，起步早、产品体系健全，不仅有硬件产品，还有整体解决方案，且大型项目参与度高。而电信的网关硬件设备需要从头部厂商采购，如安全大脑虽然平台是自研，但网关设备有安全厂商LOGO，导致客户对产品信任感降低。二是安全厂商资费灵活。如深信服对政府类客户的支付方式和支付时间均比较灵活，可以给用户垫资，可以免费为政府做安全检查和培训，导致天翼安全大脑这种收费服务很难切入。</w:t>
      </w:r>
    </w:p>
    <w:p w14:paraId="41CFB255">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640" w:firstLineChars="0"/>
        <w:jc w:val="both"/>
        <w:textAlignment w:val="auto"/>
        <w:rPr>
          <w:rFonts w:hint="default"/>
          <w:b/>
          <w:sz w:val="32"/>
          <w:szCs w:val="24"/>
          <w:lang w:val="en-US" w:eastAsia="zh-CN"/>
        </w:rPr>
      </w:pPr>
      <w:r>
        <w:rPr>
          <w:rFonts w:hint="eastAsia"/>
          <w:b/>
          <w:sz w:val="32"/>
          <w:szCs w:val="24"/>
          <w:lang w:val="en-US" w:eastAsia="zh-CN"/>
        </w:rPr>
        <w:t>运营商在中小企业网络安全市场的发展建议</w:t>
      </w:r>
    </w:p>
    <w:p w14:paraId="2A81C623">
      <w:pPr>
        <w:keepNext w:val="0"/>
        <w:keepLines w:val="0"/>
        <w:widowControl/>
        <w:numPr>
          <w:ilvl w:val="0"/>
          <w:numId w:val="0"/>
        </w:numPr>
        <w:suppressLineNumbers w:val="0"/>
        <w:ind w:left="0" w:leftChars="0" w:firstLine="419" w:firstLineChars="131"/>
        <w:jc w:val="both"/>
        <w:rPr>
          <w:rFonts w:hint="eastAsia" w:ascii="仿宋_GB2312" w:hAnsi="仿宋" w:eastAsia="仿宋_GB2312"/>
          <w:sz w:val="32"/>
          <w:szCs w:val="32"/>
          <w:lang w:val="en-US" w:eastAsia="zh-CN"/>
        </w:rPr>
      </w:pPr>
      <w:r>
        <w:rPr>
          <w:rFonts w:hint="eastAsia" w:ascii="仿宋_GB2312" w:hAnsi="仿宋" w:eastAsia="仿宋_GB2312"/>
          <w:sz w:val="32"/>
          <w:szCs w:val="32"/>
          <w:lang w:val="en-US" w:eastAsia="zh-CN"/>
        </w:rPr>
        <w:t>面向中小企业的网安产品市场供给模式与中小企业网络安全防护现状不匹配，为运营商在中小企业网络安全防护市场带来机遇。</w:t>
      </w:r>
    </w:p>
    <w:p w14:paraId="37B3FFAF">
      <w:pPr>
        <w:keepNext w:val="0"/>
        <w:keepLines w:val="0"/>
        <w:widowControl/>
        <w:numPr>
          <w:ilvl w:val="0"/>
          <w:numId w:val="5"/>
        </w:numPr>
        <w:suppressLineNumbers w:val="0"/>
        <w:ind w:left="0" w:leftChars="0" w:firstLine="420" w:firstLineChars="0"/>
        <w:jc w:val="both"/>
        <w:rPr>
          <w:rFonts w:hint="default" w:ascii="仿宋_GB2312" w:hAnsi="仿宋" w:eastAsia="仿宋_GB2312"/>
          <w:sz w:val="32"/>
          <w:szCs w:val="32"/>
          <w:lang w:val="en-US" w:eastAsia="zh-CN"/>
        </w:rPr>
      </w:pPr>
      <w:r>
        <w:rPr>
          <w:rFonts w:hint="eastAsia" w:ascii="楷体_GB2312" w:hAnsi="仿宋" w:eastAsia="楷体_GB2312"/>
          <w:sz w:val="32"/>
          <w:szCs w:val="32"/>
          <w:lang w:val="en-US" w:eastAsia="zh-CN"/>
        </w:rPr>
        <w:t>政策层面，以网络运营商的身份，建议国家相关部门持续加强网络安全基础设施建设，完善覆盖中小企业的综合防御体系。</w:t>
      </w:r>
      <w:r>
        <w:rPr>
          <w:rFonts w:hint="eastAsia" w:ascii="仿宋_GB2312" w:hAnsi="仿宋" w:eastAsia="仿宋_GB2312"/>
          <w:sz w:val="32"/>
          <w:szCs w:val="32"/>
          <w:lang w:val="en-US" w:eastAsia="zh-CN"/>
        </w:rPr>
        <w:t>一是推动国家相关部门以基础通信运营商网络接入为锚点，实现对中小企业网络安全的总体纳管。二是完善网络安全突发事件应急预案的执行细则，形成广泛覆盖中小企业的事前预警、事中事后处置的公共服务能力。</w:t>
      </w:r>
    </w:p>
    <w:p w14:paraId="08562C35">
      <w:pPr>
        <w:keepNext w:val="0"/>
        <w:keepLines w:val="0"/>
        <w:widowControl/>
        <w:numPr>
          <w:ilvl w:val="0"/>
          <w:numId w:val="5"/>
        </w:numPr>
        <w:suppressLineNumbers w:val="0"/>
        <w:ind w:left="0" w:leftChars="0" w:firstLine="420" w:firstLineChars="0"/>
        <w:jc w:val="both"/>
        <w:rPr>
          <w:rFonts w:hint="default" w:ascii="仿宋_GB2312" w:hAnsi="仿宋" w:eastAsia="仿宋_GB2312"/>
          <w:sz w:val="32"/>
          <w:szCs w:val="32"/>
          <w:lang w:val="en-US" w:eastAsia="zh-CN"/>
        </w:rPr>
      </w:pPr>
      <w:r>
        <w:rPr>
          <w:rFonts w:hint="eastAsia" w:ascii="楷体_GB2312" w:hAnsi="仿宋" w:eastAsia="楷体_GB2312"/>
          <w:sz w:val="32"/>
          <w:szCs w:val="32"/>
          <w:lang w:val="en-US" w:eastAsia="zh-CN"/>
        </w:rPr>
        <w:t>企业层面，创新产品和服务模式，降低网络安全部署难度。</w:t>
      </w:r>
      <w:r>
        <w:rPr>
          <w:rFonts w:hint="eastAsia" w:ascii="仿宋_GB2312" w:hAnsi="仿宋" w:eastAsia="仿宋_GB2312"/>
          <w:sz w:val="32"/>
          <w:szCs w:val="32"/>
          <w:lang w:val="en-US" w:eastAsia="zh-CN"/>
        </w:rPr>
        <w:t>一是基于中小企业上云后的网络安全需求，提供不同细分场景的一揽子解决方案，推动云化安全产品提质升级。二是运营商可基于庞大的一线客户经理群体，深入挖掘中小企业网络安全防护需求场景与痛点，结合基础网络运营创新安全服务模式，向中小企业提供一站式、可选择、可扩展的集约式和SaaS订阅式安全服务。三是面向数量庞大的中小企业用户，构建网络安全服务场景清单，既降低企业一线人员推广和交付难度，也降低中小企业网络安全部署难度。</w:t>
      </w:r>
    </w:p>
    <w:p w14:paraId="16E5BE00">
      <w:pPr>
        <w:jc w:val="both"/>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Microsoft YaHei UI"/>
    <w:panose1 w:val="00000000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r>
        <w:separator/>
      </w:r>
    </w:p>
  </w:footnote>
  <w:footnote w:type="continuationSeparator" w:id="15">
    <w:p>
      <w:r>
        <w:continuationSeparator/>
      </w:r>
    </w:p>
  </w:footnote>
  <w:footnote w:id="0">
    <w:p w14:paraId="650A2E60">
      <w:pPr>
        <w:pStyle w:val="6"/>
      </w:pPr>
      <w:r>
        <w:rPr>
          <w:rStyle w:val="11"/>
        </w:rPr>
        <w:footnoteRef/>
      </w:r>
      <w:r>
        <w:t xml:space="preserve"> </w:t>
      </w:r>
      <w:r>
        <w:rPr>
          <w:rFonts w:hint="eastAsia"/>
        </w:rPr>
        <w:t>会计和薪资软件提供商Sage2023年10月发布调查《中小型企业的网络安全：应对复杂性并构建弹性》。</w:t>
      </w:r>
    </w:p>
  </w:footnote>
  <w:footnote w:id="1">
    <w:p w14:paraId="12FB3525">
      <w:pPr>
        <w:pStyle w:val="6"/>
        <w:snapToGrid w:val="0"/>
      </w:pPr>
      <w:r>
        <w:rPr>
          <w:rStyle w:val="11"/>
        </w:rPr>
        <w:footnoteRef/>
      </w:r>
      <w:r>
        <w:t xml:space="preserve"> </w:t>
      </w:r>
      <w:r>
        <w:rPr>
          <w:rFonts w:hint="eastAsia"/>
        </w:rPr>
        <w:t>网络安全公司Akamai发布数据。</w:t>
      </w:r>
    </w:p>
  </w:footnote>
  <w:footnote w:id="2">
    <w:p w14:paraId="5BFE25DF">
      <w:pPr>
        <w:pStyle w:val="6"/>
        <w:snapToGrid w:val="0"/>
      </w:pPr>
      <w:r>
        <w:rPr>
          <w:rStyle w:val="11"/>
        </w:rPr>
        <w:footnoteRef/>
      </w:r>
      <w:r>
        <w:t xml:space="preserve"> </w:t>
      </w:r>
      <w:r>
        <w:rPr>
          <w:rFonts w:hint="eastAsia"/>
        </w:rPr>
        <w:t>信息安全服务提供商Arctic Wolf Networks</w:t>
      </w:r>
      <w:r>
        <w:rPr>
          <w:rFonts w:hint="eastAsia"/>
          <w:lang w:val="en-US" w:eastAsia="zh-CN"/>
        </w:rPr>
        <w:t>披露。</w:t>
      </w:r>
    </w:p>
  </w:footnote>
  <w:footnote w:id="3">
    <w:p w14:paraId="4C43ABD5">
      <w:pPr>
        <w:pStyle w:val="6"/>
        <w:snapToGrid w:val="0"/>
        <w:rPr>
          <w:rFonts w:hint="eastAsia" w:eastAsiaTheme="minorEastAsia"/>
          <w:lang w:eastAsia="zh-CN"/>
        </w:rPr>
      </w:pPr>
      <w:r>
        <w:rPr>
          <w:rStyle w:val="11"/>
        </w:rPr>
        <w:footnoteRef/>
      </w:r>
      <w:r>
        <w:t xml:space="preserve"> </w:t>
      </w:r>
      <w:r>
        <w:rPr>
          <w:rFonts w:hint="eastAsia"/>
        </w:rPr>
        <w:t>Orange集团旗下专业网络安全公司Orange Cyberdefense（誓联信息）《Security Navigator 2024》</w:t>
      </w:r>
      <w:r>
        <w:rPr>
          <w:rFonts w:hint="eastAsia"/>
          <w:lang w:eastAsia="zh-CN"/>
        </w:rPr>
        <w:t>。</w:t>
      </w:r>
    </w:p>
  </w:footnote>
  <w:footnote w:id="4">
    <w:p w14:paraId="4085A33E">
      <w:pPr>
        <w:pStyle w:val="6"/>
      </w:pPr>
      <w:r>
        <w:rPr>
          <w:rStyle w:val="11"/>
        </w:rPr>
        <w:footnoteRef/>
      </w:r>
      <w:r>
        <w:t xml:space="preserve"> </w:t>
      </w:r>
      <w:r>
        <w:rPr>
          <w:rFonts w:hint="eastAsia"/>
        </w:rPr>
        <w:t>《中小微企业数字安全报告》，中国中小企业协会联合360集团2022年8月发布。</w:t>
      </w:r>
    </w:p>
  </w:footnote>
  <w:footnote w:id="5">
    <w:p w14:paraId="733E8A56">
      <w:pPr>
        <w:pStyle w:val="6"/>
        <w:snapToGrid w:val="0"/>
        <w:rPr>
          <w:rFonts w:hint="eastAsia" w:eastAsiaTheme="minorEastAsia"/>
          <w:lang w:eastAsia="zh-CN"/>
        </w:rPr>
      </w:pPr>
      <w:r>
        <w:rPr>
          <w:rStyle w:val="11"/>
        </w:rPr>
        <w:footnoteRef/>
      </w:r>
      <w:r>
        <w:t xml:space="preserve"> </w:t>
      </w:r>
      <w:r>
        <w:rPr>
          <w:rFonts w:hint="eastAsia"/>
        </w:rPr>
        <w:t>世界通信</w:t>
      </w:r>
      <w:r>
        <w:rPr>
          <w:rFonts w:hint="eastAsia"/>
          <w:lang w:val="en-US" w:eastAsia="zh-CN"/>
        </w:rPr>
        <w:t>运营企业</w:t>
      </w:r>
      <w:r>
        <w:rPr>
          <w:rFonts w:hint="eastAsia"/>
        </w:rPr>
        <w:t>Verizon公司《2022年数据泄露调查报告》</w:t>
      </w:r>
      <w:r>
        <w:rPr>
          <w:rFonts w:hint="eastAsia"/>
          <w:lang w:eastAsia="zh-CN"/>
        </w:rPr>
        <w:t>。</w:t>
      </w:r>
    </w:p>
  </w:footnote>
  <w:footnote w:id="6">
    <w:p w14:paraId="47227293">
      <w:pPr>
        <w:pStyle w:val="6"/>
        <w:snapToGrid w:val="0"/>
        <w:rPr>
          <w:rFonts w:hint="default" w:eastAsiaTheme="minorEastAsia"/>
          <w:lang w:val="en-US" w:eastAsia="zh-CN"/>
        </w:rPr>
      </w:pPr>
      <w:r>
        <w:rPr>
          <w:rStyle w:val="11"/>
        </w:rPr>
        <w:footnoteRef/>
      </w:r>
      <w:r>
        <w:t xml:space="preserve"> </w:t>
      </w:r>
      <w:r>
        <w:rPr>
          <w:rFonts w:hint="eastAsia"/>
          <w:lang w:eastAsia="zh-CN"/>
        </w:rPr>
        <w:t>《</w:t>
      </w:r>
      <w:r>
        <w:rPr>
          <w:rFonts w:hint="eastAsia"/>
          <w:lang w:val="en-US" w:eastAsia="zh-CN"/>
        </w:rPr>
        <w:t>2023年网络安全产业人才发展报告</w:t>
      </w:r>
      <w:r>
        <w:rPr>
          <w:rFonts w:hint="eastAsia"/>
          <w:lang w:eastAsia="zh-CN"/>
        </w:rPr>
        <w:t>》；</w:t>
      </w:r>
      <w:r>
        <w:rPr>
          <w:rFonts w:hint="eastAsia"/>
          <w:lang w:val="en-US" w:eastAsia="zh-CN"/>
        </w:rPr>
        <w:t>主编单位：安恒信息，智联招聘；指导单位：工信部教育与考试中心，教育部高等学校网络空间安全专业教学指导委员会等。</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621E9"/>
    <w:multiLevelType w:val="singleLevel"/>
    <w:tmpl w:val="A0F621E9"/>
    <w:lvl w:ilvl="0" w:tentative="0">
      <w:start w:val="1"/>
      <w:numFmt w:val="chineseCounting"/>
      <w:suff w:val="nothing"/>
      <w:lvlText w:val="（%1）"/>
      <w:lvlJc w:val="left"/>
      <w:pPr>
        <w:ind w:left="0" w:firstLine="420"/>
      </w:pPr>
      <w:rPr>
        <w:rFonts w:hint="eastAsia"/>
      </w:rPr>
    </w:lvl>
  </w:abstractNum>
  <w:abstractNum w:abstractNumId="1">
    <w:nsid w:val="A90A4060"/>
    <w:multiLevelType w:val="singleLevel"/>
    <w:tmpl w:val="A90A4060"/>
    <w:lvl w:ilvl="0" w:tentative="0">
      <w:start w:val="1"/>
      <w:numFmt w:val="chineseCounting"/>
      <w:suff w:val="nothing"/>
      <w:lvlText w:val="（%1）"/>
      <w:lvlJc w:val="left"/>
      <w:pPr>
        <w:ind w:left="0" w:firstLine="420"/>
      </w:pPr>
      <w:rPr>
        <w:rFonts w:hint="eastAsia"/>
      </w:rPr>
    </w:lvl>
  </w:abstractNum>
  <w:abstractNum w:abstractNumId="2">
    <w:nsid w:val="FF6B3CC1"/>
    <w:multiLevelType w:val="singleLevel"/>
    <w:tmpl w:val="FF6B3CC1"/>
    <w:lvl w:ilvl="0" w:tentative="0">
      <w:start w:val="1"/>
      <w:numFmt w:val="chineseCounting"/>
      <w:suff w:val="nothing"/>
      <w:lvlText w:val="（%1）"/>
      <w:lvlJc w:val="left"/>
      <w:pPr>
        <w:ind w:left="0" w:firstLine="420"/>
      </w:pPr>
      <w:rPr>
        <w:rFonts w:hint="eastAsia"/>
      </w:rPr>
    </w:lvl>
  </w:abstractNum>
  <w:abstractNum w:abstractNumId="3">
    <w:nsid w:val="1564A6B0"/>
    <w:multiLevelType w:val="singleLevel"/>
    <w:tmpl w:val="1564A6B0"/>
    <w:lvl w:ilvl="0" w:tentative="0">
      <w:start w:val="1"/>
      <w:numFmt w:val="chineseCounting"/>
      <w:suff w:val="nothing"/>
      <w:lvlText w:val="%1、"/>
      <w:lvlJc w:val="left"/>
      <w:pPr>
        <w:ind w:left="0" w:firstLine="420"/>
      </w:pPr>
      <w:rPr>
        <w:rFonts w:hint="eastAsia"/>
      </w:rPr>
    </w:lvl>
  </w:abstractNum>
  <w:abstractNum w:abstractNumId="4">
    <w:nsid w:val="67719CBC"/>
    <w:multiLevelType w:val="singleLevel"/>
    <w:tmpl w:val="67719CBC"/>
    <w:lvl w:ilvl="0" w:tentative="0">
      <w:start w:val="1"/>
      <w:numFmt w:val="chineseCounting"/>
      <w:suff w:val="nothing"/>
      <w:lvlText w:val="（%1）"/>
      <w:lvlJc w:val="left"/>
      <w:pPr>
        <w:ind w:left="0" w:firstLine="420"/>
      </w:pPr>
      <w:rPr>
        <w:rFonts w:hint="eastAsia"/>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
    <w:footnote w:id="1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2YTFjZTQ2ZDYwZDUxMTg0YjQ0MTA1YmRmZDg4ZmEifQ=="/>
  </w:docVars>
  <w:rsids>
    <w:rsidRoot w:val="37570077"/>
    <w:rsid w:val="01166B62"/>
    <w:rsid w:val="012670EA"/>
    <w:rsid w:val="015B674C"/>
    <w:rsid w:val="01EF3E9C"/>
    <w:rsid w:val="074F4692"/>
    <w:rsid w:val="07CA430B"/>
    <w:rsid w:val="087F5838"/>
    <w:rsid w:val="088F1609"/>
    <w:rsid w:val="08D90FFB"/>
    <w:rsid w:val="09197006"/>
    <w:rsid w:val="091C5B03"/>
    <w:rsid w:val="098527A9"/>
    <w:rsid w:val="0AED4CFD"/>
    <w:rsid w:val="0B2F7594"/>
    <w:rsid w:val="0BC80FA2"/>
    <w:rsid w:val="0F88196A"/>
    <w:rsid w:val="15EE07AA"/>
    <w:rsid w:val="167C408A"/>
    <w:rsid w:val="16A807F3"/>
    <w:rsid w:val="181776FB"/>
    <w:rsid w:val="190C0A92"/>
    <w:rsid w:val="1A717555"/>
    <w:rsid w:val="1AB5523E"/>
    <w:rsid w:val="1C816435"/>
    <w:rsid w:val="1F392B85"/>
    <w:rsid w:val="2073040E"/>
    <w:rsid w:val="21175087"/>
    <w:rsid w:val="23876261"/>
    <w:rsid w:val="246B3C24"/>
    <w:rsid w:val="26A84219"/>
    <w:rsid w:val="2A724BBB"/>
    <w:rsid w:val="2EE062D2"/>
    <w:rsid w:val="311D7D22"/>
    <w:rsid w:val="3298720E"/>
    <w:rsid w:val="34B21434"/>
    <w:rsid w:val="357940DC"/>
    <w:rsid w:val="37570077"/>
    <w:rsid w:val="39D52A86"/>
    <w:rsid w:val="39F17F00"/>
    <w:rsid w:val="3A1E70B0"/>
    <w:rsid w:val="3AD42011"/>
    <w:rsid w:val="3BA707D5"/>
    <w:rsid w:val="3BFA3D39"/>
    <w:rsid w:val="3D1A79F3"/>
    <w:rsid w:val="3D5A51E7"/>
    <w:rsid w:val="3FD545B5"/>
    <w:rsid w:val="40164BCF"/>
    <w:rsid w:val="41CF2A69"/>
    <w:rsid w:val="42AC480A"/>
    <w:rsid w:val="43171DCF"/>
    <w:rsid w:val="433F20E0"/>
    <w:rsid w:val="43BF677E"/>
    <w:rsid w:val="46F6477A"/>
    <w:rsid w:val="495E77E0"/>
    <w:rsid w:val="496E1542"/>
    <w:rsid w:val="49A32F78"/>
    <w:rsid w:val="4B545DD4"/>
    <w:rsid w:val="4B977F95"/>
    <w:rsid w:val="4E2C2A74"/>
    <w:rsid w:val="4E7678D1"/>
    <w:rsid w:val="4F5678B3"/>
    <w:rsid w:val="50282F8E"/>
    <w:rsid w:val="521D148B"/>
    <w:rsid w:val="5489003F"/>
    <w:rsid w:val="54AD25D8"/>
    <w:rsid w:val="5A661704"/>
    <w:rsid w:val="5B9F00ED"/>
    <w:rsid w:val="5C93153E"/>
    <w:rsid w:val="5D0B433F"/>
    <w:rsid w:val="5D5071A3"/>
    <w:rsid w:val="5DEC37E0"/>
    <w:rsid w:val="5DF664B5"/>
    <w:rsid w:val="5F6C7983"/>
    <w:rsid w:val="60991209"/>
    <w:rsid w:val="617A4751"/>
    <w:rsid w:val="632A1C35"/>
    <w:rsid w:val="64CC6AAA"/>
    <w:rsid w:val="664E4009"/>
    <w:rsid w:val="679C71A7"/>
    <w:rsid w:val="69090EF5"/>
    <w:rsid w:val="691E66F6"/>
    <w:rsid w:val="6A3D06BF"/>
    <w:rsid w:val="6AE705BB"/>
    <w:rsid w:val="6B3C542A"/>
    <w:rsid w:val="6F5D45FC"/>
    <w:rsid w:val="72323DF5"/>
    <w:rsid w:val="73D15666"/>
    <w:rsid w:val="74402D3C"/>
    <w:rsid w:val="76BB2405"/>
    <w:rsid w:val="786E0F20"/>
    <w:rsid w:val="78DA631E"/>
    <w:rsid w:val="78EC2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annotation text"/>
    <w:basedOn w:val="1"/>
    <w:autoRedefine/>
    <w:qFormat/>
    <w:uiPriority w:val="0"/>
    <w:pPr>
      <w:jc w:val="left"/>
    </w:pPr>
  </w:style>
  <w:style w:type="paragraph" w:styleId="6">
    <w:name w:val="footnote text"/>
    <w:basedOn w:val="1"/>
    <w:autoRedefine/>
    <w:qFormat/>
    <w:uiPriority w:val="0"/>
    <w:pPr>
      <w:snapToGrid w:val="0"/>
      <w:jc w:val="left"/>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0">
    <w:name w:val="annotation reference"/>
    <w:basedOn w:val="9"/>
    <w:qFormat/>
    <w:uiPriority w:val="0"/>
    <w:rPr>
      <w:sz w:val="21"/>
      <w:szCs w:val="21"/>
    </w:rPr>
  </w:style>
  <w:style w:type="character" w:styleId="11">
    <w:name w:val="footnote reference"/>
    <w:basedOn w:val="9"/>
    <w:autoRedefine/>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2900</Words>
  <Characters>3009</Characters>
  <Lines>0</Lines>
  <Paragraphs>0</Paragraphs>
  <TotalTime>11</TotalTime>
  <ScaleCrop>false</ScaleCrop>
  <LinksUpToDate>false</LinksUpToDate>
  <CharactersWithSpaces>3018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2024-01-05T08:44:00Z</dcterms:created>
  <dc:creator>Cathy</dc:creator>
  <cp:lastModifiedBy>Cathy</cp:lastModifiedBy>
  <cp:lastPrinted>2024-01-10T00:28:00Z</cp:lastPrinted>
  <dcterms:modified xsi:type="dcterms:W3CDTF">2024-09-13T06:02:16Z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39344CADA99C4C8094CF1140EF0821FA_13</vt:lpwstr>
  </property>
</Properties>
</file>