
<file path=[Content_Types].xml><?xml version="1.0" encoding="utf-8"?>
<Types xmlns="http://schemas.openxmlformats.org/package/2006/content-types">
  <Default Extension="xlsx" ContentType="application/vnd.openxmlformats-officedocument.spreadsheetml.shee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drawings/drawing1.xml" ContentType="application/vnd.openxmlformats-officedocument.drawingml.chartshap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auto"/>
        <w:jc w:val="center"/>
        <w:rPr>
          <w:rFonts w:ascii="仿宋_GB2312" w:eastAsia="仿宋_GB2312"/>
          <w:color w:val="000000" w:themeColor="text1"/>
          <w:sz w:val="32"/>
          <w:szCs w:val="32"/>
          <w14:textFill>
            <w14:solidFill>
              <w14:schemeClr w14:val="tx1"/>
            </w14:solidFill>
          </w14:textFill>
        </w:rPr>
      </w:pPr>
      <w:r>
        <w:rPr>
          <w:rFonts w:hint="eastAsia" w:ascii="仿宋_GB2312" w:eastAsia="仿宋_GB2312"/>
          <w:b/>
          <w:bCs/>
          <w:color w:val="000000" w:themeColor="text1"/>
          <w:sz w:val="32"/>
          <w:szCs w:val="32"/>
          <w14:textFill>
            <w14:solidFill>
              <w14:schemeClr w14:val="tx1"/>
            </w14:solidFill>
          </w14:textFill>
        </w:rPr>
        <w:t>我国主要数据交易所挂牌数据产品现状分析</w:t>
      </w:r>
    </w:p>
    <w:p>
      <w:pPr>
        <w:spacing w:line="300" w:lineRule="auto"/>
        <w:ind w:firstLine="480" w:firstLineChars="200"/>
        <w:rPr>
          <w:rFonts w:ascii="仿宋_GB2312" w:eastAsia="仿宋_GB2312"/>
          <w:color w:val="000000" w:themeColor="text1"/>
          <w:sz w:val="24"/>
          <w:szCs w:val="24"/>
          <w14:textFill>
            <w14:solidFill>
              <w14:schemeClr w14:val="tx1"/>
            </w14:solidFill>
          </w14:textFill>
        </w:rPr>
      </w:pPr>
      <w:r>
        <w:rPr>
          <w:rFonts w:ascii="仿宋_GB2312" w:eastAsia="仿宋_GB2312"/>
          <w:color w:val="000000" w:themeColor="text1"/>
          <w:sz w:val="24"/>
          <w:szCs w:val="24"/>
          <w14:textFill>
            <w14:solidFill>
              <w14:schemeClr w14:val="tx1"/>
            </w14:solidFill>
          </w14:textFill>
        </w:rPr>
        <w:t>2021年，《</w:t>
      </w:r>
      <w:r>
        <w:rPr>
          <w:rFonts w:hint="eastAsia" w:ascii="仿宋_GB2312" w:eastAsia="仿宋_GB2312"/>
          <w:color w:val="000000" w:themeColor="text1"/>
          <w:sz w:val="24"/>
          <w:szCs w:val="24"/>
          <w14:textFill>
            <w14:solidFill>
              <w14:schemeClr w14:val="tx1"/>
            </w14:solidFill>
          </w14:textFill>
        </w:rPr>
        <w:t>“</w:t>
      </w:r>
      <w:r>
        <w:rPr>
          <w:rFonts w:ascii="仿宋_GB2312" w:eastAsia="仿宋_GB2312"/>
          <w:color w:val="000000" w:themeColor="text1"/>
          <w:sz w:val="24"/>
          <w:szCs w:val="24"/>
          <w14:textFill>
            <w14:solidFill>
              <w14:schemeClr w14:val="tx1"/>
            </w14:solidFill>
          </w14:textFill>
        </w:rPr>
        <w:t>十四五</w:t>
      </w:r>
      <w:r>
        <w:rPr>
          <w:rFonts w:hint="eastAsia" w:ascii="仿宋_GB2312" w:eastAsia="仿宋_GB2312"/>
          <w:color w:val="000000" w:themeColor="text1"/>
          <w:sz w:val="24"/>
          <w:szCs w:val="24"/>
          <w14:textFill>
            <w14:solidFill>
              <w14:schemeClr w14:val="tx1"/>
            </w14:solidFill>
          </w14:textFill>
        </w:rPr>
        <w:t>”</w:t>
      </w:r>
      <w:r>
        <w:rPr>
          <w:rFonts w:ascii="仿宋_GB2312" w:eastAsia="仿宋_GB2312"/>
          <w:color w:val="000000" w:themeColor="text1"/>
          <w:sz w:val="24"/>
          <w:szCs w:val="24"/>
          <w14:textFill>
            <w14:solidFill>
              <w14:schemeClr w14:val="tx1"/>
            </w14:solidFill>
          </w14:textFill>
        </w:rPr>
        <w:t>数字经济发展规划》</w:t>
      </w:r>
      <w:r>
        <w:rPr>
          <w:rFonts w:hint="eastAsia" w:ascii="仿宋_GB2312" w:eastAsia="仿宋_GB2312"/>
          <w:color w:val="000000" w:themeColor="text1"/>
          <w:sz w:val="24"/>
          <w:szCs w:val="24"/>
          <w14:textFill>
            <w14:solidFill>
              <w14:schemeClr w14:val="tx1"/>
            </w14:solidFill>
          </w14:textFill>
        </w:rPr>
        <w:t>明确</w:t>
      </w:r>
      <w:r>
        <w:rPr>
          <w:rFonts w:ascii="仿宋_GB2312" w:eastAsia="仿宋_GB2312"/>
          <w:color w:val="000000" w:themeColor="text1"/>
          <w:sz w:val="24"/>
          <w:szCs w:val="24"/>
          <w14:textFill>
            <w14:solidFill>
              <w14:schemeClr w14:val="tx1"/>
            </w14:solidFill>
          </w14:textFill>
        </w:rPr>
        <w:t>提出在2025年初步建立数据要素市场体系，充分发挥数据要素作用。</w:t>
      </w:r>
      <w:r>
        <w:rPr>
          <w:rFonts w:hint="eastAsia" w:ascii="仿宋_GB2312" w:eastAsia="仿宋_GB2312"/>
          <w:color w:val="000000" w:themeColor="text1"/>
          <w:sz w:val="24"/>
          <w:szCs w:val="24"/>
          <w14:textFill>
            <w14:solidFill>
              <w14:schemeClr w14:val="tx1"/>
            </w14:solidFill>
          </w14:textFill>
        </w:rPr>
        <w:t>数据交易所作为数据要素市场体系的重要主体，直接承载着数据要素的市场交易，更是数据交易市场规则的重要创新探索地。</w:t>
      </w:r>
      <w:r>
        <w:rPr>
          <w:rFonts w:hint="eastAsia" w:ascii="仿宋_GB2312" w:eastAsia="仿宋_GB2312"/>
          <w:color w:val="000000" w:themeColor="text1"/>
          <w:sz w:val="24"/>
          <w:szCs w:val="24"/>
          <w14:textFill>
            <w14:solidFill>
              <w14:schemeClr w14:val="tx1"/>
            </w14:solidFill>
          </w14:textFill>
        </w:rPr>
        <w:t>但目前数据交易所的平台建设及规则制定尚处于起步探索阶段，交易量在我国数据交易市场中所占份额仍不足</w:t>
      </w:r>
      <w:r>
        <w:rPr>
          <w:rFonts w:ascii="仿宋_GB2312" w:eastAsia="仿宋_GB2312"/>
          <w:color w:val="000000" w:themeColor="text1"/>
          <w:sz w:val="24"/>
          <w:szCs w:val="24"/>
          <w14:textFill>
            <w14:solidFill>
              <w14:schemeClr w14:val="tx1"/>
            </w14:solidFill>
          </w14:textFill>
        </w:rPr>
        <w:t>5%</w:t>
      </w:r>
      <w:r>
        <w:rPr>
          <w:rFonts w:hint="eastAsia" w:ascii="仿宋_GB2312" w:eastAsia="仿宋_GB2312"/>
          <w:color w:val="000000" w:themeColor="text1"/>
          <w:sz w:val="24"/>
          <w:szCs w:val="24"/>
          <w14:textFill>
            <w14:solidFill>
              <w14:schemeClr w14:val="tx1"/>
            </w14:solidFill>
          </w14:textFill>
        </w:rPr>
        <w:t>。</w:t>
      </w:r>
      <w:r>
        <w:rPr>
          <w:rFonts w:ascii="仿宋_GB2312" w:eastAsia="仿宋_GB2312"/>
          <w:color w:val="000000" w:themeColor="text1"/>
          <w:sz w:val="24"/>
          <w:szCs w:val="24"/>
          <w14:textFill>
            <w14:solidFill>
              <w14:schemeClr w14:val="tx1"/>
            </w14:solidFill>
          </w14:textFill>
        </w:rPr>
        <w:t>本文利用爬虫技术</w:t>
      </w:r>
      <w:r>
        <w:rPr>
          <w:rFonts w:hint="eastAsia" w:ascii="仿宋_GB2312" w:eastAsia="仿宋_GB2312"/>
          <w:color w:val="000000" w:themeColor="text1"/>
          <w:sz w:val="24"/>
          <w:szCs w:val="24"/>
          <w14:textFill>
            <w14:solidFill>
              <w14:schemeClr w14:val="tx1"/>
            </w14:solidFill>
          </w14:textFill>
        </w:rPr>
        <w:t>获取了其中十地</w:t>
      </w:r>
      <w:r>
        <w:rPr>
          <w:rFonts w:ascii="仿宋_GB2312" w:eastAsia="仿宋_GB2312"/>
          <w:color w:val="000000" w:themeColor="text1"/>
          <w:sz w:val="24"/>
          <w:szCs w:val="24"/>
          <w14:textFill>
            <w14:solidFill>
              <w14:schemeClr w14:val="tx1"/>
            </w14:solidFill>
          </w14:textFill>
        </w:rPr>
        <w:t>11</w:t>
      </w:r>
      <w:r>
        <w:rPr>
          <w:rFonts w:hint="eastAsia" w:ascii="仿宋_GB2312" w:eastAsia="仿宋_GB2312"/>
          <w:color w:val="000000" w:themeColor="text1"/>
          <w:sz w:val="24"/>
          <w:szCs w:val="24"/>
          <w14:textFill>
            <w14:solidFill>
              <w14:schemeClr w14:val="tx1"/>
            </w14:solidFill>
          </w14:textFill>
        </w:rPr>
        <w:t>家建设较为成熟的数交所共</w:t>
      </w:r>
      <w:r>
        <w:rPr>
          <w:rFonts w:ascii="仿宋_GB2312" w:eastAsia="仿宋_GB2312"/>
          <w:color w:val="000000" w:themeColor="text1"/>
          <w:sz w:val="24"/>
          <w:szCs w:val="24"/>
          <w14:textFill>
            <w14:solidFill>
              <w14:schemeClr w14:val="tx1"/>
            </w14:solidFill>
          </w14:textFill>
        </w:rPr>
        <w:t>8173产品信息，</w:t>
      </w:r>
      <w:r>
        <w:rPr>
          <w:rFonts w:hint="eastAsia" w:ascii="仿宋_GB2312" w:eastAsia="仿宋_GB2312"/>
          <w:color w:val="000000" w:themeColor="text1"/>
          <w:sz w:val="24"/>
          <w:szCs w:val="24"/>
          <w14:textFill>
            <w14:solidFill>
              <w14:schemeClr w14:val="tx1"/>
            </w14:solidFill>
          </w14:textFill>
        </w:rPr>
        <w:t>量化分析不同数交所</w:t>
      </w:r>
      <w:r>
        <w:rPr>
          <w:rFonts w:ascii="仿宋_GB2312" w:eastAsia="仿宋_GB2312"/>
          <w:color w:val="000000" w:themeColor="text1"/>
          <w:sz w:val="24"/>
          <w:szCs w:val="24"/>
          <w14:textFill>
            <w14:solidFill>
              <w14:schemeClr w14:val="tx1"/>
            </w14:solidFill>
          </w14:textFill>
        </w:rPr>
        <w:t>挂牌交</w:t>
      </w:r>
      <w:r>
        <w:rPr>
          <w:rFonts w:hint="eastAsia" w:ascii="仿宋_GB2312" w:eastAsia="仿宋_GB2312"/>
          <w:color w:val="000000" w:themeColor="text1"/>
          <w:sz w:val="24"/>
          <w:szCs w:val="24"/>
          <w14:textFill>
            <w14:solidFill>
              <w14:schemeClr w14:val="tx1"/>
            </w14:solidFill>
          </w14:textFill>
        </w:rPr>
        <w:t>易产品及数据供应商特点，进而梳理国内各数交所的实践经验</w:t>
      </w:r>
      <w:r>
        <w:rPr>
          <w:rFonts w:hint="eastAsia" w:ascii="仿宋_GB2312" w:eastAsia="仿宋_GB2312"/>
          <w:color w:val="000000" w:themeColor="text1"/>
          <w:sz w:val="24"/>
          <w:szCs w:val="24"/>
          <w14:textFill>
            <w14:solidFill>
              <w14:schemeClr w14:val="tx1"/>
            </w14:solidFill>
          </w14:textFill>
        </w:rPr>
        <w:t>，以期在一定程度上管窥数据交易所现阶段的行业特征和共性问题。</w:t>
      </w:r>
    </w:p>
    <w:p>
      <w:pPr>
        <w:spacing w:line="300" w:lineRule="auto"/>
        <w:ind w:firstLine="480" w:firstLineChars="200"/>
        <w:rPr>
          <w:rFonts w:ascii="仿宋_GB2312" w:eastAsia="仿宋_GB2312"/>
          <w:color w:val="000000" w:themeColor="text1"/>
          <w:sz w:val="24"/>
          <w:szCs w:val="24"/>
          <w14:textFill>
            <w14:solidFill>
              <w14:schemeClr w14:val="tx1"/>
            </w14:solidFill>
          </w14:textFill>
        </w:rPr>
      </w:pPr>
      <w:bookmarkStart w:id="0" w:name="_GoBack"/>
      <w:bookmarkEnd w:id="0"/>
    </w:p>
    <w:p>
      <w:pPr>
        <w:spacing w:line="300" w:lineRule="auto"/>
        <w:outlineLvl w:val="0"/>
        <w:rPr>
          <w:rFonts w:ascii="仿宋_GB2312" w:eastAsia="仿宋_GB2312"/>
          <w:b/>
          <w:bCs/>
          <w:color w:val="000000" w:themeColor="text1"/>
          <w:sz w:val="28"/>
          <w:szCs w:val="28"/>
          <w14:textFill>
            <w14:solidFill>
              <w14:schemeClr w14:val="tx1"/>
            </w14:solidFill>
          </w14:textFill>
        </w:rPr>
      </w:pPr>
      <w:r>
        <w:rPr>
          <w:rFonts w:hint="eastAsia" w:ascii="仿宋_GB2312" w:eastAsia="仿宋_GB2312"/>
          <w:b/>
          <w:bCs/>
          <w:color w:val="000000" w:themeColor="text1"/>
          <w:sz w:val="28"/>
          <w:szCs w:val="28"/>
          <w14:textFill>
            <w14:solidFill>
              <w14:schemeClr w14:val="tx1"/>
            </w14:solidFill>
          </w14:textFill>
        </w:rPr>
        <w:t>一、数据交易的地方实践特色</w:t>
      </w:r>
    </w:p>
    <w:p>
      <w:pPr>
        <w:spacing w:line="300" w:lineRule="auto"/>
        <w:ind w:firstLine="480" w:firstLineChars="200"/>
        <w:rPr>
          <w:rFonts w:ascii="仿宋_GB2312" w:eastAsia="仿宋_GB2312"/>
          <w:color w:val="000000" w:themeColor="text1"/>
          <w:sz w:val="24"/>
          <w:szCs w:val="24"/>
          <w14:textFill>
            <w14:solidFill>
              <w14:schemeClr w14:val="tx1"/>
            </w14:solidFill>
          </w14:textFill>
        </w:rPr>
      </w:pPr>
      <w:r>
        <w:rPr>
          <w:rFonts w:ascii="仿宋_GB2312" w:eastAsia="仿宋_GB2312"/>
          <w:color w:val="000000" w:themeColor="text1"/>
          <w:sz w:val="24"/>
          <w:szCs w:val="24"/>
          <w14:textFill>
            <w14:solidFill>
              <w14:schemeClr w14:val="tx1"/>
            </w14:solidFill>
          </w14:textFill>
        </w:rPr>
        <w:t>截至2022年8月，主流数所平台</w:t>
      </w:r>
      <w:r>
        <w:rPr>
          <w:rFonts w:hint="eastAsia" w:ascii="仿宋_GB2312" w:eastAsia="仿宋_GB2312"/>
          <w:color w:val="000000" w:themeColor="text1"/>
          <w:sz w:val="24"/>
          <w:szCs w:val="24"/>
          <w14:textFill>
            <w14:solidFill>
              <w14:schemeClr w14:val="tx1"/>
            </w14:solidFill>
          </w14:textFill>
        </w:rPr>
        <w:t>已</w:t>
      </w:r>
      <w:r>
        <w:rPr>
          <w:rFonts w:ascii="仿宋_GB2312" w:eastAsia="仿宋_GB2312"/>
          <w:color w:val="000000" w:themeColor="text1"/>
          <w:sz w:val="24"/>
          <w:szCs w:val="24"/>
          <w14:textFill>
            <w14:solidFill>
              <w14:schemeClr w14:val="tx1"/>
            </w14:solidFill>
          </w14:textFill>
        </w:rPr>
        <w:t>成立48所，拟建7所</w:t>
      </w:r>
      <w:r>
        <w:rPr>
          <w:rFonts w:hint="eastAsia" w:ascii="仿宋_GB2312" w:eastAsia="仿宋_GB2312"/>
          <w:color w:val="000000" w:themeColor="text1"/>
          <w:sz w:val="24"/>
          <w:szCs w:val="24"/>
          <w14:textFill>
            <w14:solidFill>
              <w14:schemeClr w14:val="tx1"/>
            </w14:solidFill>
          </w14:textFill>
        </w:rPr>
        <w:t>。随着各地数交所建设的逐步完善，数据交易的差异化地方实践特色也开始展现，如：贵数所允许授权运营的地理气象数据及服务上架交易，但高频交易产品集中，top</w:t>
      </w:r>
      <w:r>
        <w:rPr>
          <w:rFonts w:ascii="仿宋_GB2312" w:eastAsia="仿宋_GB2312"/>
          <w:color w:val="000000" w:themeColor="text1"/>
          <w:sz w:val="24"/>
          <w:szCs w:val="24"/>
          <w14:textFill>
            <w14:solidFill>
              <w14:schemeClr w14:val="tx1"/>
            </w14:solidFill>
          </w14:textFill>
        </w:rPr>
        <w:t>5</w:t>
      </w:r>
      <w:r>
        <w:rPr>
          <w:rFonts w:hint="eastAsia" w:ascii="仿宋_GB2312" w:eastAsia="仿宋_GB2312"/>
          <w:color w:val="000000" w:themeColor="text1"/>
          <w:sz w:val="24"/>
          <w:szCs w:val="24"/>
          <w14:textFill>
            <w14:solidFill>
              <w14:schemeClr w14:val="tx1"/>
            </w14:solidFill>
          </w14:textFill>
        </w:rPr>
        <w:t>数商</w:t>
      </w:r>
      <w:r>
        <w:rPr>
          <w:rFonts w:ascii="仿宋_GB2312" w:eastAsia="仿宋_GB2312"/>
          <w:color w:val="000000" w:themeColor="text1"/>
          <w:sz w:val="24"/>
          <w:szCs w:val="24"/>
          <w14:textFill>
            <w14:solidFill>
              <w14:schemeClr w14:val="tx1"/>
            </w14:solidFill>
          </w14:textFill>
        </w:rPr>
        <w:t>交易笔数占比达到84%</w:t>
      </w:r>
      <w:r>
        <w:rPr>
          <w:rFonts w:hint="eastAsia" w:ascii="仿宋_GB2312" w:eastAsia="仿宋_GB2312"/>
          <w:color w:val="000000" w:themeColor="text1"/>
          <w:sz w:val="24"/>
          <w:szCs w:val="24"/>
          <w14:textFill>
            <w14:solidFill>
              <w14:schemeClr w14:val="tx1"/>
            </w14:solidFill>
          </w14:textFill>
        </w:rPr>
        <w:t>；海南数据超市则是通过企业服务、金融行业和政务服务类等场景化应用方式推动公共数据资源开发利用，但定价机制尚不成熟，提供的</w:t>
      </w:r>
      <w:r>
        <w:rPr>
          <w:rFonts w:ascii="仿宋_GB2312" w:eastAsia="仿宋_GB2312"/>
          <w:color w:val="000000" w:themeColor="text1"/>
          <w:sz w:val="24"/>
          <w:szCs w:val="24"/>
          <w14:textFill>
            <w14:solidFill>
              <w14:schemeClr w14:val="tx1"/>
            </w14:solidFill>
          </w14:textFill>
        </w:rPr>
        <w:t>802个数据产品中有过半产品（52.7%）需面议后定价</w:t>
      </w:r>
      <w:r>
        <w:rPr>
          <w:rFonts w:hint="eastAsia" w:ascii="仿宋_GB2312" w:eastAsia="仿宋_GB2312"/>
          <w:color w:val="000000" w:themeColor="text1"/>
          <w:sz w:val="24"/>
          <w:szCs w:val="24"/>
          <w14:textFill>
            <w14:solidFill>
              <w14:schemeClr w14:val="tx1"/>
            </w14:solidFill>
          </w14:textFill>
        </w:rPr>
        <w:t>；福建省公共数据资源统一开放平台均为政府公众数据接口，但活跃率较低，</w:t>
      </w:r>
      <w:r>
        <w:rPr>
          <w:rFonts w:ascii="仿宋_GB2312" w:eastAsia="仿宋_GB2312"/>
          <w:color w:val="000000" w:themeColor="text1"/>
          <w:sz w:val="24"/>
          <w:szCs w:val="24"/>
          <w14:textFill>
            <w14:solidFill>
              <w14:schemeClr w14:val="tx1"/>
            </w14:solidFill>
          </w14:textFill>
        </w:rPr>
        <w:t>18.7%的产品没用户查看过，61.6%的产品被查看次数在百次以下</w:t>
      </w:r>
      <w:r>
        <w:rPr>
          <w:rFonts w:hint="eastAsia" w:ascii="仿宋_GB2312" w:eastAsia="仿宋_GB2312"/>
          <w:color w:val="000000" w:themeColor="text1"/>
          <w:sz w:val="24"/>
          <w:szCs w:val="24"/>
          <w14:textFill>
            <w14:solidFill>
              <w14:schemeClr w14:val="tx1"/>
            </w14:solidFill>
          </w14:textFill>
        </w:rPr>
        <w:t>。</w:t>
      </w:r>
    </w:p>
    <w:p>
      <w:pPr>
        <w:spacing w:line="300" w:lineRule="auto"/>
        <w:rPr>
          <w:rFonts w:ascii="仿宋_GB2312" w:eastAsia="仿宋_GB2312"/>
          <w:color w:val="000000" w:themeColor="text1"/>
          <w:sz w:val="24"/>
          <w:szCs w:val="24"/>
          <w14:textFill>
            <w14:solidFill>
              <w14:schemeClr w14:val="tx1"/>
            </w14:solidFill>
          </w14:textFill>
        </w:rPr>
      </w:pPr>
    </w:p>
    <w:p>
      <w:pPr>
        <w:spacing w:line="300" w:lineRule="auto"/>
        <w:outlineLvl w:val="0"/>
        <w:rPr>
          <w:rFonts w:ascii="仿宋_GB2312" w:eastAsia="仿宋_GB2312"/>
          <w:b/>
          <w:bCs/>
          <w:color w:val="000000" w:themeColor="text1"/>
          <w:sz w:val="28"/>
          <w:szCs w:val="28"/>
          <w14:textFill>
            <w14:solidFill>
              <w14:schemeClr w14:val="tx1"/>
            </w14:solidFill>
          </w14:textFill>
        </w:rPr>
      </w:pPr>
      <w:r>
        <w:rPr>
          <w:rFonts w:hint="eastAsia" w:ascii="仿宋_GB2312" w:eastAsia="仿宋_GB2312"/>
          <w:b/>
          <w:bCs/>
          <w:color w:val="000000" w:themeColor="text1"/>
          <w:sz w:val="28"/>
          <w:szCs w:val="28"/>
          <w14:textFill>
            <w14:solidFill>
              <w14:schemeClr w14:val="tx1"/>
            </w14:solidFill>
          </w14:textFill>
        </w:rPr>
        <w:t>二、数据交易所挂牌产品扫描</w:t>
      </w:r>
    </w:p>
    <w:p>
      <w:pPr>
        <w:spacing w:line="300" w:lineRule="auto"/>
        <w:outlineLvl w:val="1"/>
        <w:rPr>
          <w:rFonts w:ascii="仿宋_GB2312" w:eastAsia="仿宋_GB2312"/>
          <w:b/>
          <w:bCs/>
          <w:color w:val="000000" w:themeColor="text1"/>
          <w:sz w:val="24"/>
          <w:szCs w:val="24"/>
          <w14:textFill>
            <w14:solidFill>
              <w14:schemeClr w14:val="tx1"/>
            </w14:solidFill>
          </w14:textFill>
        </w:rPr>
      </w:pPr>
      <w:r>
        <w:rPr>
          <w:rFonts w:hint="eastAsia" w:ascii="仿宋_GB2312" w:eastAsia="仿宋_GB2312"/>
          <w:b/>
          <w:bCs/>
          <w:color w:val="000000" w:themeColor="text1"/>
          <w:sz w:val="24"/>
          <w:szCs w:val="24"/>
          <w14:textFill>
            <w14:solidFill>
              <w14:schemeClr w14:val="tx1"/>
            </w14:solidFill>
          </w14:textFill>
        </w:rPr>
        <w:t>1、未发现一枝独秀的价值场景，</w:t>
      </w:r>
      <w:r>
        <w:rPr>
          <w:rFonts w:hint="eastAsia" w:ascii="仿宋_GB2312" w:eastAsia="仿宋_GB2312"/>
          <w:b/>
          <w:bCs/>
          <w:color w:val="000000" w:themeColor="text1"/>
          <w:sz w:val="24"/>
          <w:szCs w:val="24"/>
          <w14:textFill>
            <w14:solidFill>
              <w14:schemeClr w14:val="tx1"/>
            </w14:solidFill>
          </w14:textFill>
        </w:rPr>
        <w:t>已上架场景难以满足实际需求</w:t>
      </w:r>
    </w:p>
    <w:p>
      <w:pPr>
        <w:spacing w:line="300" w:lineRule="auto"/>
        <w:ind w:firstLine="482" w:firstLineChars="200"/>
        <w:rPr>
          <w:rFonts w:ascii="仿宋_GB2312" w:eastAsia="仿宋_GB2312"/>
          <w:color w:val="000000" w:themeColor="text1"/>
          <w:sz w:val="24"/>
          <w:szCs w:val="24"/>
          <w14:textFill>
            <w14:solidFill>
              <w14:schemeClr w14:val="tx1"/>
            </w14:solidFill>
          </w14:textFill>
        </w:rPr>
      </w:pPr>
      <w:r>
        <w:rPr>
          <w:rFonts w:hint="eastAsia" w:ascii="仿宋_GB2312" w:eastAsia="仿宋_GB2312"/>
          <w:b/>
          <w:bCs/>
          <w:color w:val="000000" w:themeColor="text1"/>
          <w:sz w:val="24"/>
          <w:szCs w:val="24"/>
          <w14:textFill>
            <w14:solidFill>
              <w14:schemeClr w14:val="tx1"/>
            </w14:solidFill>
          </w14:textFill>
        </w:rPr>
        <w:t>不同的数交所价值场景有一定差异，表现出明显的地域特点和行业倾向性特点，这也表明各地数所尚不能全面满足本地用数需求。</w:t>
      </w:r>
      <w:r>
        <w:rPr>
          <w:rFonts w:hint="eastAsia" w:ascii="仿宋_GB2312" w:eastAsia="仿宋_GB2312"/>
          <w:color w:val="000000" w:themeColor="text1"/>
          <w:sz w:val="24"/>
          <w:szCs w:val="24"/>
          <w14:textFill>
            <w14:solidFill>
              <w14:schemeClr w14:val="tx1"/>
            </w14:solidFill>
          </w14:textFill>
        </w:rPr>
        <w:t>十家数交所的1</w:t>
      </w:r>
      <w:r>
        <w:rPr>
          <w:rFonts w:ascii="仿宋_GB2312" w:eastAsia="仿宋_GB2312"/>
          <w:color w:val="000000" w:themeColor="text1"/>
          <w:sz w:val="24"/>
          <w:szCs w:val="24"/>
          <w14:textFill>
            <w14:solidFill>
              <w14:schemeClr w14:val="tx1"/>
            </w14:solidFill>
          </w14:textFill>
        </w:rPr>
        <w:t>768</w:t>
      </w:r>
      <w:r>
        <w:rPr>
          <w:rFonts w:hint="eastAsia" w:ascii="仿宋_GB2312" w:eastAsia="仿宋_GB2312"/>
          <w:color w:val="000000" w:themeColor="text1"/>
          <w:sz w:val="24"/>
          <w:szCs w:val="24"/>
          <w14:textFill>
            <w14:solidFill>
              <w14:schemeClr w14:val="tx1"/>
            </w14:solidFill>
          </w14:textFill>
        </w:rPr>
        <w:t>个挂牌产品均有比较鲜明的场景应用性，其中7</w:t>
      </w:r>
      <w:r>
        <w:rPr>
          <w:rFonts w:ascii="仿宋_GB2312" w:eastAsia="仿宋_GB2312"/>
          <w:color w:val="000000" w:themeColor="text1"/>
          <w:sz w:val="24"/>
          <w:szCs w:val="24"/>
          <w14:textFill>
            <w14:solidFill>
              <w14:schemeClr w14:val="tx1"/>
            </w14:solidFill>
          </w14:textFill>
        </w:rPr>
        <w:t>0.47%</w:t>
      </w:r>
      <w:r>
        <w:rPr>
          <w:rFonts w:hint="eastAsia" w:ascii="仿宋_GB2312" w:eastAsia="仿宋_GB2312"/>
          <w:color w:val="000000" w:themeColor="text1"/>
          <w:sz w:val="24"/>
          <w:szCs w:val="24"/>
          <w14:textFill>
            <w14:solidFill>
              <w14:schemeClr w14:val="tx1"/>
            </w14:solidFill>
          </w14:textFill>
        </w:rPr>
        <w:t>的产品都可以归为相似的五大价值场景（见图1），但不同数交所产品之间可应用的价值场景差异性较大。虽然各家数交所均以提供个人/企业关键信息查询校验产品为主，但如华东数交所会有近4</w:t>
      </w:r>
      <w:r>
        <w:rPr>
          <w:rFonts w:ascii="仿宋_GB2312" w:eastAsia="仿宋_GB2312"/>
          <w:color w:val="000000" w:themeColor="text1"/>
          <w:sz w:val="24"/>
          <w:szCs w:val="24"/>
          <w14:textFill>
            <w14:solidFill>
              <w14:schemeClr w14:val="tx1"/>
            </w14:solidFill>
          </w14:textFill>
        </w:rPr>
        <w:t>0%</w:t>
      </w:r>
      <w:r>
        <w:rPr>
          <w:rFonts w:hint="eastAsia" w:ascii="仿宋_GB2312" w:eastAsia="仿宋_GB2312"/>
          <w:color w:val="000000" w:themeColor="text1"/>
          <w:sz w:val="24"/>
          <w:szCs w:val="24"/>
          <w14:textFill>
            <w14:solidFill>
              <w14:schemeClr w14:val="tx1"/>
            </w14:solidFill>
          </w14:textFill>
        </w:rPr>
        <w:t>的交通、物流、车辆类产品，而贵交所则有近2</w:t>
      </w:r>
      <w:r>
        <w:rPr>
          <w:rFonts w:ascii="仿宋_GB2312" w:eastAsia="仿宋_GB2312"/>
          <w:color w:val="000000" w:themeColor="text1"/>
          <w:sz w:val="24"/>
          <w:szCs w:val="24"/>
          <w14:textFill>
            <w14:solidFill>
              <w14:schemeClr w14:val="tx1"/>
            </w14:solidFill>
          </w14:textFill>
        </w:rPr>
        <w:t>2%</w:t>
      </w:r>
      <w:r>
        <w:rPr>
          <w:rFonts w:hint="eastAsia" w:ascii="仿宋_GB2312" w:eastAsia="仿宋_GB2312"/>
          <w:color w:val="000000" w:themeColor="text1"/>
          <w:sz w:val="24"/>
          <w:szCs w:val="24"/>
          <w14:textFill>
            <w14:solidFill>
              <w14:schemeClr w14:val="tx1"/>
            </w14:solidFill>
          </w14:textFill>
        </w:rPr>
        <w:t>的气象、生态环境、水文产品。</w:t>
      </w:r>
      <w:r>
        <w:rPr>
          <w:rFonts w:hint="eastAsia" w:ascii="仿宋_GB2312" w:eastAsia="仿宋_GB2312"/>
          <w:color w:val="000000" w:themeColor="text1"/>
          <w:sz w:val="24"/>
          <w:szCs w:val="24"/>
          <w14:textFill>
            <w14:solidFill>
              <w14:schemeClr w14:val="tx1"/>
            </w14:solidFill>
          </w14:textFill>
        </w:rPr>
        <w:t>而在研究调研过程中，亦有相关从业人士指出，数所内现阶段挂牌产品并不能很好满足客户实际用数需求，实际的数据交易仍以私下沟通定制为主。</w:t>
      </w:r>
    </w:p>
    <w:p>
      <w:pPr>
        <w:spacing w:line="300" w:lineRule="auto"/>
        <w:rPr>
          <w:rFonts w:ascii="仿宋_GB2312" w:eastAsia="仿宋_GB2312"/>
          <w:color w:val="000000" w:themeColor="text1"/>
          <w:sz w:val="24"/>
          <w:szCs w:val="24"/>
          <w14:textFill>
            <w14:solidFill>
              <w14:schemeClr w14:val="tx1"/>
            </w14:solidFill>
          </w14:textFill>
        </w:rPr>
      </w:pPr>
      <w:r>
        <w:rPr>
          <w:rFonts w:ascii="仿宋_GB2312" w:eastAsia="仿宋_GB2312"/>
          <w:color w:val="000000" w:themeColor="text1"/>
          <w:sz w:val="24"/>
          <w:szCs w:val="24"/>
          <w14:textFill>
            <w14:solidFill>
              <w14:schemeClr w14:val="tx1"/>
            </w14:solidFill>
          </w14:textFill>
        </w:rPr>
        <w:drawing>
          <wp:inline distT="0" distB="0" distL="0" distR="0">
            <wp:extent cx="5274310" cy="2339975"/>
            <wp:effectExtent l="0" t="0" r="2540" b="3175"/>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pPr>
        <w:spacing w:line="300" w:lineRule="auto"/>
        <w:jc w:val="center"/>
        <w:rPr>
          <w:rFonts w:ascii="仿宋_GB2312" w:eastAsia="仿宋_GB2312"/>
          <w:color w:val="000000" w:themeColor="text1"/>
          <w:szCs w:val="21"/>
          <w14:textFill>
            <w14:solidFill>
              <w14:schemeClr w14:val="tx1"/>
            </w14:solidFill>
          </w14:textFill>
        </w:rPr>
      </w:pPr>
      <w:r>
        <w:rPr>
          <w:rFonts w:hint="eastAsia" w:ascii="仿宋_GB2312" w:eastAsia="仿宋_GB2312"/>
          <w:color w:val="000000" w:themeColor="text1"/>
          <w:szCs w:val="21"/>
          <w14:textFill>
            <w14:solidFill>
              <w14:schemeClr w14:val="tx1"/>
            </w14:solidFill>
          </w14:textFill>
        </w:rPr>
        <w:t>图1</w:t>
      </w:r>
      <w:r>
        <w:rPr>
          <w:rFonts w:ascii="仿宋_GB2312" w:eastAsia="仿宋_GB2312"/>
          <w:color w:val="000000" w:themeColor="text1"/>
          <w:szCs w:val="21"/>
          <w14:textFill>
            <w14:solidFill>
              <w14:schemeClr w14:val="tx1"/>
            </w14:solidFill>
          </w14:textFill>
        </w:rPr>
        <w:t xml:space="preserve"> </w:t>
      </w:r>
      <w:r>
        <w:rPr>
          <w:rFonts w:hint="eastAsia" w:ascii="仿宋_GB2312" w:eastAsia="仿宋_GB2312"/>
          <w:color w:val="000000" w:themeColor="text1"/>
          <w:szCs w:val="21"/>
          <w14:textFill>
            <w14:solidFill>
              <w14:schemeClr w14:val="tx1"/>
            </w14:solidFill>
          </w14:textFill>
        </w:rPr>
        <w:t>十家数据交易所产品价值场景分布</w:t>
      </w:r>
    </w:p>
    <w:p>
      <w:pPr>
        <w:spacing w:line="300" w:lineRule="auto"/>
        <w:rPr>
          <w:rFonts w:ascii="仿宋_GB2312" w:eastAsia="仿宋_GB2312"/>
          <w:color w:val="000000" w:themeColor="text1"/>
          <w:sz w:val="18"/>
          <w:szCs w:val="18"/>
          <w14:textFill>
            <w14:solidFill>
              <w14:schemeClr w14:val="tx1"/>
            </w14:solidFill>
          </w14:textFill>
        </w:rPr>
      </w:pPr>
      <w:r>
        <w:rPr>
          <w:rFonts w:hint="eastAsia" w:ascii="仿宋_GB2312" w:eastAsia="仿宋_GB2312"/>
          <w:color w:val="000000" w:themeColor="text1"/>
          <w:sz w:val="18"/>
          <w:szCs w:val="18"/>
          <w14:textFill>
            <w14:solidFill>
              <w14:schemeClr w14:val="tx1"/>
            </w14:solidFill>
          </w14:textFill>
        </w:rPr>
        <w:t>注：考虑到福建省公共数据资源统一开放平台全由本地政府单位供应的特殊性，为避免影响区域用数需求评价，此处不纳入比较。</w:t>
      </w:r>
    </w:p>
    <w:p>
      <w:pPr>
        <w:spacing w:line="300" w:lineRule="auto"/>
        <w:rPr>
          <w:rFonts w:ascii="仿宋_GB2312" w:eastAsia="仿宋_GB2312"/>
          <w:color w:val="000000" w:themeColor="text1"/>
          <w:sz w:val="24"/>
          <w:szCs w:val="24"/>
          <w14:textFill>
            <w14:solidFill>
              <w14:schemeClr w14:val="tx1"/>
            </w14:solidFill>
          </w14:textFill>
        </w:rPr>
      </w:pPr>
    </w:p>
    <w:p>
      <w:pPr>
        <w:spacing w:line="300" w:lineRule="auto"/>
        <w:outlineLvl w:val="1"/>
        <w:rPr>
          <w:rFonts w:ascii="仿宋_GB2312" w:eastAsia="仿宋_GB2312"/>
          <w:b/>
          <w:bCs/>
          <w:color w:val="000000" w:themeColor="text1"/>
          <w:sz w:val="24"/>
          <w:szCs w:val="24"/>
          <w14:textFill>
            <w14:solidFill>
              <w14:schemeClr w14:val="tx1"/>
            </w14:solidFill>
          </w14:textFill>
        </w:rPr>
      </w:pPr>
      <w:r>
        <w:rPr>
          <w:rFonts w:hint="eastAsia" w:ascii="仿宋_GB2312" w:eastAsia="仿宋_GB2312"/>
          <w:b/>
          <w:bCs/>
          <w:color w:val="000000" w:themeColor="text1"/>
          <w:sz w:val="24"/>
          <w:szCs w:val="24"/>
          <w14:textFill>
            <w14:solidFill>
              <w14:schemeClr w14:val="tx1"/>
            </w14:solidFill>
          </w14:textFill>
        </w:rPr>
        <w:t>2、数据流通网络建设初见成效，但跨省数据供给数量有待提高</w:t>
      </w:r>
    </w:p>
    <w:p>
      <w:pPr>
        <w:spacing w:line="300" w:lineRule="auto"/>
        <w:ind w:firstLine="482" w:firstLineChars="200"/>
        <w:rPr>
          <w:rFonts w:ascii="仿宋_GB2312" w:eastAsia="仿宋_GB2312"/>
          <w:color w:val="000000" w:themeColor="text1"/>
          <w:sz w:val="24"/>
          <w:szCs w:val="24"/>
          <w14:textFill>
            <w14:solidFill>
              <w14:schemeClr w14:val="tx1"/>
            </w14:solidFill>
          </w14:textFill>
        </w:rPr>
      </w:pPr>
      <w:r>
        <w:rPr>
          <w:rFonts w:hint="eastAsia" w:ascii="仿宋_GB2312" w:eastAsia="仿宋_GB2312"/>
          <w:b/>
          <w:bCs/>
          <w:color w:val="000000" w:themeColor="text1"/>
          <w:sz w:val="24"/>
          <w:szCs w:val="24"/>
          <w14:textFill>
            <w14:solidFill>
              <w14:schemeClr w14:val="tx1"/>
            </w14:solidFill>
          </w14:textFill>
        </w:rPr>
        <w:t>各数交所均有来自全国各地的数据供应商入驻，但部分数交所仍以所在的本省企业供应数据为主，区域间的数据流通壁垒尚待进一步打破</w:t>
      </w:r>
      <w:r>
        <w:rPr>
          <w:rFonts w:hint="eastAsia" w:ascii="仿宋_GB2312" w:eastAsia="仿宋_GB2312"/>
          <w:color w:val="000000" w:themeColor="text1"/>
          <w:sz w:val="24"/>
          <w:szCs w:val="24"/>
          <w14:textFill>
            <w14:solidFill>
              <w14:schemeClr w14:val="tx1"/>
            </w14:solidFill>
          </w14:textFill>
        </w:rPr>
        <w:t>。</w:t>
      </w:r>
      <w:r>
        <w:rPr>
          <w:rFonts w:ascii="仿宋_GB2312" w:eastAsia="仿宋_GB2312"/>
          <w:color w:val="000000" w:themeColor="text1"/>
          <w:sz w:val="24"/>
          <w:szCs w:val="24"/>
          <w14:textFill>
            <w14:solidFill>
              <w14:schemeClr w14:val="tx1"/>
            </w14:solidFill>
          </w14:textFill>
        </w:rPr>
        <w:t>截至2022年</w:t>
      </w:r>
      <w:r>
        <w:rPr>
          <w:rFonts w:hint="eastAsia" w:ascii="仿宋_GB2312" w:eastAsia="仿宋_GB2312"/>
          <w:color w:val="000000" w:themeColor="text1"/>
          <w:sz w:val="24"/>
          <w:szCs w:val="24"/>
          <w14:textFill>
            <w14:solidFill>
              <w14:schemeClr w14:val="tx1"/>
            </w14:solidFill>
          </w14:textFill>
        </w:rPr>
        <w:t>底</w:t>
      </w:r>
      <w:r>
        <w:rPr>
          <w:rFonts w:ascii="仿宋_GB2312" w:eastAsia="仿宋_GB2312"/>
          <w:color w:val="000000" w:themeColor="text1"/>
          <w:sz w:val="24"/>
          <w:szCs w:val="24"/>
          <w14:textFill>
            <w14:solidFill>
              <w14:schemeClr w14:val="tx1"/>
            </w14:solidFill>
          </w14:textFill>
        </w:rPr>
        <w:t>，</w:t>
      </w:r>
      <w:r>
        <w:rPr>
          <w:rFonts w:hint="eastAsia" w:ascii="仿宋_GB2312" w:eastAsia="仿宋_GB2312"/>
          <w:color w:val="000000" w:themeColor="text1"/>
          <w:sz w:val="24"/>
          <w:szCs w:val="24"/>
          <w14:textFill>
            <w14:solidFill>
              <w14:schemeClr w14:val="tx1"/>
            </w14:solidFill>
          </w14:textFill>
        </w:rPr>
        <w:t>有公布供应商信息的海南、贵阳、杭州、山东、郑州五地数交所共上架1</w:t>
      </w:r>
      <w:r>
        <w:rPr>
          <w:rFonts w:ascii="仿宋_GB2312" w:eastAsia="仿宋_GB2312"/>
          <w:color w:val="000000" w:themeColor="text1"/>
          <w:sz w:val="24"/>
          <w:szCs w:val="24"/>
          <w14:textFill>
            <w14:solidFill>
              <w14:schemeClr w14:val="tx1"/>
            </w14:solidFill>
          </w14:textFill>
        </w:rPr>
        <w:t>541</w:t>
      </w:r>
      <w:r>
        <w:rPr>
          <w:rFonts w:hint="eastAsia" w:ascii="仿宋_GB2312" w:eastAsia="仿宋_GB2312"/>
          <w:color w:val="000000" w:themeColor="text1"/>
          <w:sz w:val="24"/>
          <w:szCs w:val="24"/>
          <w14:textFill>
            <w14:solidFill>
              <w14:schemeClr w14:val="tx1"/>
            </w14:solidFill>
          </w14:textFill>
        </w:rPr>
        <w:t>个数据产品，其中</w:t>
      </w:r>
      <w:r>
        <w:rPr>
          <w:rFonts w:ascii="仿宋_GB2312" w:eastAsia="仿宋_GB2312"/>
          <w:color w:val="000000" w:themeColor="text1"/>
          <w:sz w:val="24"/>
          <w:szCs w:val="24"/>
          <w14:textFill>
            <w14:solidFill>
              <w14:schemeClr w14:val="tx1"/>
            </w14:solidFill>
          </w14:textFill>
        </w:rPr>
        <w:t>64%</w:t>
      </w:r>
      <w:r>
        <w:rPr>
          <w:rFonts w:hint="eastAsia" w:ascii="仿宋_GB2312" w:eastAsia="仿宋_GB2312"/>
          <w:color w:val="000000" w:themeColor="text1"/>
          <w:sz w:val="24"/>
          <w:szCs w:val="24"/>
          <w14:textFill>
            <w14:solidFill>
              <w14:schemeClr w14:val="tx1"/>
            </w14:solidFill>
          </w14:textFill>
        </w:rPr>
        <w:t>的数据产品是由非交易平台所在省的企业供给的，单是北上深三地的数据供应量就占到了总数据供应量的4</w:t>
      </w:r>
      <w:r>
        <w:rPr>
          <w:rFonts w:ascii="仿宋_GB2312" w:eastAsia="仿宋_GB2312"/>
          <w:color w:val="000000" w:themeColor="text1"/>
          <w:sz w:val="24"/>
          <w:szCs w:val="24"/>
          <w14:textFill>
            <w14:solidFill>
              <w14:schemeClr w14:val="tx1"/>
            </w14:solidFill>
          </w14:textFill>
        </w:rPr>
        <w:t>0%</w:t>
      </w:r>
      <w:r>
        <w:rPr>
          <w:rFonts w:hint="eastAsia" w:ascii="仿宋_GB2312" w:eastAsia="仿宋_GB2312"/>
          <w:color w:val="000000" w:themeColor="text1"/>
          <w:sz w:val="24"/>
          <w:szCs w:val="24"/>
          <w14:textFill>
            <w14:solidFill>
              <w14:schemeClr w14:val="tx1"/>
            </w14:solidFill>
          </w14:textFill>
        </w:rPr>
        <w:t>（图2）。但以</w:t>
      </w:r>
      <w:r>
        <w:rPr>
          <w:rFonts w:ascii="仿宋_GB2312" w:eastAsia="仿宋_GB2312"/>
          <w:color w:val="000000" w:themeColor="text1"/>
          <w:sz w:val="24"/>
          <w:szCs w:val="24"/>
          <w14:textFill>
            <w14:solidFill>
              <w14:schemeClr w14:val="tx1"/>
            </w14:solidFill>
          </w14:textFill>
        </w:rPr>
        <w:t>贵阳数交所</w:t>
      </w:r>
      <w:r>
        <w:rPr>
          <w:rFonts w:hint="eastAsia" w:ascii="仿宋_GB2312" w:eastAsia="仿宋_GB2312"/>
          <w:color w:val="000000" w:themeColor="text1"/>
          <w:sz w:val="24"/>
          <w:szCs w:val="24"/>
          <w14:textFill>
            <w14:solidFill>
              <w14:schemeClr w14:val="tx1"/>
            </w14:solidFill>
          </w14:textFill>
        </w:rPr>
        <w:t>为代表四个平台仍有接近5</w:t>
      </w:r>
      <w:r>
        <w:rPr>
          <w:rFonts w:ascii="仿宋_GB2312" w:eastAsia="仿宋_GB2312"/>
          <w:color w:val="000000" w:themeColor="text1"/>
          <w:sz w:val="24"/>
          <w:szCs w:val="24"/>
          <w14:textFill>
            <w14:solidFill>
              <w14:schemeClr w14:val="tx1"/>
            </w14:solidFill>
          </w14:textFill>
        </w:rPr>
        <w:t>0%</w:t>
      </w:r>
      <w:r>
        <w:rPr>
          <w:rFonts w:hint="eastAsia" w:ascii="仿宋_GB2312" w:eastAsia="仿宋_GB2312"/>
          <w:color w:val="000000" w:themeColor="text1"/>
          <w:sz w:val="24"/>
          <w:szCs w:val="24"/>
          <w14:textFill>
            <w14:solidFill>
              <w14:schemeClr w14:val="tx1"/>
            </w14:solidFill>
          </w14:textFill>
        </w:rPr>
        <w:t>的数据来源于本地，</w:t>
      </w:r>
      <w:r>
        <w:rPr>
          <w:rFonts w:ascii="仿宋_GB2312" w:eastAsia="仿宋_GB2312"/>
          <w:color w:val="000000" w:themeColor="text1"/>
          <w:sz w:val="24"/>
          <w:szCs w:val="24"/>
          <w14:textFill>
            <w14:solidFill>
              <w14:schemeClr w14:val="tx1"/>
            </w14:solidFill>
          </w14:textFill>
        </w:rPr>
        <w:t>贵阳数交所</w:t>
      </w:r>
      <w:r>
        <w:rPr>
          <w:rFonts w:hint="eastAsia" w:ascii="仿宋_GB2312" w:eastAsia="仿宋_GB2312"/>
          <w:color w:val="000000" w:themeColor="text1"/>
          <w:sz w:val="24"/>
          <w:szCs w:val="24"/>
          <w14:textFill>
            <w14:solidFill>
              <w14:schemeClr w14:val="tx1"/>
            </w14:solidFill>
          </w14:textFill>
        </w:rPr>
        <w:t>3</w:t>
      </w:r>
      <w:r>
        <w:rPr>
          <w:rFonts w:ascii="仿宋_GB2312" w:eastAsia="仿宋_GB2312"/>
          <w:color w:val="000000" w:themeColor="text1"/>
          <w:sz w:val="24"/>
          <w:szCs w:val="24"/>
          <w14:textFill>
            <w14:solidFill>
              <w14:schemeClr w14:val="tx1"/>
            </w14:solidFill>
          </w14:textFill>
        </w:rPr>
        <w:t>52</w:t>
      </w:r>
      <w:r>
        <w:rPr>
          <w:rFonts w:hint="eastAsia" w:ascii="仿宋_GB2312" w:eastAsia="仿宋_GB2312"/>
          <w:color w:val="000000" w:themeColor="text1"/>
          <w:sz w:val="24"/>
          <w:szCs w:val="24"/>
          <w14:textFill>
            <w14:solidFill>
              <w14:schemeClr w14:val="tx1"/>
            </w14:solidFill>
          </w14:textFill>
        </w:rPr>
        <w:t>个数据产品</w:t>
      </w:r>
      <w:r>
        <w:rPr>
          <w:rFonts w:ascii="仿宋_GB2312" w:eastAsia="仿宋_GB2312"/>
          <w:color w:val="000000" w:themeColor="text1"/>
          <w:sz w:val="24"/>
          <w:szCs w:val="24"/>
          <w14:textFill>
            <w14:solidFill>
              <w14:schemeClr w14:val="tx1"/>
            </w14:solidFill>
          </w14:textFill>
        </w:rPr>
        <w:t>中，有141</w:t>
      </w:r>
      <w:r>
        <w:rPr>
          <w:rFonts w:hint="eastAsia" w:ascii="仿宋_GB2312" w:eastAsia="仿宋_GB2312"/>
          <w:color w:val="000000" w:themeColor="text1"/>
          <w:sz w:val="24"/>
          <w:szCs w:val="24"/>
          <w14:textFill>
            <w14:solidFill>
              <w14:schemeClr w14:val="tx1"/>
            </w14:solidFill>
          </w14:textFill>
        </w:rPr>
        <w:t>个</w:t>
      </w:r>
      <w:r>
        <w:rPr>
          <w:rFonts w:ascii="仿宋_GB2312" w:eastAsia="仿宋_GB2312"/>
          <w:color w:val="000000" w:themeColor="text1"/>
          <w:sz w:val="24"/>
          <w:szCs w:val="24"/>
          <w14:textFill>
            <w14:solidFill>
              <w14:schemeClr w14:val="tx1"/>
            </w14:solidFill>
          </w14:textFill>
        </w:rPr>
        <w:t>来自于</w:t>
      </w:r>
      <w:r>
        <w:rPr>
          <w:rFonts w:hint="eastAsia" w:ascii="仿宋_GB2312" w:eastAsia="仿宋_GB2312"/>
          <w:color w:val="000000" w:themeColor="text1"/>
          <w:sz w:val="24"/>
          <w:szCs w:val="24"/>
          <w14:textFill>
            <w14:solidFill>
              <w14:schemeClr w14:val="tx1"/>
            </w14:solidFill>
          </w14:textFill>
        </w:rPr>
        <w:t>贵州同方知网科技发展有限公司等本土企业</w:t>
      </w:r>
      <w:r>
        <w:rPr>
          <w:rFonts w:ascii="仿宋_GB2312" w:eastAsia="仿宋_GB2312"/>
          <w:color w:val="000000" w:themeColor="text1"/>
          <w:sz w:val="24"/>
          <w:szCs w:val="24"/>
          <w14:textFill>
            <w14:solidFill>
              <w14:schemeClr w14:val="tx1"/>
            </w14:solidFill>
          </w14:textFill>
        </w:rPr>
        <w:t>，占据产品总数</w:t>
      </w:r>
      <w:r>
        <w:rPr>
          <w:rFonts w:hint="eastAsia" w:ascii="仿宋_GB2312" w:eastAsia="仿宋_GB2312"/>
          <w:color w:val="000000" w:themeColor="text1"/>
          <w:sz w:val="24"/>
          <w:szCs w:val="24"/>
          <w14:textFill>
            <w14:solidFill>
              <w14:schemeClr w14:val="tx1"/>
            </w14:solidFill>
          </w14:textFill>
        </w:rPr>
        <w:t>近</w:t>
      </w:r>
      <w:r>
        <w:rPr>
          <w:rFonts w:ascii="仿宋_GB2312" w:eastAsia="仿宋_GB2312"/>
          <w:color w:val="000000" w:themeColor="text1"/>
          <w:sz w:val="24"/>
          <w:szCs w:val="24"/>
          <w14:textFill>
            <w14:solidFill>
              <w14:schemeClr w14:val="tx1"/>
            </w14:solidFill>
          </w14:textFill>
        </w:rPr>
        <w:t>半壁江山</w:t>
      </w:r>
      <w:r>
        <w:rPr>
          <w:rFonts w:hint="eastAsia" w:ascii="仿宋_GB2312" w:eastAsia="仿宋_GB2312"/>
          <w:color w:val="000000" w:themeColor="text1"/>
          <w:sz w:val="24"/>
          <w:szCs w:val="24"/>
          <w14:textFill>
            <w14:solidFill>
              <w14:schemeClr w14:val="tx1"/>
            </w14:solidFill>
          </w14:textFill>
        </w:rPr>
        <w:t>（表</w:t>
      </w:r>
      <w:r>
        <w:rPr>
          <w:rFonts w:ascii="仿宋_GB2312" w:eastAsia="仿宋_GB2312"/>
          <w:color w:val="000000" w:themeColor="text1"/>
          <w:sz w:val="24"/>
          <w:szCs w:val="24"/>
          <w14:textFill>
            <w14:solidFill>
              <w14:schemeClr w14:val="tx1"/>
            </w14:solidFill>
          </w14:textFill>
        </w:rPr>
        <w:t>1</w:t>
      </w:r>
      <w:r>
        <w:rPr>
          <w:rFonts w:hint="eastAsia" w:ascii="仿宋_GB2312" w:eastAsia="仿宋_GB2312"/>
          <w:color w:val="000000" w:themeColor="text1"/>
          <w:sz w:val="24"/>
          <w:szCs w:val="24"/>
          <w14:textFill>
            <w14:solidFill>
              <w14:schemeClr w14:val="tx1"/>
            </w14:solidFill>
          </w14:textFill>
        </w:rPr>
        <w:t>）</w:t>
      </w:r>
      <w:r>
        <w:rPr>
          <w:rFonts w:ascii="仿宋_GB2312" w:eastAsia="仿宋_GB2312"/>
          <w:color w:val="000000" w:themeColor="text1"/>
          <w:sz w:val="24"/>
          <w:szCs w:val="24"/>
          <w14:textFill>
            <w14:solidFill>
              <w14:schemeClr w14:val="tx1"/>
            </w14:solidFill>
          </w14:textFill>
        </w:rPr>
        <w:t>。</w:t>
      </w:r>
    </w:p>
    <w:p>
      <w:pPr>
        <w:spacing w:line="300" w:lineRule="auto"/>
        <w:jc w:val="center"/>
        <w:rPr>
          <w:rFonts w:ascii="仿宋_GB2312" w:eastAsia="仿宋_GB2312"/>
          <w:color w:val="000000" w:themeColor="text1"/>
          <w:sz w:val="24"/>
          <w:szCs w:val="24"/>
          <w14:textFill>
            <w14:solidFill>
              <w14:schemeClr w14:val="tx1"/>
            </w14:solidFill>
          </w14:textFill>
        </w:rPr>
      </w:pPr>
      <w:r>
        <w:rPr>
          <w:rFonts w:ascii="仿宋_GB2312" w:eastAsia="仿宋_GB2312"/>
          <w:color w:val="000000" w:themeColor="text1"/>
          <w:sz w:val="24"/>
          <w:szCs w:val="24"/>
          <w14:textFill>
            <w14:solidFill>
              <w14:schemeClr w14:val="tx1"/>
            </w14:solidFill>
          </w14:textFill>
        </w:rPr>
        <w:drawing>
          <wp:inline distT="0" distB="0" distL="0" distR="0">
            <wp:extent cx="3599815" cy="2418715"/>
            <wp:effectExtent l="0" t="0" r="635" b="635"/>
            <wp:docPr id="5" name="图片 4"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图片包含 图示&#10;&#10;描述已自动生成"/>
                    <pic:cNvPicPr>
                      <a:picLocks noChangeAspect="1"/>
                    </pic:cNvPicPr>
                  </pic:nvPicPr>
                  <pic:blipFill>
                    <a:blip r:embed="rId5" cstate="print">
                      <a:extLst>
                        <a:ext uri="{28A0092B-C50C-407E-A947-70E740481C1C}">
                          <a14:useLocalDpi xmlns:a14="http://schemas.microsoft.com/office/drawing/2010/main" val="0"/>
                        </a:ext>
                      </a:extLst>
                    </a:blip>
                    <a:srcRect l="20418" t="4952" r="18250" b="28381"/>
                    <a:stretch>
                      <a:fillRect/>
                    </a:stretch>
                  </pic:blipFill>
                  <pic:spPr>
                    <a:xfrm>
                      <a:off x="0" y="0"/>
                      <a:ext cx="3600000" cy="2418938"/>
                    </a:xfrm>
                    <a:prstGeom prst="rect">
                      <a:avLst/>
                    </a:prstGeom>
                  </pic:spPr>
                </pic:pic>
              </a:graphicData>
            </a:graphic>
          </wp:inline>
        </w:drawing>
      </w:r>
    </w:p>
    <w:p>
      <w:pPr>
        <w:spacing w:line="300" w:lineRule="auto"/>
        <w:jc w:val="center"/>
        <w:rPr>
          <w:rFonts w:ascii="仿宋_GB2312" w:eastAsia="仿宋_GB2312"/>
          <w:color w:val="000000" w:themeColor="text1"/>
          <w:szCs w:val="21"/>
          <w14:textFill>
            <w14:solidFill>
              <w14:schemeClr w14:val="tx1"/>
            </w14:solidFill>
          </w14:textFill>
        </w:rPr>
      </w:pPr>
      <w:r>
        <w:rPr>
          <w:rFonts w:hint="eastAsia" w:ascii="仿宋_GB2312" w:eastAsia="仿宋_GB2312"/>
          <w:color w:val="000000" w:themeColor="text1"/>
          <w:szCs w:val="21"/>
          <w14:textFill>
            <w14:solidFill>
              <w14:schemeClr w14:val="tx1"/>
            </w14:solidFill>
          </w14:textFill>
        </w:rPr>
        <w:t>图</w:t>
      </w:r>
      <w:r>
        <w:rPr>
          <w:rFonts w:ascii="仿宋_GB2312" w:eastAsia="仿宋_GB2312"/>
          <w:color w:val="000000" w:themeColor="text1"/>
          <w:szCs w:val="21"/>
          <w14:textFill>
            <w14:solidFill>
              <w14:schemeClr w14:val="tx1"/>
            </w14:solidFill>
          </w14:textFill>
        </w:rPr>
        <w:t>2</w:t>
      </w:r>
      <w:r>
        <w:rPr>
          <w:rFonts w:hint="eastAsia" w:ascii="仿宋_GB2312" w:eastAsia="仿宋_GB2312"/>
          <w:color w:val="000000" w:themeColor="text1"/>
          <w:szCs w:val="21"/>
          <w14:textFill>
            <w14:solidFill>
              <w14:schemeClr w14:val="tx1"/>
            </w14:solidFill>
          </w14:textFill>
        </w:rPr>
        <w:t xml:space="preserve"> 2</w:t>
      </w:r>
      <w:r>
        <w:rPr>
          <w:rFonts w:ascii="仿宋_GB2312" w:eastAsia="仿宋_GB2312"/>
          <w:color w:val="000000" w:themeColor="text1"/>
          <w:szCs w:val="21"/>
          <w14:textFill>
            <w14:solidFill>
              <w14:schemeClr w14:val="tx1"/>
            </w14:solidFill>
          </w14:textFill>
        </w:rPr>
        <w:t>022</w:t>
      </w:r>
      <w:r>
        <w:rPr>
          <w:rFonts w:hint="eastAsia" w:ascii="仿宋_GB2312" w:eastAsia="仿宋_GB2312"/>
          <w:color w:val="000000" w:themeColor="text1"/>
          <w:szCs w:val="21"/>
          <w14:textFill>
            <w14:solidFill>
              <w14:schemeClr w14:val="tx1"/>
            </w14:solidFill>
          </w14:textFill>
        </w:rPr>
        <w:t>年数据要素流通网络</w:t>
      </w:r>
    </w:p>
    <w:p>
      <w:pPr>
        <w:spacing w:line="300" w:lineRule="auto"/>
        <w:rPr>
          <w:rFonts w:ascii="仿宋_GB2312" w:eastAsia="仿宋_GB2312"/>
          <w:color w:val="000000" w:themeColor="text1"/>
          <w:sz w:val="18"/>
          <w:szCs w:val="18"/>
          <w14:textFill>
            <w14:solidFill>
              <w14:schemeClr w14:val="tx1"/>
            </w14:solidFill>
          </w14:textFill>
        </w:rPr>
      </w:pPr>
      <w:r>
        <w:rPr>
          <w:rFonts w:hint="eastAsia" w:ascii="仿宋_GB2312" w:eastAsia="仿宋_GB2312"/>
          <w:color w:val="000000" w:themeColor="text1"/>
          <w:sz w:val="18"/>
          <w:szCs w:val="18"/>
          <w14:textFill>
            <w14:solidFill>
              <w14:schemeClr w14:val="tx1"/>
            </w14:solidFill>
          </w14:textFill>
        </w:rPr>
        <w:t>注：</w:t>
      </w:r>
      <w:r>
        <w:rPr>
          <w:rFonts w:ascii="仿宋_GB2312" w:eastAsia="仿宋_GB2312"/>
          <w:color w:val="000000" w:themeColor="text1"/>
          <w:sz w:val="18"/>
          <w:szCs w:val="18"/>
          <w14:textFill>
            <w14:solidFill>
              <w14:schemeClr w14:val="tx1"/>
            </w14:solidFill>
          </w14:textFill>
        </w:rPr>
        <w:t>1.蓝线粗细代表所在地数商向平台提供产品数，蓝圈大小表示平台所在地数商提供产品数；</w:t>
      </w:r>
    </w:p>
    <w:p>
      <w:pPr>
        <w:spacing w:line="300" w:lineRule="auto"/>
        <w:rPr>
          <w:rFonts w:ascii="仿宋_GB2312" w:eastAsia="仿宋_GB2312"/>
          <w:color w:val="000000" w:themeColor="text1"/>
          <w:sz w:val="18"/>
          <w:szCs w:val="18"/>
          <w14:textFill>
            <w14:solidFill>
              <w14:schemeClr w14:val="tx1"/>
            </w14:solidFill>
          </w14:textFill>
        </w:rPr>
      </w:pPr>
      <w:r>
        <w:rPr>
          <w:rFonts w:ascii="仿宋_GB2312" w:eastAsia="仿宋_GB2312"/>
          <w:color w:val="000000" w:themeColor="text1"/>
          <w:sz w:val="18"/>
          <w:szCs w:val="18"/>
          <w14:textFill>
            <w14:solidFill>
              <w14:schemeClr w14:val="tx1"/>
            </w14:solidFill>
          </w14:textFill>
        </w:rPr>
        <w:t>2.区域红色深浅表示当地数商数量，颜色越深，数商数量越多。</w:t>
      </w:r>
    </w:p>
    <w:p>
      <w:pPr>
        <w:spacing w:line="300" w:lineRule="auto"/>
        <w:rPr>
          <w:rFonts w:ascii="仿宋_GB2312" w:eastAsia="仿宋_GB2312"/>
          <w:color w:val="000000" w:themeColor="text1"/>
          <w:sz w:val="24"/>
          <w:szCs w:val="24"/>
          <w14:textFill>
            <w14:solidFill>
              <w14:schemeClr w14:val="tx1"/>
            </w14:solidFill>
          </w14:textFill>
        </w:rPr>
      </w:pPr>
    </w:p>
    <w:p>
      <w:pPr>
        <w:spacing w:line="300" w:lineRule="auto"/>
        <w:jc w:val="center"/>
        <w:rPr>
          <w:rFonts w:ascii="仿宋_GB2312" w:eastAsia="仿宋_GB2312"/>
          <w:color w:val="000000" w:themeColor="text1"/>
          <w:szCs w:val="21"/>
          <w14:textFill>
            <w14:solidFill>
              <w14:schemeClr w14:val="tx1"/>
            </w14:solidFill>
          </w14:textFill>
        </w:rPr>
      </w:pPr>
      <w:r>
        <w:rPr>
          <w:rFonts w:hint="eastAsia" w:ascii="仿宋_GB2312" w:eastAsia="仿宋_GB2312"/>
          <w:color w:val="000000" w:themeColor="text1"/>
          <w:szCs w:val="21"/>
          <w14:textFill>
            <w14:solidFill>
              <w14:schemeClr w14:val="tx1"/>
            </w14:solidFill>
          </w14:textFill>
        </w:rPr>
        <w:t>表</w:t>
      </w:r>
      <w:r>
        <w:rPr>
          <w:rFonts w:ascii="仿宋_GB2312" w:eastAsia="仿宋_GB2312"/>
          <w:color w:val="000000" w:themeColor="text1"/>
          <w:szCs w:val="21"/>
          <w14:textFill>
            <w14:solidFill>
              <w14:schemeClr w14:val="tx1"/>
            </w14:solidFill>
          </w14:textFill>
        </w:rPr>
        <w:t xml:space="preserve">1 </w:t>
      </w:r>
      <w:r>
        <w:rPr>
          <w:rFonts w:hint="eastAsia" w:ascii="仿宋_GB2312" w:eastAsia="仿宋_GB2312"/>
          <w:color w:val="000000" w:themeColor="text1"/>
          <w:szCs w:val="21"/>
          <w14:textFill>
            <w14:solidFill>
              <w14:schemeClr w14:val="tx1"/>
            </w14:solidFill>
          </w14:textFill>
        </w:rPr>
        <w:t>五家数据交易所数据产品来源</w:t>
      </w:r>
    </w:p>
    <w:tbl>
      <w:tblPr>
        <w:tblStyle w:val="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25"/>
        <w:gridCol w:w="1214"/>
        <w:gridCol w:w="897"/>
        <w:gridCol w:w="897"/>
        <w:gridCol w:w="897"/>
        <w:gridCol w:w="897"/>
        <w:gridCol w:w="895"/>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1658" w:type="pct"/>
            <w:vMerge w:val="restart"/>
            <w:noWrap/>
            <w:vAlign w:val="center"/>
          </w:tcPr>
          <w:p>
            <w:pPr>
              <w:jc w:val="center"/>
              <w:rPr>
                <w:rFonts w:ascii="仿宋_GB2312" w:hAnsi="微软雅黑" w:eastAsia="仿宋_GB2312" w:cs="宋体"/>
                <w:b/>
                <w:bCs/>
                <w:color w:val="000000" w:themeColor="text1"/>
                <w:kern w:val="0"/>
                <w:szCs w:val="21"/>
                <w14:textFill>
                  <w14:solidFill>
                    <w14:schemeClr w14:val="tx1"/>
                  </w14:solidFill>
                </w14:textFill>
              </w:rPr>
            </w:pPr>
            <w:r>
              <w:rPr>
                <w:rFonts w:hint="eastAsia" w:ascii="仿宋_GB2312" w:hAnsi="微软雅黑" w:eastAsia="仿宋_GB2312" w:cs="宋体"/>
                <w:b/>
                <w:bCs/>
                <w:color w:val="000000" w:themeColor="text1"/>
                <w:kern w:val="0"/>
                <w:szCs w:val="21"/>
                <w14:textFill>
                  <w14:solidFill>
                    <w14:schemeClr w14:val="tx1"/>
                  </w14:solidFill>
                </w14:textFill>
              </w:rPr>
              <w:t>数据交易所</w:t>
            </w:r>
          </w:p>
        </w:tc>
        <w:tc>
          <w:tcPr>
            <w:tcW w:w="713" w:type="pct"/>
            <w:vMerge w:val="restart"/>
            <w:noWrap/>
            <w:vAlign w:val="center"/>
          </w:tcPr>
          <w:p>
            <w:pPr>
              <w:jc w:val="center"/>
              <w:rPr>
                <w:rFonts w:ascii="仿宋_GB2312" w:hAnsi="微软雅黑" w:eastAsia="仿宋_GB2312" w:cs="宋体"/>
                <w:b/>
                <w:bCs/>
                <w:color w:val="000000" w:themeColor="text1"/>
                <w:kern w:val="0"/>
                <w:szCs w:val="21"/>
                <w14:textFill>
                  <w14:solidFill>
                    <w14:schemeClr w14:val="tx1"/>
                  </w14:solidFill>
                </w14:textFill>
              </w:rPr>
            </w:pPr>
            <w:r>
              <w:rPr>
                <w:rFonts w:hint="eastAsia" w:ascii="仿宋_GB2312" w:hAnsi="微软雅黑" w:eastAsia="仿宋_GB2312" w:cs="宋体"/>
                <w:b/>
                <w:bCs/>
                <w:color w:val="000000" w:themeColor="text1"/>
                <w:kern w:val="0"/>
                <w:szCs w:val="21"/>
                <w14:textFill>
                  <w14:solidFill>
                    <w14:schemeClr w14:val="tx1"/>
                  </w14:solidFill>
                </w14:textFill>
              </w:rPr>
              <w:t>产品数量</w:t>
            </w:r>
          </w:p>
        </w:tc>
        <w:tc>
          <w:tcPr>
            <w:tcW w:w="2630" w:type="pct"/>
            <w:gridSpan w:val="5"/>
            <w:tcBorders>
              <w:bottom w:val="single" w:color="auto" w:sz="8" w:space="0"/>
            </w:tcBorders>
            <w:noWrap/>
            <w:vAlign w:val="center"/>
          </w:tcPr>
          <w:p>
            <w:pPr>
              <w:widowControl/>
              <w:jc w:val="center"/>
              <w:rPr>
                <w:rFonts w:ascii="仿宋_GB2312" w:hAnsi="等线" w:eastAsia="仿宋_GB2312" w:cs="宋体"/>
                <w:b/>
                <w:bCs/>
                <w:color w:val="000000" w:themeColor="text1"/>
                <w:kern w:val="0"/>
                <w:szCs w:val="21"/>
                <w14:textFill>
                  <w14:solidFill>
                    <w14:schemeClr w14:val="tx1"/>
                  </w14:solidFill>
                </w14:textFill>
              </w:rPr>
            </w:pPr>
            <w:r>
              <w:rPr>
                <w:rFonts w:hint="eastAsia" w:ascii="仿宋_GB2312" w:hAnsi="等线" w:eastAsia="仿宋_GB2312" w:cs="宋体"/>
                <w:b/>
                <w:bCs/>
                <w:color w:val="000000" w:themeColor="text1"/>
                <w:kern w:val="0"/>
                <w:szCs w:val="21"/>
                <w14:textFill>
                  <w14:solidFill>
                    <w14:schemeClr w14:val="tx1"/>
                  </w14:solidFill>
                </w14:textFill>
              </w:rPr>
              <w:t>数据产品来源</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1658" w:type="pct"/>
            <w:vMerge w:val="continue"/>
            <w:tcBorders>
              <w:bottom w:val="single" w:color="auto" w:sz="12" w:space="0"/>
            </w:tcBorders>
            <w:noWrap/>
            <w:vAlign w:val="center"/>
          </w:tcPr>
          <w:p>
            <w:pPr>
              <w:widowControl/>
              <w:jc w:val="center"/>
              <w:rPr>
                <w:rFonts w:ascii="仿宋_GB2312" w:hAnsi="微软雅黑" w:eastAsia="仿宋_GB2312" w:cs="宋体"/>
                <w:b/>
                <w:bCs/>
                <w:color w:val="000000" w:themeColor="text1"/>
                <w:kern w:val="0"/>
                <w:szCs w:val="21"/>
                <w14:textFill>
                  <w14:solidFill>
                    <w14:schemeClr w14:val="tx1"/>
                  </w14:solidFill>
                </w14:textFill>
              </w:rPr>
            </w:pPr>
          </w:p>
        </w:tc>
        <w:tc>
          <w:tcPr>
            <w:tcW w:w="713" w:type="pct"/>
            <w:vMerge w:val="continue"/>
            <w:tcBorders>
              <w:bottom w:val="single" w:color="auto" w:sz="12" w:space="0"/>
            </w:tcBorders>
            <w:noWrap/>
            <w:vAlign w:val="center"/>
          </w:tcPr>
          <w:p>
            <w:pPr>
              <w:widowControl/>
              <w:jc w:val="center"/>
              <w:rPr>
                <w:rFonts w:ascii="仿宋_GB2312" w:hAnsi="微软雅黑" w:eastAsia="仿宋_GB2312" w:cs="宋体"/>
                <w:b/>
                <w:bCs/>
                <w:color w:val="000000" w:themeColor="text1"/>
                <w:kern w:val="0"/>
                <w:szCs w:val="21"/>
                <w14:textFill>
                  <w14:solidFill>
                    <w14:schemeClr w14:val="tx1"/>
                  </w14:solidFill>
                </w14:textFill>
              </w:rPr>
            </w:pPr>
          </w:p>
        </w:tc>
        <w:tc>
          <w:tcPr>
            <w:tcW w:w="526" w:type="pct"/>
            <w:tcBorders>
              <w:top w:val="single" w:color="auto" w:sz="8" w:space="0"/>
              <w:bottom w:val="single" w:color="auto" w:sz="12" w:space="0"/>
            </w:tcBorders>
            <w:noWrap/>
            <w:vAlign w:val="center"/>
          </w:tcPr>
          <w:p>
            <w:pPr>
              <w:widowControl/>
              <w:jc w:val="center"/>
              <w:rPr>
                <w:rFonts w:ascii="仿宋_GB2312" w:hAnsi="等线" w:eastAsia="仿宋_GB2312" w:cs="宋体"/>
                <w:b/>
                <w:bCs/>
                <w:color w:val="000000" w:themeColor="text1"/>
                <w:kern w:val="0"/>
                <w:szCs w:val="21"/>
                <w14:textFill>
                  <w14:solidFill>
                    <w14:schemeClr w14:val="tx1"/>
                  </w14:solidFill>
                </w14:textFill>
              </w:rPr>
            </w:pPr>
            <w:r>
              <w:rPr>
                <w:rFonts w:hint="eastAsia" w:ascii="仿宋_GB2312" w:hAnsi="等线" w:eastAsia="仿宋_GB2312" w:cs="宋体"/>
                <w:b/>
                <w:bCs/>
                <w:color w:val="000000" w:themeColor="text1"/>
                <w:kern w:val="0"/>
                <w:szCs w:val="21"/>
                <w14:textFill>
                  <w14:solidFill>
                    <w14:schemeClr w14:val="tx1"/>
                  </w14:solidFill>
                </w14:textFill>
              </w:rPr>
              <w:t>本省</w:t>
            </w:r>
          </w:p>
        </w:tc>
        <w:tc>
          <w:tcPr>
            <w:tcW w:w="526" w:type="pct"/>
            <w:tcBorders>
              <w:top w:val="single" w:color="auto" w:sz="8" w:space="0"/>
              <w:bottom w:val="single" w:color="auto" w:sz="12" w:space="0"/>
            </w:tcBorders>
            <w:noWrap/>
            <w:vAlign w:val="center"/>
          </w:tcPr>
          <w:p>
            <w:pPr>
              <w:widowControl/>
              <w:jc w:val="center"/>
              <w:rPr>
                <w:rFonts w:ascii="仿宋_GB2312" w:hAnsi="等线" w:eastAsia="仿宋_GB2312" w:cs="宋体"/>
                <w:b/>
                <w:bCs/>
                <w:color w:val="000000" w:themeColor="text1"/>
                <w:kern w:val="0"/>
                <w:szCs w:val="21"/>
                <w14:textFill>
                  <w14:solidFill>
                    <w14:schemeClr w14:val="tx1"/>
                  </w14:solidFill>
                </w14:textFill>
              </w:rPr>
            </w:pPr>
            <w:r>
              <w:rPr>
                <w:rFonts w:hint="eastAsia" w:ascii="仿宋_GB2312" w:hAnsi="等线" w:eastAsia="仿宋_GB2312" w:cs="宋体"/>
                <w:b/>
                <w:bCs/>
                <w:color w:val="000000" w:themeColor="text1"/>
                <w:kern w:val="0"/>
                <w:szCs w:val="21"/>
                <w14:textFill>
                  <w14:solidFill>
                    <w14:schemeClr w14:val="tx1"/>
                  </w14:solidFill>
                </w14:textFill>
              </w:rPr>
              <w:t>北京</w:t>
            </w:r>
          </w:p>
        </w:tc>
        <w:tc>
          <w:tcPr>
            <w:tcW w:w="526" w:type="pct"/>
            <w:tcBorders>
              <w:top w:val="single" w:color="auto" w:sz="8" w:space="0"/>
              <w:bottom w:val="single" w:color="auto" w:sz="12" w:space="0"/>
            </w:tcBorders>
            <w:noWrap/>
            <w:vAlign w:val="center"/>
          </w:tcPr>
          <w:p>
            <w:pPr>
              <w:widowControl/>
              <w:jc w:val="center"/>
              <w:rPr>
                <w:rFonts w:ascii="仿宋_GB2312" w:hAnsi="等线" w:eastAsia="仿宋_GB2312" w:cs="宋体"/>
                <w:b/>
                <w:bCs/>
                <w:color w:val="000000" w:themeColor="text1"/>
                <w:kern w:val="0"/>
                <w:szCs w:val="21"/>
                <w14:textFill>
                  <w14:solidFill>
                    <w14:schemeClr w14:val="tx1"/>
                  </w14:solidFill>
                </w14:textFill>
              </w:rPr>
            </w:pPr>
            <w:r>
              <w:rPr>
                <w:rFonts w:hint="eastAsia" w:ascii="仿宋_GB2312" w:hAnsi="等线" w:eastAsia="仿宋_GB2312" w:cs="宋体"/>
                <w:b/>
                <w:bCs/>
                <w:color w:val="000000" w:themeColor="text1"/>
                <w:kern w:val="0"/>
                <w:szCs w:val="21"/>
                <w14:textFill>
                  <w14:solidFill>
                    <w14:schemeClr w14:val="tx1"/>
                  </w14:solidFill>
                </w14:textFill>
              </w:rPr>
              <w:t>上海</w:t>
            </w:r>
          </w:p>
        </w:tc>
        <w:tc>
          <w:tcPr>
            <w:tcW w:w="526" w:type="pct"/>
            <w:tcBorders>
              <w:top w:val="single" w:color="auto" w:sz="8" w:space="0"/>
              <w:bottom w:val="single" w:color="auto" w:sz="12" w:space="0"/>
            </w:tcBorders>
            <w:noWrap/>
            <w:vAlign w:val="center"/>
          </w:tcPr>
          <w:p>
            <w:pPr>
              <w:widowControl/>
              <w:jc w:val="center"/>
              <w:rPr>
                <w:rFonts w:ascii="仿宋_GB2312" w:hAnsi="等线" w:eastAsia="仿宋_GB2312" w:cs="宋体"/>
                <w:b/>
                <w:bCs/>
                <w:color w:val="000000" w:themeColor="text1"/>
                <w:kern w:val="0"/>
                <w:szCs w:val="21"/>
                <w14:textFill>
                  <w14:solidFill>
                    <w14:schemeClr w14:val="tx1"/>
                  </w14:solidFill>
                </w14:textFill>
              </w:rPr>
            </w:pPr>
            <w:r>
              <w:rPr>
                <w:rFonts w:hint="eastAsia" w:ascii="仿宋_GB2312" w:hAnsi="等线" w:eastAsia="仿宋_GB2312" w:cs="宋体"/>
                <w:b/>
                <w:bCs/>
                <w:color w:val="000000" w:themeColor="text1"/>
                <w:kern w:val="0"/>
                <w:szCs w:val="21"/>
                <w14:textFill>
                  <w14:solidFill>
                    <w14:schemeClr w14:val="tx1"/>
                  </w14:solidFill>
                </w14:textFill>
              </w:rPr>
              <w:t>深圳</w:t>
            </w:r>
          </w:p>
        </w:tc>
        <w:tc>
          <w:tcPr>
            <w:tcW w:w="525" w:type="pct"/>
            <w:tcBorders>
              <w:top w:val="single" w:color="auto" w:sz="8" w:space="0"/>
              <w:bottom w:val="single" w:color="auto" w:sz="12" w:space="0"/>
            </w:tcBorders>
            <w:noWrap/>
            <w:vAlign w:val="center"/>
          </w:tcPr>
          <w:p>
            <w:pPr>
              <w:widowControl/>
              <w:jc w:val="center"/>
              <w:rPr>
                <w:rFonts w:ascii="仿宋_GB2312" w:hAnsi="等线" w:eastAsia="仿宋_GB2312" w:cs="宋体"/>
                <w:b/>
                <w:bCs/>
                <w:color w:val="000000" w:themeColor="text1"/>
                <w:kern w:val="0"/>
                <w:szCs w:val="21"/>
                <w14:textFill>
                  <w14:solidFill>
                    <w14:schemeClr w14:val="tx1"/>
                  </w14:solidFill>
                </w14:textFill>
              </w:rPr>
            </w:pPr>
            <w:r>
              <w:rPr>
                <w:rFonts w:hint="eastAsia" w:ascii="仿宋_GB2312" w:hAnsi="等线" w:eastAsia="仿宋_GB2312" w:cs="宋体"/>
                <w:b/>
                <w:bCs/>
                <w:color w:val="000000" w:themeColor="text1"/>
                <w:kern w:val="0"/>
                <w:szCs w:val="21"/>
                <w14:textFill>
                  <w14:solidFill>
                    <w14:schemeClr w14:val="tx1"/>
                  </w14:solidFill>
                </w14:textFill>
              </w:rPr>
              <w:t>其他</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1658" w:type="pct"/>
            <w:tcBorders>
              <w:top w:val="single" w:color="auto" w:sz="12" w:space="0"/>
              <w:bottom w:val="nil"/>
            </w:tcBorders>
            <w:noWrap/>
          </w:tcPr>
          <w:p>
            <w:pPr>
              <w:widowControl/>
              <w:jc w:val="left"/>
              <w:rPr>
                <w:rFonts w:ascii="仿宋_GB2312" w:hAnsi="微软雅黑" w:eastAsia="仿宋_GB2312" w:cs="宋体"/>
                <w:color w:val="000000" w:themeColor="text1"/>
                <w:kern w:val="0"/>
                <w:szCs w:val="21"/>
                <w14:textFill>
                  <w14:solidFill>
                    <w14:schemeClr w14:val="tx1"/>
                  </w14:solidFill>
                </w14:textFill>
              </w:rPr>
            </w:pPr>
            <w:r>
              <w:rPr>
                <w:rFonts w:hint="eastAsia" w:ascii="仿宋_GB2312" w:hAnsi="微软雅黑" w:eastAsia="仿宋_GB2312" w:cs="宋体"/>
                <w:color w:val="000000" w:themeColor="text1"/>
                <w:kern w:val="0"/>
                <w:szCs w:val="21"/>
                <w14:textFill>
                  <w14:solidFill>
                    <w14:schemeClr w14:val="tx1"/>
                  </w14:solidFill>
                </w14:textFill>
              </w:rPr>
              <w:t>海南省数据超市</w:t>
            </w:r>
          </w:p>
        </w:tc>
        <w:tc>
          <w:tcPr>
            <w:tcW w:w="713" w:type="pct"/>
            <w:tcBorders>
              <w:top w:val="single" w:color="auto" w:sz="12" w:space="0"/>
              <w:bottom w:val="nil"/>
            </w:tcBorders>
            <w:noWrap/>
          </w:tcPr>
          <w:p>
            <w:pPr>
              <w:widowControl/>
              <w:jc w:val="center"/>
              <w:rPr>
                <w:rFonts w:ascii="仿宋_GB2312" w:hAnsi="微软雅黑" w:eastAsia="仿宋_GB2312" w:cs="宋体"/>
                <w:color w:val="000000" w:themeColor="text1"/>
                <w:kern w:val="0"/>
                <w:szCs w:val="21"/>
                <w14:textFill>
                  <w14:solidFill>
                    <w14:schemeClr w14:val="tx1"/>
                  </w14:solidFill>
                </w14:textFill>
              </w:rPr>
            </w:pPr>
            <w:r>
              <w:rPr>
                <w:rFonts w:hint="eastAsia" w:ascii="仿宋_GB2312" w:hAnsi="微软雅黑" w:eastAsia="仿宋_GB2312" w:cs="宋体"/>
                <w:color w:val="000000" w:themeColor="text1"/>
                <w:kern w:val="0"/>
                <w:szCs w:val="21"/>
                <w14:textFill>
                  <w14:solidFill>
                    <w14:schemeClr w14:val="tx1"/>
                  </w14:solidFill>
                </w14:textFill>
              </w:rPr>
              <w:t>802</w:t>
            </w:r>
          </w:p>
        </w:tc>
        <w:tc>
          <w:tcPr>
            <w:tcW w:w="526" w:type="pct"/>
            <w:tcBorders>
              <w:top w:val="single" w:color="auto" w:sz="12" w:space="0"/>
              <w:bottom w:val="nil"/>
            </w:tcBorders>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olor w:val="000000" w:themeColor="text1"/>
                <w:szCs w:val="21"/>
                <w14:textFill>
                  <w14:solidFill>
                    <w14:schemeClr w14:val="tx1"/>
                  </w14:solidFill>
                </w14:textFill>
              </w:rPr>
              <w:t>18%</w:t>
            </w:r>
          </w:p>
        </w:tc>
        <w:tc>
          <w:tcPr>
            <w:tcW w:w="526" w:type="pct"/>
            <w:tcBorders>
              <w:top w:val="single" w:color="auto" w:sz="12" w:space="0"/>
              <w:bottom w:val="nil"/>
            </w:tcBorders>
            <w:noWrap/>
            <w:vAlign w:val="center"/>
          </w:tcPr>
          <w:p>
            <w:pPr>
              <w:widowControl/>
              <w:jc w:val="center"/>
              <w:rPr>
                <w:rFonts w:ascii="仿宋_GB2312" w:hAnsi="等线" w:eastAsia="仿宋_GB2312" w:cs="宋体"/>
                <w:color w:val="000000" w:themeColor="text1"/>
                <w:kern w:val="0"/>
                <w:szCs w:val="21"/>
                <w:u w:val="single"/>
                <w14:textFill>
                  <w14:solidFill>
                    <w14:schemeClr w14:val="tx1"/>
                  </w14:solidFill>
                </w14:textFill>
              </w:rPr>
            </w:pPr>
            <w:r>
              <w:rPr>
                <w:rFonts w:hint="eastAsia" w:ascii="仿宋_GB2312" w:hAnsi="等线" w:eastAsia="仿宋_GB2312"/>
                <w:color w:val="000000" w:themeColor="text1"/>
                <w:szCs w:val="21"/>
                <w:u w:val="single"/>
                <w14:textFill>
                  <w14:solidFill>
                    <w14:schemeClr w14:val="tx1"/>
                  </w14:solidFill>
                </w14:textFill>
              </w:rPr>
              <w:t>39%</w:t>
            </w:r>
          </w:p>
        </w:tc>
        <w:tc>
          <w:tcPr>
            <w:tcW w:w="526" w:type="pct"/>
            <w:tcBorders>
              <w:top w:val="single" w:color="auto" w:sz="12" w:space="0"/>
              <w:bottom w:val="nil"/>
            </w:tcBorders>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olor w:val="000000" w:themeColor="text1"/>
                <w:szCs w:val="21"/>
                <w14:textFill>
                  <w14:solidFill>
                    <w14:schemeClr w14:val="tx1"/>
                  </w14:solidFill>
                </w14:textFill>
              </w:rPr>
              <w:t>11%</w:t>
            </w:r>
          </w:p>
        </w:tc>
        <w:tc>
          <w:tcPr>
            <w:tcW w:w="526" w:type="pct"/>
            <w:tcBorders>
              <w:top w:val="single" w:color="auto" w:sz="12" w:space="0"/>
              <w:bottom w:val="nil"/>
            </w:tcBorders>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olor w:val="000000" w:themeColor="text1"/>
                <w:szCs w:val="21"/>
                <w14:textFill>
                  <w14:solidFill>
                    <w14:schemeClr w14:val="tx1"/>
                  </w14:solidFill>
                </w14:textFill>
              </w:rPr>
              <w:t>3%</w:t>
            </w:r>
          </w:p>
        </w:tc>
        <w:tc>
          <w:tcPr>
            <w:tcW w:w="525" w:type="pct"/>
            <w:tcBorders>
              <w:top w:val="single" w:color="auto" w:sz="12" w:space="0"/>
              <w:bottom w:val="nil"/>
            </w:tcBorders>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olor w:val="000000" w:themeColor="text1"/>
                <w:szCs w:val="21"/>
                <w14:textFill>
                  <w14:solidFill>
                    <w14:schemeClr w14:val="tx1"/>
                  </w14:solidFill>
                </w14:textFill>
              </w:rPr>
              <w:t>30%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1658" w:type="pct"/>
            <w:tcBorders>
              <w:top w:val="nil"/>
              <w:bottom w:val="nil"/>
            </w:tcBorders>
            <w:noWrap/>
          </w:tcPr>
          <w:p>
            <w:pPr>
              <w:widowControl/>
              <w:jc w:val="left"/>
              <w:rPr>
                <w:rFonts w:ascii="仿宋_GB2312" w:hAnsi="微软雅黑" w:eastAsia="仿宋_GB2312" w:cs="宋体"/>
                <w:color w:val="000000" w:themeColor="text1"/>
                <w:kern w:val="0"/>
                <w:szCs w:val="21"/>
                <w14:textFill>
                  <w14:solidFill>
                    <w14:schemeClr w14:val="tx1"/>
                  </w14:solidFill>
                </w14:textFill>
              </w:rPr>
            </w:pPr>
            <w:r>
              <w:rPr>
                <w:rFonts w:hint="eastAsia" w:ascii="仿宋_GB2312" w:hAnsi="微软雅黑" w:eastAsia="仿宋_GB2312" w:cs="宋体"/>
                <w:color w:val="000000" w:themeColor="text1"/>
                <w:kern w:val="0"/>
                <w:szCs w:val="21"/>
                <w14:textFill>
                  <w14:solidFill>
                    <w14:schemeClr w14:val="tx1"/>
                  </w14:solidFill>
                </w14:textFill>
              </w:rPr>
              <w:t>贵阳大数据交易所</w:t>
            </w:r>
          </w:p>
        </w:tc>
        <w:tc>
          <w:tcPr>
            <w:tcW w:w="713" w:type="pct"/>
            <w:tcBorders>
              <w:top w:val="nil"/>
              <w:bottom w:val="nil"/>
            </w:tcBorders>
            <w:noWrap/>
          </w:tcPr>
          <w:p>
            <w:pPr>
              <w:widowControl/>
              <w:jc w:val="center"/>
              <w:rPr>
                <w:rFonts w:ascii="仿宋_GB2312" w:hAnsi="微软雅黑" w:eastAsia="仿宋_GB2312" w:cs="宋体"/>
                <w:color w:val="000000" w:themeColor="text1"/>
                <w:kern w:val="0"/>
                <w:szCs w:val="21"/>
                <w14:textFill>
                  <w14:solidFill>
                    <w14:schemeClr w14:val="tx1"/>
                  </w14:solidFill>
                </w14:textFill>
              </w:rPr>
            </w:pPr>
            <w:r>
              <w:rPr>
                <w:rFonts w:hint="eastAsia" w:ascii="仿宋_GB2312" w:hAnsi="微软雅黑" w:eastAsia="仿宋_GB2312" w:cs="宋体"/>
                <w:color w:val="000000" w:themeColor="text1"/>
                <w:kern w:val="0"/>
                <w:szCs w:val="21"/>
                <w14:textFill>
                  <w14:solidFill>
                    <w14:schemeClr w14:val="tx1"/>
                  </w14:solidFill>
                </w14:textFill>
              </w:rPr>
              <w:t>352</w:t>
            </w:r>
          </w:p>
        </w:tc>
        <w:tc>
          <w:tcPr>
            <w:tcW w:w="526" w:type="pct"/>
            <w:tcBorders>
              <w:top w:val="nil"/>
              <w:bottom w:val="nil"/>
            </w:tcBorders>
            <w:noWrap/>
            <w:vAlign w:val="center"/>
          </w:tcPr>
          <w:p>
            <w:pPr>
              <w:widowControl/>
              <w:jc w:val="center"/>
              <w:rPr>
                <w:rFonts w:ascii="仿宋_GB2312" w:hAnsi="等线" w:eastAsia="仿宋_GB2312" w:cs="宋体"/>
                <w:color w:val="000000" w:themeColor="text1"/>
                <w:kern w:val="0"/>
                <w:szCs w:val="21"/>
                <w:u w:val="single"/>
                <w14:textFill>
                  <w14:solidFill>
                    <w14:schemeClr w14:val="tx1"/>
                  </w14:solidFill>
                </w14:textFill>
              </w:rPr>
            </w:pPr>
            <w:r>
              <w:rPr>
                <w:rFonts w:hint="eastAsia" w:ascii="仿宋_GB2312" w:hAnsi="等线" w:eastAsia="仿宋_GB2312"/>
                <w:color w:val="000000" w:themeColor="text1"/>
                <w:szCs w:val="21"/>
                <w:u w:val="single"/>
                <w14:textFill>
                  <w14:solidFill>
                    <w14:schemeClr w14:val="tx1"/>
                  </w14:solidFill>
                </w14:textFill>
              </w:rPr>
              <w:t>66%</w:t>
            </w:r>
          </w:p>
        </w:tc>
        <w:tc>
          <w:tcPr>
            <w:tcW w:w="526" w:type="pct"/>
            <w:tcBorders>
              <w:top w:val="nil"/>
              <w:bottom w:val="nil"/>
            </w:tcBorders>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olor w:val="000000" w:themeColor="text1"/>
                <w:szCs w:val="21"/>
                <w14:textFill>
                  <w14:solidFill>
                    <w14:schemeClr w14:val="tx1"/>
                  </w14:solidFill>
                </w14:textFill>
              </w:rPr>
              <w:t>5%</w:t>
            </w:r>
          </w:p>
        </w:tc>
        <w:tc>
          <w:tcPr>
            <w:tcW w:w="526" w:type="pct"/>
            <w:tcBorders>
              <w:top w:val="nil"/>
              <w:bottom w:val="nil"/>
            </w:tcBorders>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olor w:val="000000" w:themeColor="text1"/>
                <w:szCs w:val="21"/>
                <w14:textFill>
                  <w14:solidFill>
                    <w14:schemeClr w14:val="tx1"/>
                  </w14:solidFill>
                </w14:textFill>
              </w:rPr>
              <w:t>3%</w:t>
            </w:r>
          </w:p>
        </w:tc>
        <w:tc>
          <w:tcPr>
            <w:tcW w:w="526" w:type="pct"/>
            <w:tcBorders>
              <w:top w:val="nil"/>
              <w:bottom w:val="nil"/>
            </w:tcBorders>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olor w:val="000000" w:themeColor="text1"/>
                <w:szCs w:val="21"/>
                <w14:textFill>
                  <w14:solidFill>
                    <w14:schemeClr w14:val="tx1"/>
                  </w14:solidFill>
                </w14:textFill>
              </w:rPr>
              <w:t>0%</w:t>
            </w:r>
          </w:p>
        </w:tc>
        <w:tc>
          <w:tcPr>
            <w:tcW w:w="525" w:type="pct"/>
            <w:tcBorders>
              <w:top w:val="nil"/>
              <w:bottom w:val="nil"/>
            </w:tcBorders>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olor w:val="000000" w:themeColor="text1"/>
                <w:szCs w:val="21"/>
                <w14:textFill>
                  <w14:solidFill>
                    <w14:schemeClr w14:val="tx1"/>
                  </w14:solidFill>
                </w14:textFill>
              </w:rPr>
              <w:t>2</w:t>
            </w:r>
            <w:r>
              <w:rPr>
                <w:rFonts w:ascii="仿宋_GB2312" w:hAnsi="等线" w:eastAsia="仿宋_GB2312"/>
                <w:color w:val="000000" w:themeColor="text1"/>
                <w:szCs w:val="21"/>
                <w14:textFill>
                  <w14:solidFill>
                    <w14:schemeClr w14:val="tx1"/>
                  </w14:solidFill>
                </w14:textFill>
              </w:rPr>
              <w:t>5</w:t>
            </w:r>
            <w:r>
              <w:rPr>
                <w:rFonts w:hint="eastAsia" w:ascii="仿宋_GB2312" w:hAnsi="等线" w:eastAsia="仿宋_GB2312"/>
                <w:color w:val="000000" w:themeColor="text1"/>
                <w:szCs w:val="21"/>
                <w14:textFill>
                  <w14:solidFill>
                    <w14:schemeClr w14:val="tx1"/>
                  </w14:solidFill>
                </w14:textFill>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1658" w:type="pct"/>
            <w:tcBorders>
              <w:top w:val="nil"/>
              <w:bottom w:val="nil"/>
            </w:tcBorders>
            <w:noWrap/>
          </w:tcPr>
          <w:p>
            <w:pPr>
              <w:widowControl/>
              <w:jc w:val="left"/>
              <w:rPr>
                <w:rFonts w:ascii="仿宋_GB2312" w:hAnsi="微软雅黑" w:eastAsia="仿宋_GB2312" w:cs="宋体"/>
                <w:color w:val="000000" w:themeColor="text1"/>
                <w:kern w:val="0"/>
                <w:szCs w:val="21"/>
                <w14:textFill>
                  <w14:solidFill>
                    <w14:schemeClr w14:val="tx1"/>
                  </w14:solidFill>
                </w14:textFill>
              </w:rPr>
            </w:pPr>
            <w:r>
              <w:rPr>
                <w:rFonts w:hint="eastAsia" w:ascii="仿宋_GB2312" w:hAnsi="微软雅黑" w:eastAsia="仿宋_GB2312" w:cs="宋体"/>
                <w:color w:val="000000" w:themeColor="text1"/>
                <w:kern w:val="0"/>
                <w:szCs w:val="21"/>
                <w14:textFill>
                  <w14:solidFill>
                    <w14:schemeClr w14:val="tx1"/>
                  </w14:solidFill>
                </w14:textFill>
              </w:rPr>
              <w:t>山东数据交易平台</w:t>
            </w:r>
          </w:p>
        </w:tc>
        <w:tc>
          <w:tcPr>
            <w:tcW w:w="713" w:type="pct"/>
            <w:tcBorders>
              <w:top w:val="nil"/>
              <w:bottom w:val="nil"/>
            </w:tcBorders>
            <w:noWrap/>
          </w:tcPr>
          <w:p>
            <w:pPr>
              <w:widowControl/>
              <w:jc w:val="center"/>
              <w:rPr>
                <w:rFonts w:ascii="仿宋_GB2312" w:hAnsi="微软雅黑" w:eastAsia="仿宋_GB2312" w:cs="宋体"/>
                <w:color w:val="000000" w:themeColor="text1"/>
                <w:kern w:val="0"/>
                <w:szCs w:val="21"/>
                <w14:textFill>
                  <w14:solidFill>
                    <w14:schemeClr w14:val="tx1"/>
                  </w14:solidFill>
                </w14:textFill>
              </w:rPr>
            </w:pPr>
            <w:r>
              <w:rPr>
                <w:rFonts w:hint="eastAsia" w:ascii="仿宋_GB2312" w:hAnsi="微软雅黑" w:eastAsia="仿宋_GB2312" w:cs="宋体"/>
                <w:color w:val="000000" w:themeColor="text1"/>
                <w:kern w:val="0"/>
                <w:szCs w:val="21"/>
                <w14:textFill>
                  <w14:solidFill>
                    <w14:schemeClr w14:val="tx1"/>
                  </w14:solidFill>
                </w14:textFill>
              </w:rPr>
              <w:t>207</w:t>
            </w:r>
          </w:p>
        </w:tc>
        <w:tc>
          <w:tcPr>
            <w:tcW w:w="526" w:type="pct"/>
            <w:tcBorders>
              <w:top w:val="nil"/>
              <w:bottom w:val="nil"/>
            </w:tcBorders>
            <w:noWrap/>
            <w:vAlign w:val="center"/>
          </w:tcPr>
          <w:p>
            <w:pPr>
              <w:widowControl/>
              <w:jc w:val="center"/>
              <w:rPr>
                <w:rFonts w:ascii="仿宋_GB2312" w:hAnsi="等线" w:eastAsia="仿宋_GB2312" w:cs="宋体"/>
                <w:color w:val="000000" w:themeColor="text1"/>
                <w:kern w:val="0"/>
                <w:szCs w:val="21"/>
                <w:u w:val="single"/>
                <w14:textFill>
                  <w14:solidFill>
                    <w14:schemeClr w14:val="tx1"/>
                  </w14:solidFill>
                </w14:textFill>
              </w:rPr>
            </w:pPr>
            <w:r>
              <w:rPr>
                <w:rFonts w:hint="eastAsia" w:ascii="仿宋_GB2312" w:hAnsi="等线" w:eastAsia="仿宋_GB2312"/>
                <w:color w:val="000000" w:themeColor="text1"/>
                <w:szCs w:val="21"/>
                <w:u w:val="single"/>
                <w14:textFill>
                  <w14:solidFill>
                    <w14:schemeClr w14:val="tx1"/>
                  </w14:solidFill>
                </w14:textFill>
              </w:rPr>
              <w:t>45%</w:t>
            </w:r>
          </w:p>
        </w:tc>
        <w:tc>
          <w:tcPr>
            <w:tcW w:w="526" w:type="pct"/>
            <w:tcBorders>
              <w:top w:val="nil"/>
              <w:bottom w:val="nil"/>
            </w:tcBorders>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olor w:val="000000" w:themeColor="text1"/>
                <w:szCs w:val="21"/>
                <w14:textFill>
                  <w14:solidFill>
                    <w14:schemeClr w14:val="tx1"/>
                  </w14:solidFill>
                </w14:textFill>
              </w:rPr>
              <w:t>27%</w:t>
            </w:r>
          </w:p>
        </w:tc>
        <w:tc>
          <w:tcPr>
            <w:tcW w:w="526" w:type="pct"/>
            <w:tcBorders>
              <w:top w:val="nil"/>
              <w:bottom w:val="nil"/>
            </w:tcBorders>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olor w:val="000000" w:themeColor="text1"/>
                <w:szCs w:val="21"/>
                <w14:textFill>
                  <w14:solidFill>
                    <w14:schemeClr w14:val="tx1"/>
                  </w14:solidFill>
                </w14:textFill>
              </w:rPr>
              <w:t>20%</w:t>
            </w:r>
          </w:p>
        </w:tc>
        <w:tc>
          <w:tcPr>
            <w:tcW w:w="526" w:type="pct"/>
            <w:tcBorders>
              <w:top w:val="nil"/>
              <w:bottom w:val="nil"/>
            </w:tcBorders>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olor w:val="000000" w:themeColor="text1"/>
                <w:szCs w:val="21"/>
                <w14:textFill>
                  <w14:solidFill>
                    <w14:schemeClr w14:val="tx1"/>
                  </w14:solidFill>
                </w14:textFill>
              </w:rPr>
              <w:t>1%</w:t>
            </w:r>
          </w:p>
        </w:tc>
        <w:tc>
          <w:tcPr>
            <w:tcW w:w="525" w:type="pct"/>
            <w:tcBorders>
              <w:top w:val="nil"/>
              <w:bottom w:val="nil"/>
            </w:tcBorders>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olor w:val="000000" w:themeColor="text1"/>
                <w:szCs w:val="21"/>
                <w14:textFill>
                  <w14:solidFill>
                    <w14:schemeClr w14:val="tx1"/>
                  </w14:solidFill>
                </w14:textFill>
              </w:rPr>
              <w:t>7%</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1658" w:type="pct"/>
            <w:tcBorders>
              <w:top w:val="nil"/>
              <w:bottom w:val="nil"/>
            </w:tcBorders>
            <w:noWrap/>
          </w:tcPr>
          <w:p>
            <w:pPr>
              <w:widowControl/>
              <w:jc w:val="left"/>
              <w:rPr>
                <w:rFonts w:ascii="仿宋_GB2312" w:hAnsi="微软雅黑" w:eastAsia="仿宋_GB2312" w:cs="宋体"/>
                <w:color w:val="000000" w:themeColor="text1"/>
                <w:kern w:val="0"/>
                <w:szCs w:val="21"/>
                <w14:textFill>
                  <w14:solidFill>
                    <w14:schemeClr w14:val="tx1"/>
                  </w14:solidFill>
                </w14:textFill>
              </w:rPr>
            </w:pPr>
            <w:r>
              <w:rPr>
                <w:rFonts w:hint="eastAsia" w:ascii="仿宋_GB2312" w:hAnsi="微软雅黑" w:eastAsia="仿宋_GB2312" w:cs="宋体"/>
                <w:color w:val="000000" w:themeColor="text1"/>
                <w:kern w:val="0"/>
                <w:szCs w:val="21"/>
                <w14:textFill>
                  <w14:solidFill>
                    <w14:schemeClr w14:val="tx1"/>
                  </w14:solidFill>
                </w14:textFill>
              </w:rPr>
              <w:t>郑州数据交易中心</w:t>
            </w:r>
          </w:p>
        </w:tc>
        <w:tc>
          <w:tcPr>
            <w:tcW w:w="713" w:type="pct"/>
            <w:tcBorders>
              <w:top w:val="nil"/>
              <w:bottom w:val="nil"/>
            </w:tcBorders>
            <w:noWrap/>
          </w:tcPr>
          <w:p>
            <w:pPr>
              <w:widowControl/>
              <w:jc w:val="center"/>
              <w:rPr>
                <w:rFonts w:ascii="仿宋_GB2312" w:hAnsi="微软雅黑" w:eastAsia="仿宋_GB2312" w:cs="宋体"/>
                <w:color w:val="000000" w:themeColor="text1"/>
                <w:kern w:val="0"/>
                <w:szCs w:val="21"/>
                <w14:textFill>
                  <w14:solidFill>
                    <w14:schemeClr w14:val="tx1"/>
                  </w14:solidFill>
                </w14:textFill>
              </w:rPr>
            </w:pPr>
            <w:r>
              <w:rPr>
                <w:rFonts w:hint="eastAsia" w:ascii="仿宋_GB2312" w:hAnsi="微软雅黑" w:eastAsia="仿宋_GB2312" w:cs="宋体"/>
                <w:color w:val="000000" w:themeColor="text1"/>
                <w:kern w:val="0"/>
                <w:szCs w:val="21"/>
                <w14:textFill>
                  <w14:solidFill>
                    <w14:schemeClr w14:val="tx1"/>
                  </w14:solidFill>
                </w14:textFill>
              </w:rPr>
              <w:t>105</w:t>
            </w:r>
          </w:p>
        </w:tc>
        <w:tc>
          <w:tcPr>
            <w:tcW w:w="526" w:type="pct"/>
            <w:tcBorders>
              <w:top w:val="nil"/>
              <w:bottom w:val="nil"/>
            </w:tcBorders>
            <w:noWrap/>
            <w:vAlign w:val="center"/>
          </w:tcPr>
          <w:p>
            <w:pPr>
              <w:widowControl/>
              <w:jc w:val="center"/>
              <w:rPr>
                <w:rFonts w:ascii="仿宋_GB2312" w:hAnsi="等线" w:eastAsia="仿宋_GB2312" w:cs="宋体"/>
                <w:color w:val="000000" w:themeColor="text1"/>
                <w:kern w:val="0"/>
                <w:szCs w:val="21"/>
                <w:u w:val="single"/>
                <w14:textFill>
                  <w14:solidFill>
                    <w14:schemeClr w14:val="tx1"/>
                  </w14:solidFill>
                </w14:textFill>
              </w:rPr>
            </w:pPr>
            <w:r>
              <w:rPr>
                <w:rFonts w:hint="eastAsia" w:ascii="仿宋_GB2312" w:hAnsi="等线" w:eastAsia="仿宋_GB2312"/>
                <w:color w:val="000000" w:themeColor="text1"/>
                <w:szCs w:val="21"/>
                <w:u w:val="single"/>
                <w14:textFill>
                  <w14:solidFill>
                    <w14:schemeClr w14:val="tx1"/>
                  </w14:solidFill>
                </w14:textFill>
              </w:rPr>
              <w:t>47%</w:t>
            </w:r>
          </w:p>
        </w:tc>
        <w:tc>
          <w:tcPr>
            <w:tcW w:w="526" w:type="pct"/>
            <w:tcBorders>
              <w:top w:val="nil"/>
              <w:bottom w:val="nil"/>
            </w:tcBorders>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olor w:val="000000" w:themeColor="text1"/>
                <w:szCs w:val="21"/>
                <w14:textFill>
                  <w14:solidFill>
                    <w14:schemeClr w14:val="tx1"/>
                  </w14:solidFill>
                </w14:textFill>
              </w:rPr>
              <w:t>31%</w:t>
            </w:r>
          </w:p>
        </w:tc>
        <w:tc>
          <w:tcPr>
            <w:tcW w:w="526" w:type="pct"/>
            <w:tcBorders>
              <w:top w:val="nil"/>
              <w:bottom w:val="nil"/>
            </w:tcBorders>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olor w:val="000000" w:themeColor="text1"/>
                <w:szCs w:val="21"/>
                <w14:textFill>
                  <w14:solidFill>
                    <w14:schemeClr w14:val="tx1"/>
                  </w14:solidFill>
                </w14:textFill>
              </w:rPr>
              <w:t>10%</w:t>
            </w:r>
          </w:p>
        </w:tc>
        <w:tc>
          <w:tcPr>
            <w:tcW w:w="526" w:type="pct"/>
            <w:tcBorders>
              <w:top w:val="nil"/>
              <w:bottom w:val="nil"/>
            </w:tcBorders>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olor w:val="000000" w:themeColor="text1"/>
                <w:szCs w:val="21"/>
                <w14:textFill>
                  <w14:solidFill>
                    <w14:schemeClr w14:val="tx1"/>
                  </w14:solidFill>
                </w14:textFill>
              </w:rPr>
              <w:t>11%</w:t>
            </w:r>
          </w:p>
        </w:tc>
        <w:tc>
          <w:tcPr>
            <w:tcW w:w="525" w:type="pct"/>
            <w:tcBorders>
              <w:top w:val="nil"/>
              <w:bottom w:val="nil"/>
            </w:tcBorders>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olor w:val="000000" w:themeColor="text1"/>
                <w:szCs w:val="21"/>
                <w14:textFill>
                  <w14:solidFill>
                    <w14:schemeClr w14:val="tx1"/>
                  </w14:solidFill>
                </w14:textFill>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1658" w:type="pct"/>
            <w:tcBorders>
              <w:top w:val="nil"/>
              <w:bottom w:val="nil"/>
            </w:tcBorders>
            <w:noWrap/>
          </w:tcPr>
          <w:p>
            <w:pPr>
              <w:widowControl/>
              <w:jc w:val="left"/>
              <w:rPr>
                <w:rFonts w:ascii="仿宋_GB2312" w:hAnsi="微软雅黑" w:eastAsia="仿宋_GB2312" w:cs="宋体"/>
                <w:color w:val="000000" w:themeColor="text1"/>
                <w:kern w:val="0"/>
                <w:szCs w:val="21"/>
                <w14:textFill>
                  <w14:solidFill>
                    <w14:schemeClr w14:val="tx1"/>
                  </w14:solidFill>
                </w14:textFill>
              </w:rPr>
            </w:pPr>
            <w:r>
              <w:rPr>
                <w:rFonts w:hint="eastAsia" w:ascii="仿宋_GB2312" w:hAnsi="微软雅黑" w:eastAsia="仿宋_GB2312" w:cs="宋体"/>
                <w:color w:val="000000" w:themeColor="text1"/>
                <w:kern w:val="0"/>
                <w:szCs w:val="21"/>
                <w14:textFill>
                  <w14:solidFill>
                    <w14:schemeClr w14:val="tx1"/>
                  </w14:solidFill>
                </w14:textFill>
              </w:rPr>
              <w:t>杭州国际数据交易公司</w:t>
            </w:r>
          </w:p>
        </w:tc>
        <w:tc>
          <w:tcPr>
            <w:tcW w:w="713" w:type="pct"/>
            <w:tcBorders>
              <w:top w:val="nil"/>
              <w:bottom w:val="nil"/>
            </w:tcBorders>
            <w:noWrap/>
          </w:tcPr>
          <w:p>
            <w:pPr>
              <w:widowControl/>
              <w:jc w:val="center"/>
              <w:rPr>
                <w:rFonts w:ascii="仿宋_GB2312" w:hAnsi="微软雅黑" w:eastAsia="仿宋_GB2312" w:cs="宋体"/>
                <w:color w:val="000000" w:themeColor="text1"/>
                <w:kern w:val="0"/>
                <w:szCs w:val="21"/>
                <w14:textFill>
                  <w14:solidFill>
                    <w14:schemeClr w14:val="tx1"/>
                  </w14:solidFill>
                </w14:textFill>
              </w:rPr>
            </w:pPr>
            <w:r>
              <w:rPr>
                <w:rFonts w:hint="eastAsia" w:ascii="仿宋_GB2312" w:hAnsi="微软雅黑" w:eastAsia="仿宋_GB2312" w:cs="宋体"/>
                <w:color w:val="000000" w:themeColor="text1"/>
                <w:kern w:val="0"/>
                <w:szCs w:val="21"/>
                <w14:textFill>
                  <w14:solidFill>
                    <w14:schemeClr w14:val="tx1"/>
                  </w14:solidFill>
                </w14:textFill>
              </w:rPr>
              <w:t>75</w:t>
            </w:r>
          </w:p>
        </w:tc>
        <w:tc>
          <w:tcPr>
            <w:tcW w:w="526" w:type="pct"/>
            <w:tcBorders>
              <w:top w:val="nil"/>
              <w:bottom w:val="nil"/>
            </w:tcBorders>
            <w:noWrap/>
            <w:vAlign w:val="center"/>
          </w:tcPr>
          <w:p>
            <w:pPr>
              <w:widowControl/>
              <w:jc w:val="center"/>
              <w:rPr>
                <w:rFonts w:ascii="仿宋_GB2312" w:hAnsi="等线" w:eastAsia="仿宋_GB2312" w:cs="宋体"/>
                <w:color w:val="000000" w:themeColor="text1"/>
                <w:kern w:val="0"/>
                <w:szCs w:val="21"/>
                <w:u w:val="single"/>
                <w14:textFill>
                  <w14:solidFill>
                    <w14:schemeClr w14:val="tx1"/>
                  </w14:solidFill>
                </w14:textFill>
              </w:rPr>
            </w:pPr>
            <w:r>
              <w:rPr>
                <w:rFonts w:hint="eastAsia" w:ascii="仿宋_GB2312" w:hAnsi="等线" w:eastAsia="仿宋_GB2312"/>
                <w:color w:val="000000" w:themeColor="text1"/>
                <w:szCs w:val="21"/>
                <w:u w:val="single"/>
                <w14:textFill>
                  <w14:solidFill>
                    <w14:schemeClr w14:val="tx1"/>
                  </w14:solidFill>
                </w14:textFill>
              </w:rPr>
              <w:t>47%</w:t>
            </w:r>
          </w:p>
        </w:tc>
        <w:tc>
          <w:tcPr>
            <w:tcW w:w="526" w:type="pct"/>
            <w:tcBorders>
              <w:top w:val="nil"/>
              <w:bottom w:val="nil"/>
            </w:tcBorders>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olor w:val="000000" w:themeColor="text1"/>
                <w:szCs w:val="21"/>
                <w14:textFill>
                  <w14:solidFill>
                    <w14:schemeClr w14:val="tx1"/>
                  </w14:solidFill>
                </w14:textFill>
              </w:rPr>
              <w:t>0%</w:t>
            </w:r>
          </w:p>
        </w:tc>
        <w:tc>
          <w:tcPr>
            <w:tcW w:w="526" w:type="pct"/>
            <w:tcBorders>
              <w:top w:val="nil"/>
              <w:bottom w:val="nil"/>
            </w:tcBorders>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olor w:val="000000" w:themeColor="text1"/>
                <w:szCs w:val="21"/>
                <w14:textFill>
                  <w14:solidFill>
                    <w14:schemeClr w14:val="tx1"/>
                  </w14:solidFill>
                </w14:textFill>
              </w:rPr>
              <w:t>16%</w:t>
            </w:r>
          </w:p>
        </w:tc>
        <w:tc>
          <w:tcPr>
            <w:tcW w:w="526" w:type="pct"/>
            <w:tcBorders>
              <w:top w:val="nil"/>
              <w:bottom w:val="nil"/>
            </w:tcBorders>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olor w:val="000000" w:themeColor="text1"/>
                <w:szCs w:val="21"/>
                <w14:textFill>
                  <w14:solidFill>
                    <w14:schemeClr w14:val="tx1"/>
                  </w14:solidFill>
                </w14:textFill>
              </w:rPr>
              <w:t>0%</w:t>
            </w:r>
          </w:p>
        </w:tc>
        <w:tc>
          <w:tcPr>
            <w:tcW w:w="525" w:type="pct"/>
            <w:tcBorders>
              <w:top w:val="nil"/>
              <w:bottom w:val="nil"/>
            </w:tcBorders>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olor w:val="000000" w:themeColor="text1"/>
                <w:szCs w:val="21"/>
                <w14:textFill>
                  <w14:solidFill>
                    <w14:schemeClr w14:val="tx1"/>
                  </w14:solidFill>
                </w14:textFill>
              </w:rPr>
              <w:t>37%</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jc w:val="center"/>
        </w:trPr>
        <w:tc>
          <w:tcPr>
            <w:tcW w:w="1658" w:type="pct"/>
            <w:tcBorders>
              <w:top w:val="nil"/>
              <w:bottom w:val="single" w:color="auto" w:sz="12" w:space="0"/>
            </w:tcBorders>
            <w:noWrap/>
          </w:tcPr>
          <w:p>
            <w:pPr>
              <w:widowControl/>
              <w:jc w:val="left"/>
              <w:rPr>
                <w:rFonts w:ascii="仿宋_GB2312" w:hAnsi="微软雅黑" w:eastAsia="仿宋_GB2312" w:cs="宋体"/>
                <w:b/>
                <w:bCs/>
                <w:color w:val="000000" w:themeColor="text1"/>
                <w:kern w:val="0"/>
                <w:szCs w:val="21"/>
                <w14:textFill>
                  <w14:solidFill>
                    <w14:schemeClr w14:val="tx1"/>
                  </w14:solidFill>
                </w14:textFill>
              </w:rPr>
            </w:pPr>
            <w:r>
              <w:rPr>
                <w:rFonts w:hint="eastAsia" w:ascii="仿宋_GB2312" w:hAnsi="微软雅黑" w:eastAsia="仿宋_GB2312" w:cs="宋体"/>
                <w:b/>
                <w:bCs/>
                <w:color w:val="000000" w:themeColor="text1"/>
                <w:kern w:val="0"/>
                <w:szCs w:val="21"/>
                <w14:textFill>
                  <w14:solidFill>
                    <w14:schemeClr w14:val="tx1"/>
                  </w14:solidFill>
                </w14:textFill>
              </w:rPr>
              <w:t>总计</w:t>
            </w:r>
          </w:p>
        </w:tc>
        <w:tc>
          <w:tcPr>
            <w:tcW w:w="713" w:type="pct"/>
            <w:tcBorders>
              <w:top w:val="nil"/>
              <w:bottom w:val="single" w:color="auto" w:sz="12" w:space="0"/>
            </w:tcBorders>
            <w:noWrap/>
          </w:tcPr>
          <w:p>
            <w:pPr>
              <w:widowControl/>
              <w:jc w:val="center"/>
              <w:rPr>
                <w:rFonts w:ascii="仿宋_GB2312" w:hAnsi="微软雅黑" w:eastAsia="仿宋_GB2312" w:cs="宋体"/>
                <w:b/>
                <w:bCs/>
                <w:color w:val="000000" w:themeColor="text1"/>
                <w:kern w:val="0"/>
                <w:szCs w:val="21"/>
                <w14:textFill>
                  <w14:solidFill>
                    <w14:schemeClr w14:val="tx1"/>
                  </w14:solidFill>
                </w14:textFill>
              </w:rPr>
            </w:pPr>
            <w:r>
              <w:rPr>
                <w:rFonts w:hint="eastAsia" w:ascii="仿宋_GB2312" w:hAnsi="微软雅黑" w:eastAsia="仿宋_GB2312" w:cs="宋体"/>
                <w:b/>
                <w:bCs/>
                <w:color w:val="000000" w:themeColor="text1"/>
                <w:kern w:val="0"/>
                <w:szCs w:val="21"/>
                <w14:textFill>
                  <w14:solidFill>
                    <w14:schemeClr w14:val="tx1"/>
                  </w14:solidFill>
                </w14:textFill>
              </w:rPr>
              <w:t>1541</w:t>
            </w:r>
          </w:p>
        </w:tc>
        <w:tc>
          <w:tcPr>
            <w:tcW w:w="526" w:type="pct"/>
            <w:tcBorders>
              <w:top w:val="nil"/>
              <w:bottom w:val="single" w:color="auto" w:sz="12" w:space="0"/>
            </w:tcBorders>
            <w:noWrap/>
            <w:vAlign w:val="center"/>
          </w:tcPr>
          <w:p>
            <w:pPr>
              <w:widowControl/>
              <w:jc w:val="center"/>
              <w:rPr>
                <w:rFonts w:ascii="仿宋_GB2312" w:hAnsi="等线" w:eastAsia="仿宋_GB2312" w:cs="宋体"/>
                <w:b/>
                <w:bCs/>
                <w:color w:val="000000" w:themeColor="text1"/>
                <w:kern w:val="0"/>
                <w:szCs w:val="21"/>
                <w14:textFill>
                  <w14:solidFill>
                    <w14:schemeClr w14:val="tx1"/>
                  </w14:solidFill>
                </w14:textFill>
              </w:rPr>
            </w:pPr>
            <w:r>
              <w:rPr>
                <w:rFonts w:hint="eastAsia" w:ascii="仿宋_GB2312" w:hAnsi="等线" w:eastAsia="仿宋_GB2312"/>
                <w:color w:val="000000" w:themeColor="text1"/>
                <w:szCs w:val="21"/>
                <w14:textFill>
                  <w14:solidFill>
                    <w14:schemeClr w14:val="tx1"/>
                  </w14:solidFill>
                </w14:textFill>
              </w:rPr>
              <w:t>36%</w:t>
            </w:r>
          </w:p>
        </w:tc>
        <w:tc>
          <w:tcPr>
            <w:tcW w:w="526" w:type="pct"/>
            <w:tcBorders>
              <w:top w:val="nil"/>
              <w:bottom w:val="single" w:color="auto" w:sz="12" w:space="0"/>
            </w:tcBorders>
            <w:noWrap/>
            <w:vAlign w:val="center"/>
          </w:tcPr>
          <w:p>
            <w:pPr>
              <w:widowControl/>
              <w:jc w:val="center"/>
              <w:rPr>
                <w:rFonts w:ascii="仿宋_GB2312" w:hAnsi="等线" w:eastAsia="仿宋_GB2312" w:cs="宋体"/>
                <w:b/>
                <w:bCs/>
                <w:color w:val="000000" w:themeColor="text1"/>
                <w:kern w:val="0"/>
                <w:szCs w:val="21"/>
                <w14:textFill>
                  <w14:solidFill>
                    <w14:schemeClr w14:val="tx1"/>
                  </w14:solidFill>
                </w14:textFill>
              </w:rPr>
            </w:pPr>
            <w:r>
              <w:rPr>
                <w:rFonts w:hint="eastAsia" w:ascii="仿宋_GB2312" w:hAnsi="等线" w:eastAsia="仿宋_GB2312"/>
                <w:color w:val="000000" w:themeColor="text1"/>
                <w:szCs w:val="21"/>
                <w14:textFill>
                  <w14:solidFill>
                    <w14:schemeClr w14:val="tx1"/>
                  </w14:solidFill>
                </w14:textFill>
              </w:rPr>
              <w:t>27%</w:t>
            </w:r>
          </w:p>
        </w:tc>
        <w:tc>
          <w:tcPr>
            <w:tcW w:w="526" w:type="pct"/>
            <w:tcBorders>
              <w:top w:val="nil"/>
              <w:bottom w:val="single" w:color="auto" w:sz="12" w:space="0"/>
            </w:tcBorders>
            <w:noWrap/>
            <w:vAlign w:val="center"/>
          </w:tcPr>
          <w:p>
            <w:pPr>
              <w:widowControl/>
              <w:jc w:val="center"/>
              <w:rPr>
                <w:rFonts w:ascii="仿宋_GB2312" w:hAnsi="等线" w:eastAsia="仿宋_GB2312" w:cs="宋体"/>
                <w:b/>
                <w:bCs/>
                <w:color w:val="000000" w:themeColor="text1"/>
                <w:kern w:val="0"/>
                <w:szCs w:val="21"/>
                <w14:textFill>
                  <w14:solidFill>
                    <w14:schemeClr w14:val="tx1"/>
                  </w14:solidFill>
                </w14:textFill>
              </w:rPr>
            </w:pPr>
            <w:r>
              <w:rPr>
                <w:rFonts w:hint="eastAsia" w:ascii="仿宋_GB2312" w:hAnsi="等线" w:eastAsia="仿宋_GB2312"/>
                <w:color w:val="000000" w:themeColor="text1"/>
                <w:szCs w:val="21"/>
                <w14:textFill>
                  <w14:solidFill>
                    <w14:schemeClr w14:val="tx1"/>
                  </w14:solidFill>
                </w14:textFill>
              </w:rPr>
              <w:t>11%</w:t>
            </w:r>
          </w:p>
        </w:tc>
        <w:tc>
          <w:tcPr>
            <w:tcW w:w="526" w:type="pct"/>
            <w:tcBorders>
              <w:top w:val="nil"/>
              <w:bottom w:val="single" w:color="auto" w:sz="12" w:space="0"/>
            </w:tcBorders>
            <w:noWrap/>
            <w:vAlign w:val="center"/>
          </w:tcPr>
          <w:p>
            <w:pPr>
              <w:widowControl/>
              <w:jc w:val="center"/>
              <w:rPr>
                <w:rFonts w:ascii="仿宋_GB2312" w:hAnsi="等线" w:eastAsia="仿宋_GB2312" w:cs="宋体"/>
                <w:b/>
                <w:bCs/>
                <w:color w:val="000000" w:themeColor="text1"/>
                <w:kern w:val="0"/>
                <w:szCs w:val="21"/>
                <w14:textFill>
                  <w14:solidFill>
                    <w14:schemeClr w14:val="tx1"/>
                  </w14:solidFill>
                </w14:textFill>
              </w:rPr>
            </w:pPr>
            <w:r>
              <w:rPr>
                <w:rFonts w:hint="eastAsia" w:ascii="仿宋_GB2312" w:hAnsi="等线" w:eastAsia="仿宋_GB2312"/>
                <w:color w:val="000000" w:themeColor="text1"/>
                <w:szCs w:val="21"/>
                <w14:textFill>
                  <w14:solidFill>
                    <w14:schemeClr w14:val="tx1"/>
                  </w14:solidFill>
                </w14:textFill>
              </w:rPr>
              <w:t>3%</w:t>
            </w:r>
          </w:p>
        </w:tc>
        <w:tc>
          <w:tcPr>
            <w:tcW w:w="525" w:type="pct"/>
            <w:tcBorders>
              <w:top w:val="nil"/>
              <w:bottom w:val="single" w:color="auto" w:sz="12" w:space="0"/>
            </w:tcBorders>
            <w:noWrap/>
            <w:vAlign w:val="center"/>
          </w:tcPr>
          <w:p>
            <w:pPr>
              <w:widowControl/>
              <w:jc w:val="center"/>
              <w:rPr>
                <w:rFonts w:ascii="仿宋_GB2312" w:hAnsi="等线" w:eastAsia="仿宋_GB2312" w:cs="宋体"/>
                <w:b/>
                <w:bCs/>
                <w:color w:val="000000" w:themeColor="text1"/>
                <w:kern w:val="0"/>
                <w:szCs w:val="21"/>
                <w14:textFill>
                  <w14:solidFill>
                    <w14:schemeClr w14:val="tx1"/>
                  </w14:solidFill>
                </w14:textFill>
              </w:rPr>
            </w:pPr>
            <w:r>
              <w:rPr>
                <w:rFonts w:hint="eastAsia" w:ascii="仿宋_GB2312" w:hAnsi="等线" w:eastAsia="仿宋_GB2312"/>
                <w:color w:val="000000" w:themeColor="text1"/>
                <w:szCs w:val="21"/>
                <w14:textFill>
                  <w14:solidFill>
                    <w14:schemeClr w14:val="tx1"/>
                  </w14:solidFill>
                </w14:textFill>
              </w:rPr>
              <w:t>24%</w:t>
            </w:r>
          </w:p>
        </w:tc>
      </w:tr>
    </w:tbl>
    <w:p>
      <w:pPr>
        <w:spacing w:line="300" w:lineRule="auto"/>
        <w:rPr>
          <w:rFonts w:ascii="仿宋_GB2312" w:eastAsia="仿宋_GB2312"/>
          <w:color w:val="000000" w:themeColor="text1"/>
          <w:sz w:val="18"/>
          <w:szCs w:val="18"/>
          <w14:textFill>
            <w14:solidFill>
              <w14:schemeClr w14:val="tx1"/>
            </w14:solidFill>
          </w14:textFill>
        </w:rPr>
      </w:pPr>
      <w:r>
        <w:rPr>
          <w:rFonts w:hint="eastAsia" w:ascii="仿宋_GB2312" w:eastAsia="仿宋_GB2312"/>
          <w:color w:val="000000" w:themeColor="text1"/>
          <w:sz w:val="18"/>
          <w:szCs w:val="18"/>
          <w14:textFill>
            <w14:solidFill>
              <w14:schemeClr w14:val="tx1"/>
            </w14:solidFill>
          </w14:textFill>
        </w:rPr>
        <w:t>注：以数据供应商企业注册地为准划分。</w:t>
      </w:r>
    </w:p>
    <w:p>
      <w:pPr>
        <w:spacing w:line="300" w:lineRule="auto"/>
        <w:rPr>
          <w:rFonts w:ascii="仿宋_GB2312" w:eastAsia="仿宋_GB2312"/>
          <w:color w:val="000000" w:themeColor="text1"/>
          <w:sz w:val="24"/>
          <w:szCs w:val="24"/>
          <w14:textFill>
            <w14:solidFill>
              <w14:schemeClr w14:val="tx1"/>
            </w14:solidFill>
          </w14:textFill>
        </w:rPr>
      </w:pPr>
    </w:p>
    <w:p>
      <w:pPr>
        <w:spacing w:line="300" w:lineRule="auto"/>
        <w:outlineLvl w:val="1"/>
        <w:rPr>
          <w:rFonts w:ascii="仿宋_GB2312" w:eastAsia="仿宋_GB2312"/>
          <w:b/>
          <w:bCs/>
          <w:color w:val="000000" w:themeColor="text1"/>
          <w:sz w:val="24"/>
          <w:szCs w:val="24"/>
          <w14:textFill>
            <w14:solidFill>
              <w14:schemeClr w14:val="tx1"/>
            </w14:solidFill>
          </w14:textFill>
        </w:rPr>
      </w:pPr>
      <w:r>
        <w:rPr>
          <w:rFonts w:hint="eastAsia" w:ascii="仿宋_GB2312" w:eastAsia="仿宋_GB2312"/>
          <w:b/>
          <w:bCs/>
          <w:color w:val="000000" w:themeColor="text1"/>
          <w:sz w:val="24"/>
          <w:szCs w:val="24"/>
          <w14:textFill>
            <w14:solidFill>
              <w14:schemeClr w14:val="tx1"/>
            </w14:solidFill>
          </w14:textFill>
        </w:rPr>
        <w:t>3、本土国有控股企业引领发展，主要提供民生公共服务类数据</w:t>
      </w:r>
    </w:p>
    <w:p>
      <w:pPr>
        <w:spacing w:line="300" w:lineRule="auto"/>
        <w:ind w:firstLine="482" w:firstLineChars="200"/>
        <w:rPr>
          <w:rFonts w:ascii="仿宋_GB2312" w:eastAsia="仿宋_GB2312"/>
          <w:color w:val="000000" w:themeColor="text1"/>
          <w:sz w:val="24"/>
          <w:szCs w:val="24"/>
          <w14:textFill>
            <w14:solidFill>
              <w14:schemeClr w14:val="tx1"/>
            </w14:solidFill>
          </w14:textFill>
        </w:rPr>
      </w:pPr>
      <w:r>
        <w:rPr>
          <w:rFonts w:hint="eastAsia" w:ascii="仿宋_GB2312" w:eastAsia="仿宋_GB2312"/>
          <w:b/>
          <w:bCs/>
          <w:color w:val="000000" w:themeColor="text1"/>
          <w:sz w:val="24"/>
          <w:szCs w:val="24"/>
          <w14:textFill>
            <w14:solidFill>
              <w14:schemeClr w14:val="tx1"/>
            </w14:solidFill>
          </w14:textFill>
        </w:rPr>
        <w:t>海南、贵阳、杭州、山东、郑州五地数交所的1</w:t>
      </w:r>
      <w:r>
        <w:rPr>
          <w:rFonts w:ascii="仿宋_GB2312" w:eastAsia="仿宋_GB2312"/>
          <w:b/>
          <w:bCs/>
          <w:color w:val="000000" w:themeColor="text1"/>
          <w:sz w:val="24"/>
          <w:szCs w:val="24"/>
          <w14:textFill>
            <w14:solidFill>
              <w14:schemeClr w14:val="tx1"/>
            </w14:solidFill>
          </w14:textFill>
        </w:rPr>
        <w:t>60</w:t>
      </w:r>
      <w:r>
        <w:rPr>
          <w:rFonts w:hint="eastAsia" w:ascii="仿宋_GB2312" w:eastAsia="仿宋_GB2312"/>
          <w:b/>
          <w:bCs/>
          <w:color w:val="000000" w:themeColor="text1"/>
          <w:sz w:val="24"/>
          <w:szCs w:val="24"/>
          <w14:textFill>
            <w14:solidFill>
              <w14:schemeClr w14:val="tx1"/>
            </w14:solidFill>
          </w14:textFill>
        </w:rPr>
        <w:t>家数据供应商多为成熟的数据服务商及国有控股企业（见表</w:t>
      </w:r>
      <w:r>
        <w:rPr>
          <w:rFonts w:ascii="仿宋_GB2312" w:eastAsia="仿宋_GB2312"/>
          <w:b/>
          <w:bCs/>
          <w:color w:val="000000" w:themeColor="text1"/>
          <w:sz w:val="24"/>
          <w:szCs w:val="24"/>
          <w14:textFill>
            <w14:solidFill>
              <w14:schemeClr w14:val="tx1"/>
            </w14:solidFill>
          </w14:textFill>
        </w:rPr>
        <w:t>2</w:t>
      </w:r>
      <w:r>
        <w:rPr>
          <w:rFonts w:hint="eastAsia" w:ascii="仿宋_GB2312" w:eastAsia="仿宋_GB2312"/>
          <w:b/>
          <w:bCs/>
          <w:color w:val="000000" w:themeColor="text1"/>
          <w:sz w:val="24"/>
          <w:szCs w:val="24"/>
          <w14:textFill>
            <w14:solidFill>
              <w14:schemeClr w14:val="tx1"/>
            </w14:solidFill>
          </w14:textFill>
        </w:rPr>
        <w:t>）。</w:t>
      </w:r>
      <w:r>
        <w:rPr>
          <w:rFonts w:hint="eastAsia" w:ascii="仿宋_GB2312" w:eastAsia="仿宋_GB2312"/>
          <w:color w:val="000000" w:themeColor="text1"/>
          <w:sz w:val="24"/>
          <w:szCs w:val="24"/>
          <w14:textFill>
            <w14:solidFill>
              <w14:schemeClr w14:val="tx1"/>
            </w14:solidFill>
          </w14:textFill>
        </w:rPr>
        <w:t>与京东万象、数据宝等</w:t>
      </w:r>
      <w:r>
        <w:rPr>
          <w:rFonts w:ascii="仿宋_GB2312" w:eastAsia="仿宋_GB2312"/>
          <w:color w:val="000000" w:themeColor="text1"/>
          <w:sz w:val="24"/>
          <w:szCs w:val="24"/>
          <w14:textFill>
            <w14:solidFill>
              <w14:schemeClr w14:val="tx1"/>
            </w14:solidFill>
          </w14:textFill>
        </w:rPr>
        <w:t>民间资本主导的数据交易平台</w:t>
      </w:r>
      <w:r>
        <w:rPr>
          <w:rFonts w:hint="eastAsia" w:ascii="仿宋_GB2312" w:eastAsia="仿宋_GB2312"/>
          <w:color w:val="000000" w:themeColor="text1"/>
          <w:sz w:val="24"/>
          <w:szCs w:val="24"/>
          <w14:textFill>
            <w14:solidFill>
              <w14:schemeClr w14:val="tx1"/>
            </w14:solidFill>
          </w14:textFill>
        </w:rPr>
        <w:t>不同</w:t>
      </w:r>
      <w:r>
        <w:rPr>
          <w:rFonts w:ascii="仿宋_GB2312" w:eastAsia="仿宋_GB2312"/>
          <w:color w:val="000000" w:themeColor="text1"/>
          <w:sz w:val="24"/>
          <w:szCs w:val="24"/>
          <w14:textFill>
            <w14:solidFill>
              <w14:schemeClr w14:val="tx1"/>
            </w14:solidFill>
          </w14:textFill>
        </w:rPr>
        <w:t>，政府主导的数据交易</w:t>
      </w:r>
      <w:r>
        <w:rPr>
          <w:rFonts w:hint="eastAsia" w:ascii="仿宋_GB2312" w:eastAsia="仿宋_GB2312"/>
          <w:color w:val="000000" w:themeColor="text1"/>
          <w:sz w:val="24"/>
          <w:szCs w:val="24"/>
          <w14:textFill>
            <w14:solidFill>
              <w14:schemeClr w14:val="tx1"/>
            </w14:solidFill>
          </w14:textFill>
        </w:rPr>
        <w:t>所</w:t>
      </w:r>
      <w:r>
        <w:rPr>
          <w:rFonts w:ascii="仿宋_GB2312" w:eastAsia="仿宋_GB2312"/>
          <w:color w:val="000000" w:themeColor="text1"/>
          <w:sz w:val="24"/>
          <w:szCs w:val="24"/>
          <w14:textFill>
            <w14:solidFill>
              <w14:schemeClr w14:val="tx1"/>
            </w14:solidFill>
          </w14:textFill>
        </w:rPr>
        <w:t>秉持</w:t>
      </w:r>
      <w:r>
        <w:rPr>
          <w:rFonts w:hint="eastAsia" w:ascii="仿宋_GB2312" w:eastAsia="仿宋_GB2312"/>
          <w:color w:val="000000" w:themeColor="text1"/>
          <w:sz w:val="24"/>
          <w:szCs w:val="24"/>
          <w14:textFill>
            <w14:solidFill>
              <w14:schemeClr w14:val="tx1"/>
            </w14:solidFill>
          </w14:textFill>
        </w:rPr>
        <w:t>“</w:t>
      </w:r>
      <w:r>
        <w:rPr>
          <w:rFonts w:ascii="仿宋_GB2312" w:eastAsia="仿宋_GB2312"/>
          <w:color w:val="000000" w:themeColor="text1"/>
          <w:sz w:val="24"/>
          <w:szCs w:val="24"/>
          <w14:textFill>
            <w14:solidFill>
              <w14:schemeClr w14:val="tx1"/>
            </w14:solidFill>
          </w14:textFill>
        </w:rPr>
        <w:t>政府指导、国有控股、企业参与、市场运营</w:t>
      </w:r>
      <w:r>
        <w:rPr>
          <w:rFonts w:hint="eastAsia" w:ascii="仿宋_GB2312" w:eastAsia="仿宋_GB2312"/>
          <w:color w:val="000000" w:themeColor="text1"/>
          <w:sz w:val="24"/>
          <w:szCs w:val="24"/>
          <w14:textFill>
            <w14:solidFill>
              <w14:schemeClr w14:val="tx1"/>
            </w14:solidFill>
          </w14:textFill>
        </w:rPr>
        <w:t>”</w:t>
      </w:r>
      <w:r>
        <w:rPr>
          <w:rFonts w:ascii="仿宋_GB2312" w:eastAsia="仿宋_GB2312"/>
          <w:color w:val="000000" w:themeColor="text1"/>
          <w:sz w:val="24"/>
          <w:szCs w:val="24"/>
          <w14:textFill>
            <w14:solidFill>
              <w14:schemeClr w14:val="tx1"/>
            </w14:solidFill>
          </w14:textFill>
        </w:rPr>
        <w:t>的原则</w:t>
      </w:r>
      <w:r>
        <w:rPr>
          <w:rFonts w:hint="eastAsia" w:ascii="仿宋_GB2312" w:eastAsia="仿宋_GB2312"/>
          <w:color w:val="000000" w:themeColor="text1"/>
          <w:sz w:val="24"/>
          <w:szCs w:val="24"/>
          <w14:textFill>
            <w14:solidFill>
              <w14:schemeClr w14:val="tx1"/>
            </w14:solidFill>
          </w14:textFill>
        </w:rPr>
        <w:t>，大量交易产品为当地国有控股企业提供的民生公共服务类数据，而可直接反映特定市场供需关系并指导制造业生产的消费用户画像类数据较少。以郑州数据交易中心为例，截至2</w:t>
      </w:r>
      <w:r>
        <w:rPr>
          <w:rFonts w:ascii="仿宋_GB2312" w:eastAsia="仿宋_GB2312"/>
          <w:color w:val="000000" w:themeColor="text1"/>
          <w:sz w:val="24"/>
          <w:szCs w:val="24"/>
          <w14:textFill>
            <w14:solidFill>
              <w14:schemeClr w14:val="tx1"/>
            </w14:solidFill>
          </w14:textFill>
        </w:rPr>
        <w:t>022</w:t>
      </w:r>
      <w:r>
        <w:rPr>
          <w:rFonts w:hint="eastAsia" w:ascii="仿宋_GB2312" w:eastAsia="仿宋_GB2312"/>
          <w:color w:val="000000" w:themeColor="text1"/>
          <w:sz w:val="24"/>
          <w:szCs w:val="24"/>
          <w14:textFill>
            <w14:solidFill>
              <w14:schemeClr w14:val="tx1"/>
            </w14:solidFill>
          </w14:textFill>
        </w:rPr>
        <w:t>年底共上架1</w:t>
      </w:r>
      <w:r>
        <w:rPr>
          <w:rFonts w:ascii="仿宋_GB2312" w:eastAsia="仿宋_GB2312"/>
          <w:color w:val="000000" w:themeColor="text1"/>
          <w:sz w:val="24"/>
          <w:szCs w:val="24"/>
          <w14:textFill>
            <w14:solidFill>
              <w14:schemeClr w14:val="tx1"/>
            </w14:solidFill>
          </w14:textFill>
        </w:rPr>
        <w:t>05</w:t>
      </w:r>
      <w:r>
        <w:rPr>
          <w:rFonts w:hint="eastAsia" w:ascii="仿宋_GB2312" w:eastAsia="仿宋_GB2312"/>
          <w:color w:val="000000" w:themeColor="text1"/>
          <w:sz w:val="24"/>
          <w:szCs w:val="24"/>
          <w14:textFill>
            <w14:solidFill>
              <w14:schemeClr w14:val="tx1"/>
            </w14:solidFill>
          </w14:textFill>
        </w:rPr>
        <w:t>个数据产品，其中4</w:t>
      </w:r>
      <w:r>
        <w:rPr>
          <w:rFonts w:ascii="仿宋_GB2312" w:eastAsia="仿宋_GB2312"/>
          <w:color w:val="000000" w:themeColor="text1"/>
          <w:sz w:val="24"/>
          <w:szCs w:val="24"/>
          <w14:textFill>
            <w14:solidFill>
              <w14:schemeClr w14:val="tx1"/>
            </w14:solidFill>
          </w14:textFill>
        </w:rPr>
        <w:t>6.7</w:t>
      </w:r>
      <w:r>
        <w:rPr>
          <w:rFonts w:hint="eastAsia" w:ascii="仿宋_GB2312" w:eastAsia="仿宋_GB2312"/>
          <w:color w:val="000000" w:themeColor="text1"/>
          <w:sz w:val="24"/>
          <w:szCs w:val="24"/>
          <w14:textFill>
            <w14:solidFill>
              <w14:schemeClr w14:val="tx1"/>
            </w14:solidFill>
          </w14:textFill>
        </w:rPr>
        <w:t>%的数据产品来自本土数商，均是由通信、电网、水利等公共服务事业单位下属企业供应。</w:t>
      </w:r>
    </w:p>
    <w:p>
      <w:pPr>
        <w:spacing w:line="300" w:lineRule="auto"/>
        <w:jc w:val="center"/>
        <w:rPr>
          <w:rFonts w:ascii="仿宋_GB2312" w:eastAsia="仿宋_GB2312"/>
          <w:color w:val="000000" w:themeColor="text1"/>
          <w:sz w:val="24"/>
          <w:szCs w:val="24"/>
          <w14:textFill>
            <w14:solidFill>
              <w14:schemeClr w14:val="tx1"/>
            </w14:solidFill>
          </w14:textFill>
        </w:rPr>
      </w:pPr>
      <w:r>
        <w:rPr>
          <w:rFonts w:hint="eastAsia" w:ascii="仿宋_GB2312" w:eastAsia="仿宋_GB2312"/>
          <w:color w:val="000000" w:themeColor="text1"/>
          <w:sz w:val="24"/>
          <w:szCs w:val="24"/>
          <w14:textFill>
            <w14:solidFill>
              <w14:schemeClr w14:val="tx1"/>
            </w14:solidFill>
          </w14:textFill>
        </w:rPr>
        <w:t>表</w:t>
      </w:r>
      <w:r>
        <w:rPr>
          <w:rFonts w:ascii="仿宋_GB2312" w:eastAsia="仿宋_GB2312"/>
          <w:color w:val="000000" w:themeColor="text1"/>
          <w:sz w:val="24"/>
          <w:szCs w:val="24"/>
          <w14:textFill>
            <w14:solidFill>
              <w14:schemeClr w14:val="tx1"/>
            </w14:solidFill>
          </w14:textFill>
        </w:rPr>
        <w:t>2</w:t>
      </w:r>
      <w:r>
        <w:rPr>
          <w:rFonts w:hint="eastAsia" w:ascii="仿宋_GB2312" w:eastAsia="仿宋_GB2312"/>
          <w:color w:val="000000" w:themeColor="text1"/>
          <w:sz w:val="24"/>
          <w:szCs w:val="24"/>
          <w14:textFill>
            <w14:solidFill>
              <w14:schemeClr w14:val="tx1"/>
            </w14:solidFill>
          </w14:textFill>
        </w:rPr>
        <w:t>：五家数据交易所主要产品提供商信息</w:t>
      </w:r>
    </w:p>
    <w:tbl>
      <w:tblPr>
        <w:tblStyle w:val="8"/>
        <w:tblW w:w="0" w:type="auto"/>
        <w:tblInd w:w="0" w:type="dxa"/>
        <w:tblBorders>
          <w:top w:val="single" w:color="auto" w:sz="12" w:space="0"/>
          <w:left w:val="none" w:color="auto" w:sz="0" w:space="0"/>
          <w:bottom w:val="single" w:color="auto" w:sz="12" w:space="0"/>
          <w:right w:val="none" w:color="auto" w:sz="0" w:space="0"/>
          <w:insideH w:val="single" w:color="auto" w:sz="8" w:space="0"/>
          <w:insideV w:val="single" w:color="auto" w:sz="8" w:space="0"/>
        </w:tblBorders>
        <w:tblLayout w:type="fixed"/>
        <w:tblCellMar>
          <w:top w:w="0" w:type="dxa"/>
          <w:left w:w="28" w:type="dxa"/>
          <w:bottom w:w="0" w:type="dxa"/>
          <w:right w:w="28" w:type="dxa"/>
        </w:tblCellMar>
      </w:tblPr>
      <w:tblGrid>
        <w:gridCol w:w="993"/>
        <w:gridCol w:w="2693"/>
        <w:gridCol w:w="2126"/>
        <w:gridCol w:w="2494"/>
      </w:tblGrid>
      <w:tr>
        <w:tblPrEx>
          <w:tblBorders>
            <w:top w:val="single" w:color="auto" w:sz="12" w:space="0"/>
            <w:left w:val="none" w:color="auto" w:sz="0" w:space="0"/>
            <w:bottom w:val="single" w:color="auto" w:sz="12" w:space="0"/>
            <w:right w:val="none" w:color="auto" w:sz="0" w:space="0"/>
            <w:insideH w:val="single" w:color="auto" w:sz="8" w:space="0"/>
            <w:insideV w:val="single" w:color="auto" w:sz="8" w:space="0"/>
          </w:tblBorders>
          <w:tblCellMar>
            <w:top w:w="0" w:type="dxa"/>
            <w:left w:w="28" w:type="dxa"/>
            <w:bottom w:w="0" w:type="dxa"/>
            <w:right w:w="28" w:type="dxa"/>
          </w:tblCellMar>
        </w:tblPrEx>
        <w:trPr>
          <w:trHeight w:val="79" w:hRule="atLeast"/>
        </w:trPr>
        <w:tc>
          <w:tcPr>
            <w:tcW w:w="993" w:type="dxa"/>
            <w:noWrap/>
            <w:vAlign w:val="center"/>
          </w:tcPr>
          <w:p>
            <w:pPr>
              <w:widowControl/>
              <w:jc w:val="center"/>
              <w:rPr>
                <w:rFonts w:ascii="仿宋_GB2312" w:hAnsi="微软雅黑" w:eastAsia="仿宋_GB2312" w:cs="宋体"/>
                <w:b/>
                <w:bCs/>
                <w:color w:val="000000" w:themeColor="text1"/>
                <w:kern w:val="0"/>
                <w:szCs w:val="21"/>
                <w14:textFill>
                  <w14:solidFill>
                    <w14:schemeClr w14:val="tx1"/>
                  </w14:solidFill>
                </w14:textFill>
              </w:rPr>
            </w:pPr>
            <w:r>
              <w:rPr>
                <w:rFonts w:hint="eastAsia" w:ascii="仿宋_GB2312" w:hAnsi="微软雅黑" w:eastAsia="仿宋_GB2312" w:cs="宋体"/>
                <w:b/>
                <w:bCs/>
                <w:color w:val="000000" w:themeColor="text1"/>
                <w:kern w:val="0"/>
                <w:szCs w:val="21"/>
                <w14:textFill>
                  <w14:solidFill>
                    <w14:schemeClr w14:val="tx1"/>
                  </w14:solidFill>
                </w14:textFill>
              </w:rPr>
              <w:t>数据</w:t>
            </w:r>
          </w:p>
          <w:p>
            <w:pPr>
              <w:widowControl/>
              <w:jc w:val="center"/>
              <w:rPr>
                <w:rFonts w:ascii="仿宋_GB2312" w:hAnsi="微软雅黑" w:eastAsia="仿宋_GB2312" w:cs="宋体"/>
                <w:b/>
                <w:bCs/>
                <w:color w:val="000000" w:themeColor="text1"/>
                <w:kern w:val="0"/>
                <w:szCs w:val="21"/>
                <w14:textFill>
                  <w14:solidFill>
                    <w14:schemeClr w14:val="tx1"/>
                  </w14:solidFill>
                </w14:textFill>
              </w:rPr>
            </w:pPr>
            <w:r>
              <w:rPr>
                <w:rFonts w:hint="eastAsia" w:ascii="仿宋_GB2312" w:hAnsi="微软雅黑" w:eastAsia="仿宋_GB2312" w:cs="宋体"/>
                <w:b/>
                <w:bCs/>
                <w:color w:val="000000" w:themeColor="text1"/>
                <w:kern w:val="0"/>
                <w:szCs w:val="21"/>
                <w14:textFill>
                  <w14:solidFill>
                    <w14:schemeClr w14:val="tx1"/>
                  </w14:solidFill>
                </w14:textFill>
              </w:rPr>
              <w:t>交易所</w:t>
            </w:r>
          </w:p>
        </w:tc>
        <w:tc>
          <w:tcPr>
            <w:tcW w:w="2693" w:type="dxa"/>
            <w:noWrap/>
            <w:vAlign w:val="center"/>
          </w:tcPr>
          <w:p>
            <w:pPr>
              <w:widowControl/>
              <w:jc w:val="center"/>
              <w:rPr>
                <w:rFonts w:ascii="仿宋_GB2312" w:hAnsi="等线" w:eastAsia="仿宋_GB2312" w:cs="宋体"/>
                <w:b/>
                <w:bCs/>
                <w:color w:val="000000" w:themeColor="text1"/>
                <w:kern w:val="0"/>
                <w:szCs w:val="21"/>
                <w14:textFill>
                  <w14:solidFill>
                    <w14:schemeClr w14:val="tx1"/>
                  </w14:solidFill>
                </w14:textFill>
              </w:rPr>
            </w:pPr>
            <w:r>
              <w:rPr>
                <w:rFonts w:hint="eastAsia" w:ascii="仿宋_GB2312" w:hAnsi="等线" w:eastAsia="仿宋_GB2312" w:cs="宋体"/>
                <w:b/>
                <w:bCs/>
                <w:color w:val="000000" w:themeColor="text1"/>
                <w:kern w:val="0"/>
                <w:szCs w:val="21"/>
                <w14:textFill>
                  <w14:solidFill>
                    <w14:schemeClr w14:val="tx1"/>
                  </w14:solidFill>
                </w14:textFill>
              </w:rPr>
              <w:t>主要产品提供商</w:t>
            </w:r>
          </w:p>
          <w:p>
            <w:pPr>
              <w:widowControl/>
              <w:jc w:val="center"/>
              <w:rPr>
                <w:rFonts w:ascii="仿宋_GB2312" w:hAnsi="等线" w:eastAsia="仿宋_GB2312" w:cs="宋体"/>
                <w:b/>
                <w:bCs/>
                <w:color w:val="000000" w:themeColor="text1"/>
                <w:kern w:val="0"/>
                <w:szCs w:val="21"/>
                <w14:textFill>
                  <w14:solidFill>
                    <w14:schemeClr w14:val="tx1"/>
                  </w14:solidFill>
                </w14:textFill>
              </w:rPr>
            </w:pPr>
            <w:r>
              <w:rPr>
                <w:rFonts w:hint="eastAsia" w:ascii="仿宋_GB2312" w:hAnsi="等线" w:eastAsia="仿宋_GB2312" w:cs="宋体"/>
                <w:b/>
                <w:bCs/>
                <w:color w:val="000000" w:themeColor="text1"/>
                <w:kern w:val="0"/>
                <w:szCs w:val="21"/>
                <w14:textFill>
                  <w14:solidFill>
                    <w14:schemeClr w14:val="tx1"/>
                  </w14:solidFill>
                </w14:textFill>
              </w:rPr>
              <w:t>（提供产品比例）</w:t>
            </w:r>
          </w:p>
        </w:tc>
        <w:tc>
          <w:tcPr>
            <w:tcW w:w="2126" w:type="dxa"/>
            <w:noWrap/>
            <w:vAlign w:val="center"/>
          </w:tcPr>
          <w:p>
            <w:pPr>
              <w:widowControl/>
              <w:jc w:val="center"/>
              <w:rPr>
                <w:rFonts w:ascii="仿宋_GB2312" w:hAnsi="等线" w:eastAsia="仿宋_GB2312" w:cs="宋体"/>
                <w:b/>
                <w:bCs/>
                <w:color w:val="000000" w:themeColor="text1"/>
                <w:kern w:val="0"/>
                <w:szCs w:val="21"/>
                <w14:textFill>
                  <w14:solidFill>
                    <w14:schemeClr w14:val="tx1"/>
                  </w14:solidFill>
                </w14:textFill>
              </w:rPr>
            </w:pPr>
            <w:r>
              <w:rPr>
                <w:rFonts w:hint="eastAsia" w:ascii="仿宋_GB2312" w:hAnsi="等线" w:eastAsia="仿宋_GB2312" w:cs="宋体"/>
                <w:b/>
                <w:bCs/>
                <w:color w:val="000000" w:themeColor="text1"/>
                <w:kern w:val="0"/>
                <w:szCs w:val="21"/>
                <w14:textFill>
                  <w14:solidFill>
                    <w14:schemeClr w14:val="tx1"/>
                  </w14:solidFill>
                </w14:textFill>
              </w:rPr>
              <w:t>本省top</w:t>
            </w:r>
            <w:r>
              <w:rPr>
                <w:rFonts w:ascii="仿宋_GB2312" w:hAnsi="等线" w:eastAsia="仿宋_GB2312" w:cs="宋体"/>
                <w:b/>
                <w:bCs/>
                <w:color w:val="000000" w:themeColor="text1"/>
                <w:kern w:val="0"/>
                <w:szCs w:val="21"/>
                <w14:textFill>
                  <w14:solidFill>
                    <w14:schemeClr w14:val="tx1"/>
                  </w14:solidFill>
                </w14:textFill>
              </w:rPr>
              <w:t>1</w:t>
            </w:r>
            <w:r>
              <w:rPr>
                <w:rFonts w:hint="eastAsia" w:ascii="仿宋_GB2312" w:hAnsi="等线" w:eastAsia="仿宋_GB2312" w:cs="宋体"/>
                <w:b/>
                <w:bCs/>
                <w:color w:val="000000" w:themeColor="text1"/>
                <w:kern w:val="0"/>
                <w:szCs w:val="21"/>
                <w14:textFill>
                  <w14:solidFill>
                    <w14:schemeClr w14:val="tx1"/>
                  </w14:solidFill>
                </w14:textFill>
              </w:rPr>
              <w:t>产品提供商</w:t>
            </w:r>
          </w:p>
          <w:p>
            <w:pPr>
              <w:widowControl/>
              <w:jc w:val="center"/>
              <w:rPr>
                <w:rFonts w:ascii="仿宋_GB2312" w:hAnsi="等线" w:eastAsia="仿宋_GB2312" w:cs="宋体"/>
                <w:b/>
                <w:bCs/>
                <w:color w:val="000000" w:themeColor="text1"/>
                <w:kern w:val="0"/>
                <w:szCs w:val="21"/>
                <w14:textFill>
                  <w14:solidFill>
                    <w14:schemeClr w14:val="tx1"/>
                  </w14:solidFill>
                </w14:textFill>
              </w:rPr>
            </w:pPr>
            <w:r>
              <w:rPr>
                <w:rFonts w:hint="eastAsia" w:ascii="仿宋_GB2312" w:hAnsi="等线" w:eastAsia="仿宋_GB2312" w:cs="宋体"/>
                <w:b/>
                <w:bCs/>
                <w:color w:val="000000" w:themeColor="text1"/>
                <w:kern w:val="0"/>
                <w:szCs w:val="21"/>
                <w14:textFill>
                  <w14:solidFill>
                    <w14:schemeClr w14:val="tx1"/>
                  </w14:solidFill>
                </w14:textFill>
              </w:rPr>
              <w:t>（提供产品比例）</w:t>
            </w:r>
          </w:p>
        </w:tc>
        <w:tc>
          <w:tcPr>
            <w:tcW w:w="2494" w:type="dxa"/>
            <w:noWrap/>
            <w:vAlign w:val="center"/>
          </w:tcPr>
          <w:p>
            <w:pPr>
              <w:widowControl/>
              <w:jc w:val="center"/>
              <w:rPr>
                <w:rFonts w:ascii="仿宋_GB2312" w:hAnsi="等线" w:eastAsia="仿宋_GB2312" w:cs="宋体"/>
                <w:b/>
                <w:bCs/>
                <w:color w:val="000000" w:themeColor="text1"/>
                <w:kern w:val="0"/>
                <w:szCs w:val="21"/>
                <w14:textFill>
                  <w14:solidFill>
                    <w14:schemeClr w14:val="tx1"/>
                  </w14:solidFill>
                </w14:textFill>
              </w:rPr>
            </w:pPr>
            <w:r>
              <w:rPr>
                <w:rFonts w:hint="eastAsia" w:ascii="仿宋_GB2312" w:hAnsi="等线" w:eastAsia="仿宋_GB2312" w:cs="宋体"/>
                <w:b/>
                <w:bCs/>
                <w:color w:val="000000" w:themeColor="text1"/>
                <w:kern w:val="0"/>
                <w:szCs w:val="21"/>
                <w14:textFill>
                  <w14:solidFill>
                    <w14:schemeClr w14:val="tx1"/>
                  </w14:solidFill>
                </w14:textFill>
              </w:rPr>
              <w:t>本省top</w:t>
            </w:r>
            <w:r>
              <w:rPr>
                <w:rFonts w:ascii="仿宋_GB2312" w:hAnsi="等线" w:eastAsia="仿宋_GB2312" w:cs="宋体"/>
                <w:b/>
                <w:bCs/>
                <w:color w:val="000000" w:themeColor="text1"/>
                <w:kern w:val="0"/>
                <w:szCs w:val="21"/>
                <w14:textFill>
                  <w14:solidFill>
                    <w14:schemeClr w14:val="tx1"/>
                  </w14:solidFill>
                </w14:textFill>
              </w:rPr>
              <w:t>2</w:t>
            </w:r>
            <w:r>
              <w:rPr>
                <w:rFonts w:hint="eastAsia" w:ascii="仿宋_GB2312" w:hAnsi="等线" w:eastAsia="仿宋_GB2312" w:cs="宋体"/>
                <w:b/>
                <w:bCs/>
                <w:color w:val="000000" w:themeColor="text1"/>
                <w:kern w:val="0"/>
                <w:szCs w:val="21"/>
                <w14:textFill>
                  <w14:solidFill>
                    <w14:schemeClr w14:val="tx1"/>
                  </w14:solidFill>
                </w14:textFill>
              </w:rPr>
              <w:t>产品提供商</w:t>
            </w:r>
          </w:p>
          <w:p>
            <w:pPr>
              <w:widowControl/>
              <w:jc w:val="center"/>
              <w:rPr>
                <w:rFonts w:ascii="仿宋_GB2312" w:hAnsi="等线" w:eastAsia="仿宋_GB2312" w:cs="宋体"/>
                <w:b/>
                <w:bCs/>
                <w:color w:val="000000" w:themeColor="text1"/>
                <w:kern w:val="0"/>
                <w:szCs w:val="21"/>
                <w14:textFill>
                  <w14:solidFill>
                    <w14:schemeClr w14:val="tx1"/>
                  </w14:solidFill>
                </w14:textFill>
              </w:rPr>
            </w:pPr>
            <w:r>
              <w:rPr>
                <w:rFonts w:hint="eastAsia" w:ascii="仿宋_GB2312" w:hAnsi="等线" w:eastAsia="仿宋_GB2312" w:cs="宋体"/>
                <w:b/>
                <w:bCs/>
                <w:color w:val="000000" w:themeColor="text1"/>
                <w:kern w:val="0"/>
                <w:szCs w:val="21"/>
                <w14:textFill>
                  <w14:solidFill>
                    <w14:schemeClr w14:val="tx1"/>
                  </w14:solidFill>
                </w14:textFill>
              </w:rPr>
              <w:t>（提供产品比例）</w:t>
            </w:r>
          </w:p>
        </w:tc>
      </w:tr>
      <w:tr>
        <w:tblPrEx>
          <w:tblBorders>
            <w:top w:val="single" w:color="auto" w:sz="12" w:space="0"/>
            <w:left w:val="none" w:color="auto" w:sz="0" w:space="0"/>
            <w:bottom w:val="single" w:color="auto" w:sz="12" w:space="0"/>
            <w:right w:val="none" w:color="auto" w:sz="0" w:space="0"/>
            <w:insideH w:val="single" w:color="auto" w:sz="8" w:space="0"/>
            <w:insideV w:val="single" w:color="auto" w:sz="8" w:space="0"/>
          </w:tblBorders>
          <w:tblCellMar>
            <w:top w:w="0" w:type="dxa"/>
            <w:left w:w="28" w:type="dxa"/>
            <w:bottom w:w="0" w:type="dxa"/>
            <w:right w:w="28" w:type="dxa"/>
          </w:tblCellMar>
        </w:tblPrEx>
        <w:trPr>
          <w:trHeight w:val="141" w:hRule="atLeast"/>
        </w:trPr>
        <w:tc>
          <w:tcPr>
            <w:tcW w:w="993" w:type="dxa"/>
            <w:vMerge w:val="restart"/>
            <w:noWrap/>
            <w:vAlign w:val="center"/>
          </w:tcPr>
          <w:p>
            <w:pPr>
              <w:widowControl/>
              <w:jc w:val="center"/>
              <w:rPr>
                <w:rFonts w:ascii="仿宋_GB2312" w:hAnsi="微软雅黑" w:eastAsia="仿宋_GB2312" w:cs="宋体"/>
                <w:color w:val="000000" w:themeColor="text1"/>
                <w:kern w:val="0"/>
                <w:szCs w:val="21"/>
                <w14:textFill>
                  <w14:solidFill>
                    <w14:schemeClr w14:val="tx1"/>
                  </w14:solidFill>
                </w14:textFill>
              </w:rPr>
            </w:pPr>
            <w:r>
              <w:rPr>
                <w:rFonts w:hint="eastAsia" w:ascii="仿宋_GB2312" w:hAnsi="微软雅黑" w:eastAsia="仿宋_GB2312" w:cs="宋体"/>
                <w:color w:val="000000" w:themeColor="text1"/>
                <w:kern w:val="0"/>
                <w:szCs w:val="21"/>
                <w14:textFill>
                  <w14:solidFill>
                    <w14:schemeClr w14:val="tx1"/>
                  </w14:solidFill>
                </w14:textFill>
              </w:rPr>
              <w:t>海南省数据超市</w:t>
            </w:r>
          </w:p>
        </w:tc>
        <w:tc>
          <w:tcPr>
            <w:tcW w:w="2693"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北京-金堤征信</w:t>
            </w:r>
          </w:p>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 w:val="18"/>
                <w:szCs w:val="18"/>
                <w14:textFill>
                  <w14:solidFill>
                    <w14:schemeClr w14:val="tx1"/>
                  </w14:solidFill>
                </w14:textFill>
              </w:rPr>
              <w:t>（信用服务业</w:t>
            </w:r>
            <w:r>
              <w:rPr>
                <w:rFonts w:ascii="仿宋_GB2312" w:hAnsi="等线" w:eastAsia="仿宋_GB2312" w:cs="宋体"/>
                <w:color w:val="000000" w:themeColor="text1"/>
                <w:kern w:val="0"/>
                <w:sz w:val="18"/>
                <w:szCs w:val="18"/>
                <w14:textFill>
                  <w14:solidFill>
                    <w14:schemeClr w14:val="tx1"/>
                  </w14:solidFill>
                </w14:textFill>
              </w:rPr>
              <w:softHyphen/>
            </w:r>
            <w:r>
              <w:rPr>
                <w:rFonts w:ascii="仿宋_GB2312" w:hAnsi="等线" w:eastAsia="仿宋_GB2312" w:cs="宋体"/>
                <w:color w:val="000000" w:themeColor="text1"/>
                <w:kern w:val="0"/>
                <w:sz w:val="18"/>
                <w:szCs w:val="18"/>
                <w14:textFill>
                  <w14:solidFill>
                    <w14:schemeClr w14:val="tx1"/>
                  </w14:solidFill>
                </w14:textFill>
              </w:rPr>
              <w:t>-</w:t>
            </w:r>
            <w:r>
              <w:rPr>
                <w:rFonts w:hint="eastAsia" w:ascii="仿宋_GB2312" w:hAnsi="等线" w:eastAsia="仿宋_GB2312" w:cs="宋体"/>
                <w:color w:val="000000" w:themeColor="text1"/>
                <w:kern w:val="0"/>
                <w:sz w:val="18"/>
                <w:szCs w:val="18"/>
                <w14:textFill>
                  <w14:solidFill>
                    <w14:schemeClr w14:val="tx1"/>
                  </w14:solidFill>
                </w14:textFill>
              </w:rPr>
              <w:t>数据服务商）</w:t>
            </w:r>
          </w:p>
        </w:tc>
        <w:tc>
          <w:tcPr>
            <w:tcW w:w="2126"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海南-银联商务</w:t>
            </w:r>
          </w:p>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 w:val="18"/>
                <w:szCs w:val="18"/>
                <w14:textFill>
                  <w14:solidFill>
                    <w14:schemeClr w14:val="tx1"/>
                  </w14:solidFill>
                </w14:textFill>
              </w:rPr>
              <w:t>（央企控股）</w:t>
            </w:r>
          </w:p>
        </w:tc>
        <w:tc>
          <w:tcPr>
            <w:tcW w:w="2494"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海南-数字海南</w:t>
            </w:r>
          </w:p>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 w:val="18"/>
                <w:szCs w:val="18"/>
                <w14:textFill>
                  <w14:solidFill>
                    <w14:schemeClr w14:val="tx1"/>
                  </w14:solidFill>
                </w14:textFill>
              </w:rPr>
              <w:t>（省直事业单位控股）</w:t>
            </w:r>
          </w:p>
        </w:tc>
      </w:tr>
      <w:tr>
        <w:tblPrEx>
          <w:tblBorders>
            <w:top w:val="single" w:color="auto" w:sz="12" w:space="0"/>
            <w:left w:val="none" w:color="auto" w:sz="0" w:space="0"/>
            <w:bottom w:val="single" w:color="auto" w:sz="12" w:space="0"/>
            <w:right w:val="none" w:color="auto" w:sz="0" w:space="0"/>
            <w:insideH w:val="single" w:color="auto" w:sz="8" w:space="0"/>
            <w:insideV w:val="single" w:color="auto" w:sz="8" w:space="0"/>
          </w:tblBorders>
          <w:tblCellMar>
            <w:top w:w="0" w:type="dxa"/>
            <w:left w:w="28" w:type="dxa"/>
            <w:bottom w:w="0" w:type="dxa"/>
            <w:right w:w="28" w:type="dxa"/>
          </w:tblCellMar>
        </w:tblPrEx>
        <w:trPr>
          <w:trHeight w:val="54" w:hRule="atLeast"/>
        </w:trPr>
        <w:tc>
          <w:tcPr>
            <w:tcW w:w="993" w:type="dxa"/>
            <w:vMerge w:val="continue"/>
            <w:noWrap/>
            <w:vAlign w:val="center"/>
          </w:tcPr>
          <w:p>
            <w:pPr>
              <w:widowControl/>
              <w:jc w:val="center"/>
              <w:rPr>
                <w:rFonts w:ascii="仿宋_GB2312" w:hAnsi="微软雅黑" w:eastAsia="仿宋_GB2312" w:cs="宋体"/>
                <w:color w:val="000000" w:themeColor="text1"/>
                <w:kern w:val="0"/>
                <w:szCs w:val="21"/>
                <w14:textFill>
                  <w14:solidFill>
                    <w14:schemeClr w14:val="tx1"/>
                  </w14:solidFill>
                </w14:textFill>
              </w:rPr>
            </w:pPr>
          </w:p>
        </w:tc>
        <w:tc>
          <w:tcPr>
            <w:tcW w:w="2693"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2</w:t>
            </w:r>
            <w:r>
              <w:rPr>
                <w:rFonts w:ascii="仿宋_GB2312" w:hAnsi="等线" w:eastAsia="仿宋_GB2312" w:cs="宋体"/>
                <w:color w:val="000000" w:themeColor="text1"/>
                <w:kern w:val="0"/>
                <w:szCs w:val="21"/>
                <w14:textFill>
                  <w14:solidFill>
                    <w14:schemeClr w14:val="tx1"/>
                  </w14:solidFill>
                </w14:textFill>
              </w:rPr>
              <w:t>1.2%</w:t>
            </w:r>
          </w:p>
        </w:tc>
        <w:tc>
          <w:tcPr>
            <w:tcW w:w="2126"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3</w:t>
            </w:r>
            <w:r>
              <w:rPr>
                <w:rFonts w:ascii="仿宋_GB2312" w:hAnsi="等线" w:eastAsia="仿宋_GB2312" w:cs="宋体"/>
                <w:color w:val="000000" w:themeColor="text1"/>
                <w:kern w:val="0"/>
                <w:szCs w:val="21"/>
                <w14:textFill>
                  <w14:solidFill>
                    <w14:schemeClr w14:val="tx1"/>
                  </w14:solidFill>
                </w14:textFill>
              </w:rPr>
              <w:t>.7%</w:t>
            </w:r>
          </w:p>
        </w:tc>
        <w:tc>
          <w:tcPr>
            <w:tcW w:w="2494"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2</w:t>
            </w:r>
            <w:r>
              <w:rPr>
                <w:rFonts w:ascii="仿宋_GB2312" w:hAnsi="等线" w:eastAsia="仿宋_GB2312" w:cs="宋体"/>
                <w:color w:val="000000" w:themeColor="text1"/>
                <w:kern w:val="0"/>
                <w:szCs w:val="21"/>
                <w14:textFill>
                  <w14:solidFill>
                    <w14:schemeClr w14:val="tx1"/>
                  </w14:solidFill>
                </w14:textFill>
              </w:rPr>
              <w:t>.9%</w:t>
            </w:r>
          </w:p>
        </w:tc>
      </w:tr>
      <w:tr>
        <w:tblPrEx>
          <w:tblBorders>
            <w:top w:val="single" w:color="auto" w:sz="12" w:space="0"/>
            <w:left w:val="none" w:color="auto" w:sz="0" w:space="0"/>
            <w:bottom w:val="single" w:color="auto" w:sz="12" w:space="0"/>
            <w:right w:val="none" w:color="auto" w:sz="0" w:space="0"/>
            <w:insideH w:val="single" w:color="auto" w:sz="8" w:space="0"/>
            <w:insideV w:val="single" w:color="auto" w:sz="8" w:space="0"/>
          </w:tblBorders>
          <w:tblCellMar>
            <w:top w:w="0" w:type="dxa"/>
            <w:left w:w="28" w:type="dxa"/>
            <w:bottom w:w="0" w:type="dxa"/>
            <w:right w:w="28" w:type="dxa"/>
          </w:tblCellMar>
        </w:tblPrEx>
        <w:trPr>
          <w:trHeight w:val="54" w:hRule="atLeast"/>
        </w:trPr>
        <w:tc>
          <w:tcPr>
            <w:tcW w:w="993" w:type="dxa"/>
            <w:vMerge w:val="restart"/>
            <w:noWrap/>
            <w:vAlign w:val="center"/>
          </w:tcPr>
          <w:p>
            <w:pPr>
              <w:widowControl/>
              <w:jc w:val="center"/>
              <w:rPr>
                <w:rFonts w:ascii="仿宋_GB2312" w:hAnsi="微软雅黑" w:eastAsia="仿宋_GB2312" w:cs="宋体"/>
                <w:color w:val="000000" w:themeColor="text1"/>
                <w:kern w:val="0"/>
                <w:szCs w:val="21"/>
                <w14:textFill>
                  <w14:solidFill>
                    <w14:schemeClr w14:val="tx1"/>
                  </w14:solidFill>
                </w14:textFill>
              </w:rPr>
            </w:pPr>
            <w:r>
              <w:rPr>
                <w:rFonts w:hint="eastAsia" w:ascii="仿宋_GB2312" w:hAnsi="微软雅黑" w:eastAsia="仿宋_GB2312" w:cs="宋体"/>
                <w:color w:val="000000" w:themeColor="text1"/>
                <w:kern w:val="0"/>
                <w:szCs w:val="21"/>
                <w14:textFill>
                  <w14:solidFill>
                    <w14:schemeClr w14:val="tx1"/>
                  </w14:solidFill>
                </w14:textFill>
              </w:rPr>
              <w:t>贵阳大数据交易所</w:t>
            </w:r>
          </w:p>
        </w:tc>
        <w:tc>
          <w:tcPr>
            <w:tcW w:w="2693"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浙江-安那其</w:t>
            </w:r>
          </w:p>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 w:val="18"/>
                <w:szCs w:val="18"/>
                <w14:textFill>
                  <w14:solidFill>
                    <w14:schemeClr w14:val="tx1"/>
                  </w14:solidFill>
                </w14:textFill>
              </w:rPr>
              <w:t>（信息技术服务业-数据服务商）</w:t>
            </w:r>
          </w:p>
        </w:tc>
        <w:tc>
          <w:tcPr>
            <w:tcW w:w="2126"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贵州-同方知网</w:t>
            </w:r>
          </w:p>
        </w:tc>
        <w:tc>
          <w:tcPr>
            <w:tcW w:w="2494"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贵州-新气象</w:t>
            </w:r>
          </w:p>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 w:val="18"/>
                <w:szCs w:val="18"/>
                <w14:textFill>
                  <w14:solidFill>
                    <w14:schemeClr w14:val="tx1"/>
                  </w14:solidFill>
                </w14:textFill>
              </w:rPr>
              <w:t>（省直事业单位控股）</w:t>
            </w:r>
          </w:p>
        </w:tc>
      </w:tr>
      <w:tr>
        <w:tblPrEx>
          <w:tblBorders>
            <w:top w:val="single" w:color="auto" w:sz="12" w:space="0"/>
            <w:left w:val="none" w:color="auto" w:sz="0" w:space="0"/>
            <w:bottom w:val="single" w:color="auto" w:sz="12" w:space="0"/>
            <w:right w:val="none" w:color="auto" w:sz="0" w:space="0"/>
            <w:insideH w:val="single" w:color="auto" w:sz="8" w:space="0"/>
            <w:insideV w:val="single" w:color="auto" w:sz="8" w:space="0"/>
          </w:tblBorders>
          <w:tblCellMar>
            <w:top w:w="0" w:type="dxa"/>
            <w:left w:w="28" w:type="dxa"/>
            <w:bottom w:w="0" w:type="dxa"/>
            <w:right w:w="28" w:type="dxa"/>
          </w:tblCellMar>
        </w:tblPrEx>
        <w:trPr>
          <w:trHeight w:val="54" w:hRule="atLeast"/>
        </w:trPr>
        <w:tc>
          <w:tcPr>
            <w:tcW w:w="993" w:type="dxa"/>
            <w:vMerge w:val="continue"/>
            <w:noWrap/>
            <w:vAlign w:val="center"/>
          </w:tcPr>
          <w:p>
            <w:pPr>
              <w:widowControl/>
              <w:jc w:val="center"/>
              <w:rPr>
                <w:rFonts w:ascii="仿宋_GB2312" w:hAnsi="微软雅黑" w:eastAsia="仿宋_GB2312" w:cs="宋体"/>
                <w:color w:val="000000" w:themeColor="text1"/>
                <w:kern w:val="0"/>
                <w:szCs w:val="21"/>
                <w14:textFill>
                  <w14:solidFill>
                    <w14:schemeClr w14:val="tx1"/>
                  </w14:solidFill>
                </w14:textFill>
              </w:rPr>
            </w:pPr>
          </w:p>
        </w:tc>
        <w:tc>
          <w:tcPr>
            <w:tcW w:w="2693"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1</w:t>
            </w:r>
            <w:r>
              <w:rPr>
                <w:rFonts w:ascii="仿宋_GB2312" w:hAnsi="等线" w:eastAsia="仿宋_GB2312" w:cs="宋体"/>
                <w:color w:val="000000" w:themeColor="text1"/>
                <w:kern w:val="0"/>
                <w:szCs w:val="21"/>
                <w14:textFill>
                  <w14:solidFill>
                    <w14:schemeClr w14:val="tx1"/>
                  </w14:solidFill>
                </w14:textFill>
              </w:rPr>
              <w:t>3.9%</w:t>
            </w:r>
          </w:p>
        </w:tc>
        <w:tc>
          <w:tcPr>
            <w:tcW w:w="2126"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1</w:t>
            </w:r>
            <w:r>
              <w:rPr>
                <w:rFonts w:ascii="仿宋_GB2312" w:hAnsi="等线" w:eastAsia="仿宋_GB2312" w:cs="宋体"/>
                <w:color w:val="000000" w:themeColor="text1"/>
                <w:kern w:val="0"/>
                <w:szCs w:val="21"/>
                <w14:textFill>
                  <w14:solidFill>
                    <w14:schemeClr w14:val="tx1"/>
                  </w14:solidFill>
                </w14:textFill>
              </w:rPr>
              <w:t>1.1%</w:t>
            </w:r>
          </w:p>
        </w:tc>
        <w:tc>
          <w:tcPr>
            <w:tcW w:w="2494"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9</w:t>
            </w:r>
            <w:r>
              <w:rPr>
                <w:rFonts w:ascii="仿宋_GB2312" w:hAnsi="等线" w:eastAsia="仿宋_GB2312" w:cs="宋体"/>
                <w:color w:val="000000" w:themeColor="text1"/>
                <w:kern w:val="0"/>
                <w:szCs w:val="21"/>
                <w14:textFill>
                  <w14:solidFill>
                    <w14:schemeClr w14:val="tx1"/>
                  </w14:solidFill>
                </w14:textFill>
              </w:rPr>
              <w:t>.7%</w:t>
            </w:r>
          </w:p>
        </w:tc>
      </w:tr>
      <w:tr>
        <w:tblPrEx>
          <w:tblBorders>
            <w:top w:val="single" w:color="auto" w:sz="12" w:space="0"/>
            <w:left w:val="none" w:color="auto" w:sz="0" w:space="0"/>
            <w:bottom w:val="single" w:color="auto" w:sz="12" w:space="0"/>
            <w:right w:val="none" w:color="auto" w:sz="0" w:space="0"/>
            <w:insideH w:val="single" w:color="auto" w:sz="8" w:space="0"/>
            <w:insideV w:val="single" w:color="auto" w:sz="8" w:space="0"/>
          </w:tblBorders>
          <w:tblCellMar>
            <w:top w:w="0" w:type="dxa"/>
            <w:left w:w="28" w:type="dxa"/>
            <w:bottom w:w="0" w:type="dxa"/>
            <w:right w:w="28" w:type="dxa"/>
          </w:tblCellMar>
        </w:tblPrEx>
        <w:trPr>
          <w:trHeight w:val="54" w:hRule="atLeast"/>
        </w:trPr>
        <w:tc>
          <w:tcPr>
            <w:tcW w:w="993" w:type="dxa"/>
            <w:vMerge w:val="restart"/>
            <w:noWrap/>
            <w:vAlign w:val="center"/>
          </w:tcPr>
          <w:p>
            <w:pPr>
              <w:widowControl/>
              <w:jc w:val="center"/>
              <w:rPr>
                <w:rFonts w:ascii="仿宋_GB2312" w:hAnsi="微软雅黑" w:eastAsia="仿宋_GB2312" w:cs="宋体"/>
                <w:color w:val="000000" w:themeColor="text1"/>
                <w:kern w:val="0"/>
                <w:szCs w:val="21"/>
                <w14:textFill>
                  <w14:solidFill>
                    <w14:schemeClr w14:val="tx1"/>
                  </w14:solidFill>
                </w14:textFill>
              </w:rPr>
            </w:pPr>
            <w:r>
              <w:rPr>
                <w:rFonts w:hint="eastAsia" w:ascii="仿宋_GB2312" w:hAnsi="微软雅黑" w:eastAsia="仿宋_GB2312" w:cs="宋体"/>
                <w:color w:val="000000" w:themeColor="text1"/>
                <w:kern w:val="0"/>
                <w:szCs w:val="21"/>
                <w14:textFill>
                  <w14:solidFill>
                    <w14:schemeClr w14:val="tx1"/>
                  </w14:solidFill>
                </w14:textFill>
              </w:rPr>
              <w:t>山东数据交易平台</w:t>
            </w:r>
          </w:p>
        </w:tc>
        <w:tc>
          <w:tcPr>
            <w:tcW w:w="2693"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山东-思极科技</w:t>
            </w:r>
          </w:p>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 w:val="18"/>
                <w:szCs w:val="18"/>
                <w14:textFill>
                  <w14:solidFill>
                    <w14:schemeClr w14:val="tx1"/>
                  </w14:solidFill>
                </w14:textFill>
              </w:rPr>
              <w:t>（央企控股）</w:t>
            </w:r>
          </w:p>
        </w:tc>
        <w:tc>
          <w:tcPr>
            <w:tcW w:w="2126"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山东-思极科技</w:t>
            </w:r>
          </w:p>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 w:val="18"/>
                <w:szCs w:val="18"/>
                <w14:textFill>
                  <w14:solidFill>
                    <w14:schemeClr w14:val="tx1"/>
                  </w14:solidFill>
                </w14:textFill>
              </w:rPr>
              <w:t>（央企控股）</w:t>
            </w:r>
          </w:p>
        </w:tc>
        <w:tc>
          <w:tcPr>
            <w:tcW w:w="2494"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山东-贝赛科技</w:t>
            </w:r>
          </w:p>
        </w:tc>
      </w:tr>
      <w:tr>
        <w:tblPrEx>
          <w:tblBorders>
            <w:top w:val="single" w:color="auto" w:sz="12" w:space="0"/>
            <w:left w:val="none" w:color="auto" w:sz="0" w:space="0"/>
            <w:bottom w:val="single" w:color="auto" w:sz="12" w:space="0"/>
            <w:right w:val="none" w:color="auto" w:sz="0" w:space="0"/>
            <w:insideH w:val="single" w:color="auto" w:sz="8" w:space="0"/>
            <w:insideV w:val="single" w:color="auto" w:sz="8" w:space="0"/>
          </w:tblBorders>
          <w:tblCellMar>
            <w:top w:w="0" w:type="dxa"/>
            <w:left w:w="28" w:type="dxa"/>
            <w:bottom w:w="0" w:type="dxa"/>
            <w:right w:w="28" w:type="dxa"/>
          </w:tblCellMar>
        </w:tblPrEx>
        <w:trPr>
          <w:trHeight w:val="94" w:hRule="atLeast"/>
        </w:trPr>
        <w:tc>
          <w:tcPr>
            <w:tcW w:w="993" w:type="dxa"/>
            <w:vMerge w:val="continue"/>
            <w:noWrap/>
            <w:vAlign w:val="center"/>
          </w:tcPr>
          <w:p>
            <w:pPr>
              <w:widowControl/>
              <w:jc w:val="center"/>
              <w:rPr>
                <w:rFonts w:ascii="仿宋_GB2312" w:hAnsi="微软雅黑" w:eastAsia="仿宋_GB2312" w:cs="宋体"/>
                <w:color w:val="000000" w:themeColor="text1"/>
                <w:kern w:val="0"/>
                <w:szCs w:val="21"/>
                <w14:textFill>
                  <w14:solidFill>
                    <w14:schemeClr w14:val="tx1"/>
                  </w14:solidFill>
                </w14:textFill>
              </w:rPr>
            </w:pPr>
          </w:p>
        </w:tc>
        <w:tc>
          <w:tcPr>
            <w:tcW w:w="2693"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2</w:t>
            </w:r>
            <w:r>
              <w:rPr>
                <w:rFonts w:ascii="仿宋_GB2312" w:hAnsi="等线" w:eastAsia="仿宋_GB2312" w:cs="宋体"/>
                <w:color w:val="000000" w:themeColor="text1"/>
                <w:kern w:val="0"/>
                <w:szCs w:val="21"/>
                <w14:textFill>
                  <w14:solidFill>
                    <w14:schemeClr w14:val="tx1"/>
                  </w14:solidFill>
                </w14:textFill>
              </w:rPr>
              <w:t>6.1%</w:t>
            </w:r>
          </w:p>
        </w:tc>
        <w:tc>
          <w:tcPr>
            <w:tcW w:w="2126"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2</w:t>
            </w:r>
            <w:r>
              <w:rPr>
                <w:rFonts w:ascii="仿宋_GB2312" w:hAnsi="等线" w:eastAsia="仿宋_GB2312" w:cs="宋体"/>
                <w:color w:val="000000" w:themeColor="text1"/>
                <w:kern w:val="0"/>
                <w:szCs w:val="21"/>
                <w14:textFill>
                  <w14:solidFill>
                    <w14:schemeClr w14:val="tx1"/>
                  </w14:solidFill>
                </w14:textFill>
              </w:rPr>
              <w:t>6.1%</w:t>
            </w:r>
          </w:p>
        </w:tc>
        <w:tc>
          <w:tcPr>
            <w:tcW w:w="2494"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1</w:t>
            </w:r>
            <w:r>
              <w:rPr>
                <w:rFonts w:ascii="仿宋_GB2312" w:hAnsi="等线" w:eastAsia="仿宋_GB2312" w:cs="宋体"/>
                <w:color w:val="000000" w:themeColor="text1"/>
                <w:kern w:val="0"/>
                <w:szCs w:val="21"/>
                <w14:textFill>
                  <w14:solidFill>
                    <w14:schemeClr w14:val="tx1"/>
                  </w14:solidFill>
                </w14:textFill>
              </w:rPr>
              <w:t>1.1</w:t>
            </w:r>
            <w:r>
              <w:rPr>
                <w:rFonts w:hint="eastAsia" w:ascii="仿宋_GB2312" w:hAnsi="等线" w:eastAsia="仿宋_GB2312" w:cs="宋体"/>
                <w:color w:val="000000" w:themeColor="text1"/>
                <w:kern w:val="0"/>
                <w:szCs w:val="21"/>
                <w14:textFill>
                  <w14:solidFill>
                    <w14:schemeClr w14:val="tx1"/>
                  </w14:solidFill>
                </w14:textFill>
              </w:rPr>
              <w:t>%</w:t>
            </w:r>
          </w:p>
        </w:tc>
      </w:tr>
      <w:tr>
        <w:tblPrEx>
          <w:tblBorders>
            <w:top w:val="single" w:color="auto" w:sz="12" w:space="0"/>
            <w:left w:val="none" w:color="auto" w:sz="0" w:space="0"/>
            <w:bottom w:val="single" w:color="auto" w:sz="12" w:space="0"/>
            <w:right w:val="none" w:color="auto" w:sz="0" w:space="0"/>
            <w:insideH w:val="single" w:color="auto" w:sz="8" w:space="0"/>
            <w:insideV w:val="single" w:color="auto" w:sz="8" w:space="0"/>
          </w:tblBorders>
          <w:tblCellMar>
            <w:top w:w="0" w:type="dxa"/>
            <w:left w:w="28" w:type="dxa"/>
            <w:bottom w:w="0" w:type="dxa"/>
            <w:right w:w="28" w:type="dxa"/>
          </w:tblCellMar>
        </w:tblPrEx>
        <w:trPr>
          <w:trHeight w:val="54" w:hRule="atLeast"/>
        </w:trPr>
        <w:tc>
          <w:tcPr>
            <w:tcW w:w="993" w:type="dxa"/>
            <w:vMerge w:val="restart"/>
            <w:noWrap/>
            <w:vAlign w:val="center"/>
          </w:tcPr>
          <w:p>
            <w:pPr>
              <w:widowControl/>
              <w:jc w:val="center"/>
              <w:rPr>
                <w:rFonts w:ascii="仿宋_GB2312" w:hAnsi="微软雅黑" w:eastAsia="仿宋_GB2312" w:cs="宋体"/>
                <w:color w:val="000000" w:themeColor="text1"/>
                <w:kern w:val="0"/>
                <w:szCs w:val="21"/>
                <w14:textFill>
                  <w14:solidFill>
                    <w14:schemeClr w14:val="tx1"/>
                  </w14:solidFill>
                </w14:textFill>
              </w:rPr>
            </w:pPr>
            <w:r>
              <w:rPr>
                <w:rFonts w:hint="eastAsia" w:ascii="仿宋_GB2312" w:hAnsi="微软雅黑" w:eastAsia="仿宋_GB2312" w:cs="宋体"/>
                <w:color w:val="000000" w:themeColor="text1"/>
                <w:kern w:val="0"/>
                <w:szCs w:val="21"/>
                <w14:textFill>
                  <w14:solidFill>
                    <w14:schemeClr w14:val="tx1"/>
                  </w14:solidFill>
                </w14:textFill>
              </w:rPr>
              <w:t>郑州数据交易中心</w:t>
            </w:r>
          </w:p>
        </w:tc>
        <w:tc>
          <w:tcPr>
            <w:tcW w:w="2693"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北京-易华录</w:t>
            </w:r>
          </w:p>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 w:val="18"/>
                <w:szCs w:val="18"/>
                <w14:textFill>
                  <w14:solidFill>
                    <w14:schemeClr w14:val="tx1"/>
                  </w14:solidFill>
                </w14:textFill>
              </w:rPr>
              <w:t>（信息技术服务业-数据服务商）</w:t>
            </w:r>
          </w:p>
        </w:tc>
        <w:tc>
          <w:tcPr>
            <w:tcW w:w="2126"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河南-中国移动</w:t>
            </w:r>
          </w:p>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 w:val="18"/>
                <w:szCs w:val="18"/>
                <w14:textFill>
                  <w14:solidFill>
                    <w14:schemeClr w14:val="tx1"/>
                  </w14:solidFill>
                </w14:textFill>
              </w:rPr>
              <w:t>（央企控股）</w:t>
            </w:r>
          </w:p>
        </w:tc>
        <w:tc>
          <w:tcPr>
            <w:tcW w:w="2494"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河南-绿能科发</w:t>
            </w:r>
          </w:p>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 w:val="18"/>
                <w:szCs w:val="18"/>
                <w14:textFill>
                  <w14:solidFill>
                    <w14:schemeClr w14:val="tx1"/>
                  </w14:solidFill>
                </w14:textFill>
              </w:rPr>
              <w:t>（央企控股）</w:t>
            </w:r>
          </w:p>
        </w:tc>
      </w:tr>
      <w:tr>
        <w:tblPrEx>
          <w:tblBorders>
            <w:top w:val="single" w:color="auto" w:sz="12" w:space="0"/>
            <w:left w:val="none" w:color="auto" w:sz="0" w:space="0"/>
            <w:bottom w:val="single" w:color="auto" w:sz="12" w:space="0"/>
            <w:right w:val="none" w:color="auto" w:sz="0" w:space="0"/>
            <w:insideH w:val="single" w:color="auto" w:sz="8" w:space="0"/>
            <w:insideV w:val="single" w:color="auto" w:sz="8" w:space="0"/>
          </w:tblBorders>
          <w:tblCellMar>
            <w:top w:w="0" w:type="dxa"/>
            <w:left w:w="28" w:type="dxa"/>
            <w:bottom w:w="0" w:type="dxa"/>
            <w:right w:w="28" w:type="dxa"/>
          </w:tblCellMar>
        </w:tblPrEx>
        <w:trPr>
          <w:trHeight w:val="54" w:hRule="atLeast"/>
        </w:trPr>
        <w:tc>
          <w:tcPr>
            <w:tcW w:w="993" w:type="dxa"/>
            <w:vMerge w:val="continue"/>
            <w:noWrap/>
            <w:vAlign w:val="center"/>
          </w:tcPr>
          <w:p>
            <w:pPr>
              <w:widowControl/>
              <w:jc w:val="center"/>
              <w:rPr>
                <w:rFonts w:ascii="仿宋_GB2312" w:hAnsi="微软雅黑" w:eastAsia="仿宋_GB2312" w:cs="宋体"/>
                <w:color w:val="000000" w:themeColor="text1"/>
                <w:kern w:val="0"/>
                <w:szCs w:val="21"/>
                <w14:textFill>
                  <w14:solidFill>
                    <w14:schemeClr w14:val="tx1"/>
                  </w14:solidFill>
                </w14:textFill>
              </w:rPr>
            </w:pPr>
          </w:p>
        </w:tc>
        <w:tc>
          <w:tcPr>
            <w:tcW w:w="2693"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3</w:t>
            </w:r>
            <w:r>
              <w:rPr>
                <w:rFonts w:ascii="仿宋_GB2312" w:hAnsi="等线" w:eastAsia="仿宋_GB2312" w:cs="宋体"/>
                <w:color w:val="000000" w:themeColor="text1"/>
                <w:kern w:val="0"/>
                <w:szCs w:val="21"/>
                <w14:textFill>
                  <w14:solidFill>
                    <w14:schemeClr w14:val="tx1"/>
                  </w14:solidFill>
                </w14:textFill>
              </w:rPr>
              <w:t>1.4%</w:t>
            </w:r>
          </w:p>
        </w:tc>
        <w:tc>
          <w:tcPr>
            <w:tcW w:w="2126"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1</w:t>
            </w:r>
            <w:r>
              <w:rPr>
                <w:rFonts w:ascii="仿宋_GB2312" w:hAnsi="等线" w:eastAsia="仿宋_GB2312" w:cs="宋体"/>
                <w:color w:val="000000" w:themeColor="text1"/>
                <w:kern w:val="0"/>
                <w:szCs w:val="21"/>
                <w14:textFill>
                  <w14:solidFill>
                    <w14:schemeClr w14:val="tx1"/>
                  </w14:solidFill>
                </w14:textFill>
              </w:rPr>
              <w:t>6.2%</w:t>
            </w:r>
          </w:p>
        </w:tc>
        <w:tc>
          <w:tcPr>
            <w:tcW w:w="2494"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1</w:t>
            </w:r>
            <w:r>
              <w:rPr>
                <w:rFonts w:ascii="仿宋_GB2312" w:hAnsi="等线" w:eastAsia="仿宋_GB2312" w:cs="宋体"/>
                <w:color w:val="000000" w:themeColor="text1"/>
                <w:kern w:val="0"/>
                <w:szCs w:val="21"/>
                <w14:textFill>
                  <w14:solidFill>
                    <w14:schemeClr w14:val="tx1"/>
                  </w14:solidFill>
                </w14:textFill>
              </w:rPr>
              <w:t>0.5%</w:t>
            </w:r>
          </w:p>
        </w:tc>
      </w:tr>
      <w:tr>
        <w:tblPrEx>
          <w:tblBorders>
            <w:top w:val="single" w:color="auto" w:sz="12" w:space="0"/>
            <w:left w:val="none" w:color="auto" w:sz="0" w:space="0"/>
            <w:bottom w:val="single" w:color="auto" w:sz="12" w:space="0"/>
            <w:right w:val="none" w:color="auto" w:sz="0" w:space="0"/>
            <w:insideH w:val="single" w:color="auto" w:sz="8" w:space="0"/>
            <w:insideV w:val="single" w:color="auto" w:sz="8" w:space="0"/>
          </w:tblBorders>
          <w:tblCellMar>
            <w:top w:w="0" w:type="dxa"/>
            <w:left w:w="28" w:type="dxa"/>
            <w:bottom w:w="0" w:type="dxa"/>
            <w:right w:w="28" w:type="dxa"/>
          </w:tblCellMar>
        </w:tblPrEx>
        <w:trPr>
          <w:trHeight w:val="54" w:hRule="atLeast"/>
        </w:trPr>
        <w:tc>
          <w:tcPr>
            <w:tcW w:w="993" w:type="dxa"/>
            <w:vMerge w:val="restart"/>
            <w:noWrap/>
            <w:vAlign w:val="center"/>
          </w:tcPr>
          <w:p>
            <w:pPr>
              <w:widowControl/>
              <w:jc w:val="center"/>
              <w:rPr>
                <w:rFonts w:ascii="仿宋_GB2312" w:hAnsi="微软雅黑" w:eastAsia="仿宋_GB2312" w:cs="宋体"/>
                <w:color w:val="000000" w:themeColor="text1"/>
                <w:kern w:val="0"/>
                <w:szCs w:val="21"/>
                <w14:textFill>
                  <w14:solidFill>
                    <w14:schemeClr w14:val="tx1"/>
                  </w14:solidFill>
                </w14:textFill>
              </w:rPr>
            </w:pPr>
            <w:r>
              <w:rPr>
                <w:rFonts w:hint="eastAsia" w:ascii="仿宋_GB2312" w:hAnsi="微软雅黑" w:eastAsia="仿宋_GB2312" w:cs="宋体"/>
                <w:color w:val="000000" w:themeColor="text1"/>
                <w:kern w:val="0"/>
                <w:szCs w:val="21"/>
                <w14:textFill>
                  <w14:solidFill>
                    <w14:schemeClr w14:val="tx1"/>
                  </w14:solidFill>
                </w14:textFill>
              </w:rPr>
              <w:t>杭州国际数据交易公司</w:t>
            </w:r>
          </w:p>
        </w:tc>
        <w:tc>
          <w:tcPr>
            <w:tcW w:w="2693"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福州-繁星超越</w:t>
            </w:r>
          </w:p>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 w:val="18"/>
                <w:szCs w:val="18"/>
                <w14:textFill>
                  <w14:solidFill>
                    <w14:schemeClr w14:val="tx1"/>
                  </w14:solidFill>
                </w14:textFill>
              </w:rPr>
              <w:t>（信息技术服务业-数据服务商）</w:t>
            </w:r>
          </w:p>
        </w:tc>
        <w:tc>
          <w:tcPr>
            <w:tcW w:w="2126"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浙江</w:t>
            </w:r>
            <w:r>
              <w:rPr>
                <w:rFonts w:ascii="仿宋_GB2312" w:hAnsi="等线" w:eastAsia="仿宋_GB2312" w:cs="宋体"/>
                <w:color w:val="000000" w:themeColor="text1"/>
                <w:kern w:val="0"/>
                <w:szCs w:val="21"/>
                <w14:textFill>
                  <w14:solidFill>
                    <w14:schemeClr w14:val="tx1"/>
                  </w14:solidFill>
                </w14:textFill>
              </w:rPr>
              <w:t>-</w:t>
            </w:r>
            <w:r>
              <w:rPr>
                <w:rFonts w:hint="eastAsia" w:ascii="仿宋_GB2312" w:hAnsi="等线" w:eastAsia="仿宋_GB2312" w:cs="宋体"/>
                <w:color w:val="000000" w:themeColor="text1"/>
                <w:kern w:val="0"/>
                <w:szCs w:val="21"/>
                <w14:textFill>
                  <w14:solidFill>
                    <w14:schemeClr w14:val="tx1"/>
                  </w14:solidFill>
                </w14:textFill>
              </w:rPr>
              <w:t>恒生电子</w:t>
            </w:r>
          </w:p>
        </w:tc>
        <w:tc>
          <w:tcPr>
            <w:tcW w:w="2494"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浙江-心合网络</w:t>
            </w:r>
          </w:p>
        </w:tc>
      </w:tr>
      <w:tr>
        <w:tblPrEx>
          <w:tblBorders>
            <w:top w:val="single" w:color="auto" w:sz="12" w:space="0"/>
            <w:left w:val="none" w:color="auto" w:sz="0" w:space="0"/>
            <w:bottom w:val="single" w:color="auto" w:sz="12" w:space="0"/>
            <w:right w:val="none" w:color="auto" w:sz="0" w:space="0"/>
            <w:insideH w:val="single" w:color="auto" w:sz="8" w:space="0"/>
            <w:insideV w:val="single" w:color="auto" w:sz="8" w:space="0"/>
          </w:tblBorders>
          <w:tblCellMar>
            <w:top w:w="0" w:type="dxa"/>
            <w:left w:w="28" w:type="dxa"/>
            <w:bottom w:w="0" w:type="dxa"/>
            <w:right w:w="28" w:type="dxa"/>
          </w:tblCellMar>
        </w:tblPrEx>
        <w:trPr>
          <w:trHeight w:val="54" w:hRule="atLeast"/>
        </w:trPr>
        <w:tc>
          <w:tcPr>
            <w:tcW w:w="993" w:type="dxa"/>
            <w:vMerge w:val="continue"/>
            <w:noWrap/>
            <w:vAlign w:val="center"/>
          </w:tcPr>
          <w:p>
            <w:pPr>
              <w:widowControl/>
              <w:jc w:val="center"/>
              <w:rPr>
                <w:rFonts w:ascii="仿宋_GB2312" w:hAnsi="微软雅黑" w:eastAsia="仿宋_GB2312" w:cs="宋体"/>
                <w:color w:val="000000" w:themeColor="text1"/>
                <w:kern w:val="0"/>
                <w:szCs w:val="21"/>
                <w14:textFill>
                  <w14:solidFill>
                    <w14:schemeClr w14:val="tx1"/>
                  </w14:solidFill>
                </w14:textFill>
              </w:rPr>
            </w:pPr>
          </w:p>
        </w:tc>
        <w:tc>
          <w:tcPr>
            <w:tcW w:w="2693"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3</w:t>
            </w:r>
            <w:r>
              <w:rPr>
                <w:rFonts w:ascii="仿宋_GB2312" w:hAnsi="等线" w:eastAsia="仿宋_GB2312" w:cs="宋体"/>
                <w:color w:val="000000" w:themeColor="text1"/>
                <w:kern w:val="0"/>
                <w:szCs w:val="21"/>
                <w14:textFill>
                  <w14:solidFill>
                    <w14:schemeClr w14:val="tx1"/>
                  </w14:solidFill>
                </w14:textFill>
              </w:rPr>
              <w:t>2.0%</w:t>
            </w:r>
          </w:p>
        </w:tc>
        <w:tc>
          <w:tcPr>
            <w:tcW w:w="2126"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2</w:t>
            </w:r>
            <w:r>
              <w:rPr>
                <w:rFonts w:ascii="仿宋_GB2312" w:hAnsi="等线" w:eastAsia="仿宋_GB2312" w:cs="宋体"/>
                <w:color w:val="000000" w:themeColor="text1"/>
                <w:kern w:val="0"/>
                <w:szCs w:val="21"/>
                <w14:textFill>
                  <w14:solidFill>
                    <w14:schemeClr w14:val="tx1"/>
                  </w14:solidFill>
                </w14:textFill>
              </w:rPr>
              <w:t>1.3%</w:t>
            </w:r>
          </w:p>
        </w:tc>
        <w:tc>
          <w:tcPr>
            <w:tcW w:w="2494" w:type="dxa"/>
            <w:noWrap/>
            <w:vAlign w:val="center"/>
          </w:tcPr>
          <w:p>
            <w:pPr>
              <w:widowControl/>
              <w:jc w:val="center"/>
              <w:rPr>
                <w:rFonts w:ascii="仿宋_GB2312" w:hAnsi="等线" w:eastAsia="仿宋_GB2312" w:cs="宋体"/>
                <w:color w:val="000000" w:themeColor="text1"/>
                <w:kern w:val="0"/>
                <w:szCs w:val="21"/>
                <w14:textFill>
                  <w14:solidFill>
                    <w14:schemeClr w14:val="tx1"/>
                  </w14:solidFill>
                </w14:textFill>
              </w:rPr>
            </w:pPr>
            <w:r>
              <w:rPr>
                <w:rFonts w:hint="eastAsia" w:ascii="仿宋_GB2312" w:hAnsi="等线" w:eastAsia="仿宋_GB2312" w:cs="宋体"/>
                <w:color w:val="000000" w:themeColor="text1"/>
                <w:kern w:val="0"/>
                <w:szCs w:val="21"/>
                <w14:textFill>
                  <w14:solidFill>
                    <w14:schemeClr w14:val="tx1"/>
                  </w14:solidFill>
                </w14:textFill>
              </w:rPr>
              <w:t>8</w:t>
            </w:r>
            <w:r>
              <w:rPr>
                <w:rFonts w:ascii="仿宋_GB2312" w:hAnsi="等线" w:eastAsia="仿宋_GB2312" w:cs="宋体"/>
                <w:color w:val="000000" w:themeColor="text1"/>
                <w:kern w:val="0"/>
                <w:szCs w:val="21"/>
                <w14:textFill>
                  <w14:solidFill>
                    <w14:schemeClr w14:val="tx1"/>
                  </w14:solidFill>
                </w14:textFill>
              </w:rPr>
              <w:t>.0%</w:t>
            </w:r>
          </w:p>
        </w:tc>
      </w:tr>
    </w:tbl>
    <w:p>
      <w:pPr>
        <w:spacing w:line="300" w:lineRule="auto"/>
        <w:rPr>
          <w:rFonts w:ascii="仿宋_GB2312" w:eastAsia="仿宋_GB2312"/>
          <w:color w:val="000000" w:themeColor="text1"/>
          <w:sz w:val="24"/>
          <w:szCs w:val="24"/>
          <w14:textFill>
            <w14:solidFill>
              <w14:schemeClr w14:val="tx1"/>
            </w14:solidFill>
          </w14:textFill>
        </w:rPr>
      </w:pPr>
    </w:p>
    <w:p>
      <w:pPr>
        <w:spacing w:line="300" w:lineRule="auto"/>
        <w:outlineLvl w:val="1"/>
        <w:rPr>
          <w:rFonts w:ascii="仿宋_GB2312" w:eastAsia="仿宋_GB2312"/>
          <w:b/>
          <w:bCs/>
          <w:color w:val="000000" w:themeColor="text1"/>
          <w:sz w:val="24"/>
          <w:szCs w:val="24"/>
          <w14:textFill>
            <w14:solidFill>
              <w14:schemeClr w14:val="tx1"/>
            </w14:solidFill>
          </w14:textFill>
        </w:rPr>
      </w:pPr>
      <w:r>
        <w:rPr>
          <w:rFonts w:hint="eastAsia" w:ascii="仿宋_GB2312" w:eastAsia="仿宋_GB2312"/>
          <w:b/>
          <w:bCs/>
          <w:color w:val="000000" w:themeColor="text1"/>
          <w:sz w:val="24"/>
          <w:szCs w:val="24"/>
          <w14:textFill>
            <w14:solidFill>
              <w14:schemeClr w14:val="tx1"/>
            </w14:solidFill>
          </w14:textFill>
        </w:rPr>
        <w:t>4、以加工后的产品和服务为主，交易对象不涉底层和原始数据</w:t>
      </w:r>
    </w:p>
    <w:p>
      <w:pPr>
        <w:spacing w:line="300" w:lineRule="auto"/>
        <w:ind w:firstLine="482" w:firstLineChars="200"/>
        <w:rPr>
          <w:rFonts w:ascii="仿宋_GB2312" w:eastAsia="仿宋_GB2312"/>
          <w:color w:val="000000" w:themeColor="text1"/>
          <w:sz w:val="24"/>
          <w:szCs w:val="24"/>
          <w14:textFill>
            <w14:solidFill>
              <w14:schemeClr w14:val="tx1"/>
            </w14:solidFill>
          </w14:textFill>
        </w:rPr>
      </w:pPr>
      <w:r>
        <w:rPr>
          <w:rFonts w:ascii="仿宋_GB2312" w:eastAsia="仿宋_GB2312"/>
          <w:b/>
          <w:bCs/>
          <w:color w:val="000000" w:themeColor="text1"/>
          <w:sz w:val="24"/>
          <w:szCs w:val="24"/>
          <w14:textFill>
            <w14:solidFill>
              <w14:schemeClr w14:val="tx1"/>
            </w14:solidFill>
          </w14:textFill>
        </w:rPr>
        <w:t>产品交易不涉及底层和原始数据，交易对象为通过实质性加工和创新性劳动所形成的数据产品和服务。</w:t>
      </w:r>
      <w:r>
        <w:rPr>
          <w:rFonts w:hint="eastAsia" w:ascii="仿宋_GB2312" w:eastAsia="仿宋_GB2312"/>
          <w:color w:val="000000" w:themeColor="text1"/>
          <w:sz w:val="24"/>
          <w:szCs w:val="24"/>
          <w14:textFill>
            <w14:solidFill>
              <w14:schemeClr w14:val="tx1"/>
            </w14:solidFill>
          </w14:textFill>
        </w:rPr>
        <w:t>已公开产品形态的七家数据交易所涵盖了数据接口、数据报告、数据模型等近1</w:t>
      </w:r>
      <w:r>
        <w:rPr>
          <w:rFonts w:ascii="仿宋_GB2312" w:eastAsia="仿宋_GB2312"/>
          <w:color w:val="000000" w:themeColor="text1"/>
          <w:sz w:val="24"/>
          <w:szCs w:val="24"/>
          <w14:textFill>
            <w14:solidFill>
              <w14:schemeClr w14:val="tx1"/>
            </w14:solidFill>
          </w14:textFill>
        </w:rPr>
        <w:t>0</w:t>
      </w:r>
      <w:r>
        <w:rPr>
          <w:rFonts w:hint="eastAsia" w:ascii="仿宋_GB2312" w:eastAsia="仿宋_GB2312"/>
          <w:color w:val="000000" w:themeColor="text1"/>
          <w:sz w:val="24"/>
          <w:szCs w:val="24"/>
          <w14:textFill>
            <w14:solidFill>
              <w14:schemeClr w14:val="tx1"/>
            </w14:solidFill>
          </w14:textFill>
        </w:rPr>
        <w:t>类数据产品，但加工后以数据接口形式交易仍为现阶段数据产品主流（</w:t>
      </w:r>
      <w:r>
        <w:rPr>
          <w:rFonts w:ascii="仿宋_GB2312" w:eastAsia="仿宋_GB2312"/>
          <w:color w:val="000000" w:themeColor="text1"/>
          <w:sz w:val="24"/>
          <w:szCs w:val="24"/>
          <w14:textFill>
            <w14:solidFill>
              <w14:schemeClr w14:val="tx1"/>
            </w14:solidFill>
          </w14:textFill>
        </w:rPr>
        <w:t>84.9%</w:t>
      </w:r>
      <w:r>
        <w:rPr>
          <w:rFonts w:hint="eastAsia" w:ascii="仿宋_GB2312" w:eastAsia="仿宋_GB2312"/>
          <w:color w:val="000000" w:themeColor="text1"/>
          <w:sz w:val="24"/>
          <w:szCs w:val="24"/>
          <w14:textFill>
            <w14:solidFill>
              <w14:schemeClr w14:val="tx1"/>
            </w14:solidFill>
          </w14:textFill>
        </w:rPr>
        <w:t>），数据应用及通用软件等数据服务占1</w:t>
      </w:r>
      <w:r>
        <w:rPr>
          <w:rFonts w:ascii="仿宋_GB2312" w:eastAsia="仿宋_GB2312"/>
          <w:color w:val="000000" w:themeColor="text1"/>
          <w:sz w:val="24"/>
          <w:szCs w:val="24"/>
          <w14:textFill>
            <w14:solidFill>
              <w14:schemeClr w14:val="tx1"/>
            </w14:solidFill>
          </w14:textFill>
        </w:rPr>
        <w:t>0.8%</w:t>
      </w:r>
      <w:r>
        <w:rPr>
          <w:rFonts w:hint="eastAsia" w:ascii="仿宋_GB2312" w:eastAsia="仿宋_GB2312"/>
          <w:color w:val="000000" w:themeColor="text1"/>
          <w:sz w:val="24"/>
          <w:szCs w:val="24"/>
          <w14:textFill>
            <w14:solidFill>
              <w14:schemeClr w14:val="tx1"/>
            </w14:solidFill>
          </w14:textFill>
        </w:rPr>
        <w:t>，数据集与数据报告均不足1</w:t>
      </w:r>
      <w:r>
        <w:rPr>
          <w:rFonts w:ascii="仿宋_GB2312" w:eastAsia="仿宋_GB2312"/>
          <w:color w:val="000000" w:themeColor="text1"/>
          <w:sz w:val="24"/>
          <w:szCs w:val="24"/>
          <w14:textFill>
            <w14:solidFill>
              <w14:schemeClr w14:val="tx1"/>
            </w14:solidFill>
          </w14:textFill>
        </w:rPr>
        <w:t xml:space="preserve">%。其中，合肥数据要素流通平台的数据解决方案和数据定制，以及海南省数据超市的产品报表，属于这两家数所特有的产品形态。 </w:t>
      </w:r>
    </w:p>
    <w:p>
      <w:pPr>
        <w:spacing w:line="300" w:lineRule="auto"/>
        <w:jc w:val="center"/>
        <w:rPr>
          <w:rFonts w:ascii="仿宋_GB2312" w:eastAsia="仿宋_GB2312"/>
          <w:color w:val="000000" w:themeColor="text1"/>
          <w:sz w:val="24"/>
          <w:szCs w:val="24"/>
          <w14:textFill>
            <w14:solidFill>
              <w14:schemeClr w14:val="tx1"/>
            </w14:solidFill>
          </w14:textFill>
        </w:rPr>
      </w:pPr>
      <w:r>
        <w:rPr>
          <w:rFonts w:hint="eastAsia" w:ascii="仿宋_GB2312" w:eastAsia="仿宋_GB2312"/>
          <w:color w:val="000000" w:themeColor="text1"/>
          <w:sz w:val="24"/>
          <w:szCs w:val="24"/>
          <w14:textFill>
            <w14:solidFill>
              <w14:schemeClr w14:val="tx1"/>
            </w14:solidFill>
          </w14:textFill>
        </w:rPr>
        <w:drawing>
          <wp:inline distT="0" distB="0" distL="0" distR="0">
            <wp:extent cx="3779520" cy="1835785"/>
            <wp:effectExtent l="0" t="0" r="0" b="0"/>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pPr>
        <w:spacing w:line="300" w:lineRule="auto"/>
        <w:jc w:val="center"/>
        <w:rPr>
          <w:rFonts w:ascii="仿宋_GB2312" w:eastAsia="仿宋_GB2312"/>
          <w:color w:val="000000" w:themeColor="text1"/>
          <w:szCs w:val="21"/>
          <w14:textFill>
            <w14:solidFill>
              <w14:schemeClr w14:val="tx1"/>
            </w14:solidFill>
          </w14:textFill>
        </w:rPr>
      </w:pPr>
      <w:r>
        <w:rPr>
          <w:rFonts w:hint="eastAsia" w:ascii="仿宋_GB2312" w:eastAsia="仿宋_GB2312"/>
          <w:color w:val="000000" w:themeColor="text1"/>
          <w:szCs w:val="21"/>
          <w14:textFill>
            <w14:solidFill>
              <w14:schemeClr w14:val="tx1"/>
            </w14:solidFill>
          </w14:textFill>
        </w:rPr>
        <w:t>图3</w:t>
      </w:r>
      <w:r>
        <w:rPr>
          <w:rFonts w:ascii="仿宋_GB2312" w:eastAsia="仿宋_GB2312"/>
          <w:color w:val="000000" w:themeColor="text1"/>
          <w:szCs w:val="21"/>
          <w14:textFill>
            <w14:solidFill>
              <w14:schemeClr w14:val="tx1"/>
            </w14:solidFill>
          </w14:textFill>
        </w:rPr>
        <w:t xml:space="preserve"> </w:t>
      </w:r>
      <w:r>
        <w:rPr>
          <w:rFonts w:hint="eastAsia" w:ascii="仿宋_GB2312" w:eastAsia="仿宋_GB2312"/>
          <w:color w:val="000000" w:themeColor="text1"/>
          <w:szCs w:val="21"/>
          <w14:textFill>
            <w14:solidFill>
              <w14:schemeClr w14:val="tx1"/>
            </w14:solidFill>
          </w14:textFill>
        </w:rPr>
        <w:t>七家数据交易所产品形态</w:t>
      </w:r>
    </w:p>
    <w:p>
      <w:pPr>
        <w:spacing w:line="300" w:lineRule="auto"/>
        <w:ind w:firstLine="480" w:firstLineChars="200"/>
        <w:rPr>
          <w:rFonts w:ascii="仿宋_GB2312" w:eastAsia="仿宋_GB2312"/>
          <w:color w:val="000000" w:themeColor="text1"/>
          <w:sz w:val="24"/>
          <w:szCs w:val="24"/>
          <w14:textFill>
            <w14:solidFill>
              <w14:schemeClr w14:val="tx1"/>
            </w14:solidFill>
          </w14:textFill>
        </w:rPr>
      </w:pPr>
    </w:p>
    <w:p>
      <w:pPr>
        <w:spacing w:line="300" w:lineRule="auto"/>
        <w:outlineLvl w:val="0"/>
        <w:rPr>
          <w:rFonts w:ascii="仿宋_GB2312" w:eastAsia="仿宋_GB2312"/>
          <w:b/>
          <w:bCs/>
          <w:color w:val="000000" w:themeColor="text1"/>
          <w:sz w:val="28"/>
          <w:szCs w:val="28"/>
          <w14:textFill>
            <w14:solidFill>
              <w14:schemeClr w14:val="tx1"/>
            </w14:solidFill>
          </w14:textFill>
        </w:rPr>
      </w:pPr>
      <w:r>
        <w:rPr>
          <w:rFonts w:hint="eastAsia" w:ascii="仿宋_GB2312" w:eastAsia="仿宋_GB2312"/>
          <w:b/>
          <w:bCs/>
          <w:color w:val="000000" w:themeColor="text1"/>
          <w:sz w:val="28"/>
          <w:szCs w:val="28"/>
          <w14:textFill>
            <w14:solidFill>
              <w14:schemeClr w14:val="tx1"/>
            </w14:solidFill>
          </w14:textFill>
        </w:rPr>
        <w:t>三、相关思考</w:t>
      </w:r>
    </w:p>
    <w:p>
      <w:pPr>
        <w:spacing w:line="300" w:lineRule="auto"/>
        <w:outlineLvl w:val="1"/>
        <w:rPr>
          <w:rFonts w:ascii="仿宋_GB2312" w:eastAsia="仿宋_GB2312"/>
          <w:b/>
          <w:bCs/>
          <w:color w:val="000000" w:themeColor="text1"/>
          <w:sz w:val="24"/>
          <w:szCs w:val="24"/>
          <w14:textFill>
            <w14:solidFill>
              <w14:schemeClr w14:val="tx1"/>
            </w14:solidFill>
          </w14:textFill>
        </w:rPr>
      </w:pPr>
      <w:r>
        <w:rPr>
          <w:rFonts w:hint="eastAsia" w:ascii="仿宋_GB2312" w:eastAsia="仿宋_GB2312"/>
          <w:b/>
          <w:bCs/>
          <w:color w:val="000000" w:themeColor="text1"/>
          <w:sz w:val="24"/>
          <w:szCs w:val="24"/>
          <w14:textFill>
            <w14:solidFill>
              <w14:schemeClr w14:val="tx1"/>
            </w14:solidFill>
          </w14:textFill>
        </w:rPr>
        <w:t>1、完善网站平台建设，切合数据交易习惯</w:t>
      </w:r>
    </w:p>
    <w:p>
      <w:pPr>
        <w:spacing w:line="300" w:lineRule="auto"/>
        <w:ind w:firstLine="480" w:firstLineChars="200"/>
        <w:rPr>
          <w:rFonts w:ascii="仿宋_GB2312" w:eastAsia="仿宋_GB2312"/>
          <w:color w:val="000000" w:themeColor="text1"/>
          <w:sz w:val="24"/>
          <w:szCs w:val="24"/>
          <w14:textFill>
            <w14:solidFill>
              <w14:schemeClr w14:val="tx1"/>
            </w14:solidFill>
          </w14:textFill>
        </w:rPr>
      </w:pPr>
      <w:r>
        <w:rPr>
          <w:rFonts w:hint="eastAsia" w:ascii="仿宋_GB2312" w:eastAsia="仿宋_GB2312"/>
          <w:color w:val="000000" w:themeColor="text1"/>
          <w:sz w:val="24"/>
          <w:szCs w:val="24"/>
          <w14:textFill>
            <w14:solidFill>
              <w14:schemeClr w14:val="tx1"/>
            </w14:solidFill>
          </w14:textFill>
        </w:rPr>
        <w:t>结合数据要素市场以B侧用户为主，高度需求定制、多轮议价等交易特点，完善数所交易平台建设，健全交易可视化体系及交易反馈机制。根据产品交易次数、金额、频率等信息以对数据价值的最终实现情况进行评估，为产品的公开化透明化定价提供相关依据。并为交易参与方提供评价反馈入口，从数据质量、需求契合度等维度开展互评，提高平台数据质量及交易撮合。</w:t>
      </w:r>
    </w:p>
    <w:p>
      <w:pPr>
        <w:spacing w:line="300" w:lineRule="auto"/>
        <w:outlineLvl w:val="1"/>
        <w:rPr>
          <w:rFonts w:ascii="仿宋_GB2312" w:eastAsia="仿宋_GB2312"/>
          <w:b/>
          <w:bCs/>
          <w:color w:val="000000" w:themeColor="text1"/>
          <w:sz w:val="24"/>
          <w:szCs w:val="24"/>
          <w14:textFill>
            <w14:solidFill>
              <w14:schemeClr w14:val="tx1"/>
            </w14:solidFill>
          </w14:textFill>
        </w:rPr>
      </w:pPr>
      <w:r>
        <w:rPr>
          <w:rFonts w:ascii="仿宋_GB2312" w:eastAsia="仿宋_GB2312"/>
          <w:b/>
          <w:bCs/>
          <w:color w:val="000000" w:themeColor="text1"/>
          <w:sz w:val="24"/>
          <w:szCs w:val="24"/>
          <w14:textFill>
            <w14:solidFill>
              <w14:schemeClr w14:val="tx1"/>
            </w14:solidFill>
          </w14:textFill>
        </w:rPr>
        <w:t>2</w:t>
      </w:r>
      <w:r>
        <w:rPr>
          <w:rFonts w:hint="eastAsia" w:ascii="仿宋_GB2312" w:eastAsia="仿宋_GB2312"/>
          <w:b/>
          <w:bCs/>
          <w:color w:val="000000" w:themeColor="text1"/>
          <w:sz w:val="24"/>
          <w:szCs w:val="24"/>
          <w14:textFill>
            <w14:solidFill>
              <w14:schemeClr w14:val="tx1"/>
            </w14:solidFill>
          </w14:textFill>
        </w:rPr>
        <w:t>、落地价值场景服务，增强数据资源应用</w:t>
      </w:r>
    </w:p>
    <w:p>
      <w:pPr>
        <w:spacing w:line="300" w:lineRule="auto"/>
        <w:ind w:firstLine="480" w:firstLineChars="200"/>
        <w:rPr>
          <w:rFonts w:ascii="仿宋_GB2312" w:eastAsia="仿宋_GB2312"/>
          <w:color w:val="000000" w:themeColor="text1"/>
          <w:sz w:val="24"/>
          <w:szCs w:val="24"/>
          <w14:textFill>
            <w14:solidFill>
              <w14:schemeClr w14:val="tx1"/>
            </w14:solidFill>
          </w14:textFill>
        </w:rPr>
      </w:pPr>
      <w:r>
        <w:rPr>
          <w:rFonts w:hint="eastAsia" w:ascii="仿宋_GB2312" w:eastAsia="仿宋_GB2312"/>
          <w:color w:val="000000" w:themeColor="text1"/>
          <w:sz w:val="24"/>
          <w:szCs w:val="24"/>
          <w14:textFill>
            <w14:solidFill>
              <w14:schemeClr w14:val="tx1"/>
            </w14:solidFill>
          </w14:textFill>
        </w:rPr>
        <w:t>在确保数据安全、保障用户隐私的前提下，调动行业协会、科研院所、企业等多方参与数据价值开发，探索高价值应用场景，在技术开发、标准认证、人才引进、算力支撑等方面以“监管沙盒”方式开展试点，促进数据、技术、场景深度融合。</w:t>
      </w:r>
    </w:p>
    <w:p>
      <w:pPr>
        <w:spacing w:line="300" w:lineRule="auto"/>
        <w:outlineLvl w:val="1"/>
        <w:rPr>
          <w:rFonts w:ascii="仿宋_GB2312" w:eastAsia="仿宋_GB2312"/>
          <w:b/>
          <w:bCs/>
          <w:color w:val="000000" w:themeColor="text1"/>
          <w:sz w:val="24"/>
          <w:szCs w:val="24"/>
          <w14:textFill>
            <w14:solidFill>
              <w14:schemeClr w14:val="tx1"/>
            </w14:solidFill>
          </w14:textFill>
        </w:rPr>
      </w:pPr>
      <w:r>
        <w:rPr>
          <w:rFonts w:ascii="仿宋_GB2312" w:eastAsia="仿宋_GB2312"/>
          <w:b/>
          <w:bCs/>
          <w:color w:val="000000" w:themeColor="text1"/>
          <w:sz w:val="24"/>
          <w:szCs w:val="24"/>
          <w14:textFill>
            <w14:solidFill>
              <w14:schemeClr w14:val="tx1"/>
            </w14:solidFill>
          </w14:textFill>
        </w:rPr>
        <w:t>3</w:t>
      </w:r>
      <w:r>
        <w:rPr>
          <w:rFonts w:hint="eastAsia" w:ascii="仿宋_GB2312" w:eastAsia="仿宋_GB2312"/>
          <w:b/>
          <w:bCs/>
          <w:color w:val="000000" w:themeColor="text1"/>
          <w:sz w:val="24"/>
          <w:szCs w:val="24"/>
          <w14:textFill>
            <w14:solidFill>
              <w14:schemeClr w14:val="tx1"/>
            </w14:solidFill>
          </w14:textFill>
        </w:rPr>
        <w:t>、推动数所跨域合作，破除数据流动壁垒</w:t>
      </w:r>
    </w:p>
    <w:p>
      <w:pPr>
        <w:spacing w:line="300" w:lineRule="auto"/>
        <w:ind w:firstLine="480" w:firstLineChars="200"/>
        <w:rPr>
          <w:rFonts w:ascii="仿宋_GB2312" w:eastAsia="仿宋_GB2312"/>
          <w:color w:val="000000" w:themeColor="text1"/>
          <w:sz w:val="24"/>
          <w:szCs w:val="24"/>
          <w14:textFill>
            <w14:solidFill>
              <w14:schemeClr w14:val="tx1"/>
            </w14:solidFill>
          </w14:textFill>
        </w:rPr>
      </w:pPr>
      <w:r>
        <w:rPr>
          <w:rFonts w:hint="eastAsia" w:ascii="仿宋_GB2312" w:eastAsia="仿宋_GB2312"/>
          <w:color w:val="000000" w:themeColor="text1"/>
          <w:sz w:val="24"/>
          <w:szCs w:val="24"/>
          <w14:textFill>
            <w14:solidFill>
              <w14:schemeClr w14:val="tx1"/>
            </w14:solidFill>
          </w14:textFill>
        </w:rPr>
        <w:t>发挥跨区域合力，打破地方保护和市场分割，加快推动不同数据交易所通信协议兼容统一，合作建设统一的数据资源标准体系。针对差异化的价值场景，探索面向业务应用的共享、交换、协作和开放，加强互通互操作，使各地数交所可基于比较优势在高质量的数据要素流通网络中发挥自身优势，谋求更大的市场空间。</w:t>
      </w:r>
    </w:p>
    <w:p>
      <w:pPr>
        <w:spacing w:line="300" w:lineRule="auto"/>
        <w:outlineLvl w:val="1"/>
        <w:rPr>
          <w:rFonts w:ascii="仿宋_GB2312" w:eastAsia="仿宋_GB2312"/>
          <w:b/>
          <w:bCs/>
          <w:color w:val="000000" w:themeColor="text1"/>
          <w:sz w:val="24"/>
          <w:szCs w:val="24"/>
          <w14:textFill>
            <w14:solidFill>
              <w14:schemeClr w14:val="tx1"/>
            </w14:solidFill>
          </w14:textFill>
        </w:rPr>
      </w:pPr>
      <w:r>
        <w:rPr>
          <w:rFonts w:ascii="仿宋_GB2312" w:eastAsia="仿宋_GB2312"/>
          <w:b/>
          <w:bCs/>
          <w:color w:val="000000" w:themeColor="text1"/>
          <w:sz w:val="24"/>
          <w:szCs w:val="24"/>
          <w14:textFill>
            <w14:solidFill>
              <w14:schemeClr w14:val="tx1"/>
            </w14:solidFill>
          </w14:textFill>
        </w:rPr>
        <w:t>4</w:t>
      </w:r>
      <w:r>
        <w:rPr>
          <w:rFonts w:hint="eastAsia" w:ascii="仿宋_GB2312" w:eastAsia="仿宋_GB2312"/>
          <w:b/>
          <w:bCs/>
          <w:color w:val="000000" w:themeColor="text1"/>
          <w:sz w:val="24"/>
          <w:szCs w:val="24"/>
          <w14:textFill>
            <w14:solidFill>
              <w14:schemeClr w14:val="tx1"/>
            </w14:solidFill>
          </w14:textFill>
        </w:rPr>
        <w:t>、丰富数据产品形态，提高数据交易效率</w:t>
      </w:r>
    </w:p>
    <w:p>
      <w:pPr>
        <w:spacing w:line="300" w:lineRule="auto"/>
        <w:ind w:firstLine="480" w:firstLineChars="200"/>
        <w:rPr>
          <w:rFonts w:ascii="仿宋_GB2312" w:eastAsia="仿宋_GB2312"/>
          <w:color w:val="000000" w:themeColor="text1"/>
          <w:sz w:val="24"/>
          <w:szCs w:val="24"/>
          <w14:textFill>
            <w14:solidFill>
              <w14:schemeClr w14:val="tx1"/>
            </w14:solidFill>
          </w14:textFill>
        </w:rPr>
      </w:pPr>
      <w:r>
        <w:rPr>
          <w:rFonts w:hint="eastAsia" w:ascii="仿宋_GB2312" w:eastAsia="仿宋_GB2312"/>
          <w:color w:val="000000" w:themeColor="text1"/>
          <w:sz w:val="24"/>
          <w:szCs w:val="24"/>
          <w14:textFill>
            <w14:solidFill>
              <w14:schemeClr w14:val="tx1"/>
            </w14:solidFill>
          </w14:textFill>
        </w:rPr>
        <w:t>谋求当地政策指导支持，探索数据持有权、加工权、经营权“三权分置”下的平台运行机制完善，吸引更多消费用户画像类数据采集存储方入场。针对数据流通和交易全流程不同服务能力，有序培育数据集成、数据经纪、数据托管等第三方专业服务机构加入，为数据交易双方提供高质量数据增值化服务，促进提高数据交易效率。</w:t>
      </w:r>
    </w:p>
    <w:p>
      <w:pPr>
        <w:spacing w:line="300" w:lineRule="auto"/>
        <w:ind w:firstLine="480" w:firstLineChars="200"/>
        <w:rPr>
          <w:rFonts w:ascii="仿宋_GB2312" w:eastAsia="仿宋_GB2312"/>
          <w:color w:val="000000" w:themeColor="text1"/>
          <w:sz w:val="24"/>
          <w:szCs w:val="24"/>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MxYTBmM2ExNDA5MTI5NmEwNjA4YTk5MmRmY2Y2MzgifQ=="/>
    <w:docVar w:name="KSO_WPS_MARK_KEY" w:val="c6f99f04-e9cf-4fad-adc9-81cdca1ba316"/>
  </w:docVars>
  <w:rsids>
    <w:rsidRoot w:val="006131FA"/>
    <w:rsid w:val="0001310B"/>
    <w:rsid w:val="00025980"/>
    <w:rsid w:val="00045643"/>
    <w:rsid w:val="00045B08"/>
    <w:rsid w:val="0006642A"/>
    <w:rsid w:val="00085295"/>
    <w:rsid w:val="000D5687"/>
    <w:rsid w:val="000D7163"/>
    <w:rsid w:val="000E04F0"/>
    <w:rsid w:val="000E4C4B"/>
    <w:rsid w:val="000F2CEB"/>
    <w:rsid w:val="00106B79"/>
    <w:rsid w:val="0013233E"/>
    <w:rsid w:val="001754F9"/>
    <w:rsid w:val="00184E45"/>
    <w:rsid w:val="001A288B"/>
    <w:rsid w:val="001E3076"/>
    <w:rsid w:val="001F748C"/>
    <w:rsid w:val="002304BC"/>
    <w:rsid w:val="0026303B"/>
    <w:rsid w:val="00275AAE"/>
    <w:rsid w:val="002900CF"/>
    <w:rsid w:val="002A39A5"/>
    <w:rsid w:val="00316895"/>
    <w:rsid w:val="003737B4"/>
    <w:rsid w:val="00375E15"/>
    <w:rsid w:val="003864CF"/>
    <w:rsid w:val="003A0A5D"/>
    <w:rsid w:val="003A4765"/>
    <w:rsid w:val="003C3D06"/>
    <w:rsid w:val="003C5878"/>
    <w:rsid w:val="003D369F"/>
    <w:rsid w:val="0043127E"/>
    <w:rsid w:val="0045685F"/>
    <w:rsid w:val="00465D66"/>
    <w:rsid w:val="00467ACD"/>
    <w:rsid w:val="00474434"/>
    <w:rsid w:val="00481B60"/>
    <w:rsid w:val="004A6E76"/>
    <w:rsid w:val="004E5155"/>
    <w:rsid w:val="004E69AD"/>
    <w:rsid w:val="005010A2"/>
    <w:rsid w:val="00506CCD"/>
    <w:rsid w:val="00522B0C"/>
    <w:rsid w:val="00526F67"/>
    <w:rsid w:val="00553BE0"/>
    <w:rsid w:val="005829BD"/>
    <w:rsid w:val="0059084E"/>
    <w:rsid w:val="005C5DE4"/>
    <w:rsid w:val="006131FA"/>
    <w:rsid w:val="0061703C"/>
    <w:rsid w:val="00623B2B"/>
    <w:rsid w:val="00627E5A"/>
    <w:rsid w:val="00630582"/>
    <w:rsid w:val="00643E3A"/>
    <w:rsid w:val="006872F7"/>
    <w:rsid w:val="00694BE5"/>
    <w:rsid w:val="006F42DD"/>
    <w:rsid w:val="00721843"/>
    <w:rsid w:val="00733A21"/>
    <w:rsid w:val="00733DA4"/>
    <w:rsid w:val="007423AE"/>
    <w:rsid w:val="00773E0C"/>
    <w:rsid w:val="007F1C1D"/>
    <w:rsid w:val="00807A3D"/>
    <w:rsid w:val="00813683"/>
    <w:rsid w:val="008219E1"/>
    <w:rsid w:val="0084331D"/>
    <w:rsid w:val="0086519C"/>
    <w:rsid w:val="00875BAC"/>
    <w:rsid w:val="0087600B"/>
    <w:rsid w:val="008C7179"/>
    <w:rsid w:val="008F7E2D"/>
    <w:rsid w:val="00915CFB"/>
    <w:rsid w:val="00921055"/>
    <w:rsid w:val="00941295"/>
    <w:rsid w:val="009B3647"/>
    <w:rsid w:val="009B4930"/>
    <w:rsid w:val="009C0471"/>
    <w:rsid w:val="009C3C41"/>
    <w:rsid w:val="00A038F8"/>
    <w:rsid w:val="00A135F3"/>
    <w:rsid w:val="00A4320E"/>
    <w:rsid w:val="00AD1E36"/>
    <w:rsid w:val="00B247F8"/>
    <w:rsid w:val="00B27627"/>
    <w:rsid w:val="00B764AF"/>
    <w:rsid w:val="00B85328"/>
    <w:rsid w:val="00B92D76"/>
    <w:rsid w:val="00BC5E85"/>
    <w:rsid w:val="00BD172D"/>
    <w:rsid w:val="00BD1BEE"/>
    <w:rsid w:val="00BE7A4D"/>
    <w:rsid w:val="00BF77B3"/>
    <w:rsid w:val="00C02A78"/>
    <w:rsid w:val="00C2146A"/>
    <w:rsid w:val="00C34710"/>
    <w:rsid w:val="00C46F5F"/>
    <w:rsid w:val="00C80919"/>
    <w:rsid w:val="00C973B3"/>
    <w:rsid w:val="00CB1E57"/>
    <w:rsid w:val="00CB3258"/>
    <w:rsid w:val="00CB5238"/>
    <w:rsid w:val="00CD0130"/>
    <w:rsid w:val="00CE1618"/>
    <w:rsid w:val="00D014DF"/>
    <w:rsid w:val="00D03A43"/>
    <w:rsid w:val="00D10BA0"/>
    <w:rsid w:val="00D83063"/>
    <w:rsid w:val="00D97EED"/>
    <w:rsid w:val="00DD37D1"/>
    <w:rsid w:val="00DD6A5B"/>
    <w:rsid w:val="00E0690E"/>
    <w:rsid w:val="00E13502"/>
    <w:rsid w:val="00E14BE7"/>
    <w:rsid w:val="00E162EC"/>
    <w:rsid w:val="00E2035A"/>
    <w:rsid w:val="00E30517"/>
    <w:rsid w:val="00E34159"/>
    <w:rsid w:val="00E4206C"/>
    <w:rsid w:val="00E609F4"/>
    <w:rsid w:val="00EF6051"/>
    <w:rsid w:val="00F5695A"/>
    <w:rsid w:val="00F60B5C"/>
    <w:rsid w:val="00F856D0"/>
    <w:rsid w:val="00FE7953"/>
    <w:rsid w:val="00FF05ED"/>
    <w:rsid w:val="3A766411"/>
    <w:rsid w:val="4E7A439B"/>
    <w:rsid w:val="52264B01"/>
    <w:rsid w:val="5B693CF6"/>
    <w:rsid w:val="65A259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6"/>
    <w:semiHidden/>
    <w:unhideWhenUsed/>
    <w:uiPriority w:val="99"/>
    <w:pPr>
      <w:jc w:val="left"/>
    </w:pPr>
  </w:style>
  <w:style w:type="paragraph" w:styleId="3">
    <w:name w:val="footer"/>
    <w:basedOn w:val="1"/>
    <w:link w:val="14"/>
    <w:unhideWhenUsed/>
    <w:qFormat/>
    <w:uiPriority w:val="99"/>
    <w:pPr>
      <w:tabs>
        <w:tab w:val="center" w:pos="4153"/>
        <w:tab w:val="right" w:pos="8306"/>
      </w:tabs>
      <w:snapToGrid w:val="0"/>
      <w:jc w:val="left"/>
    </w:pPr>
    <w:rPr>
      <w:sz w:val="18"/>
      <w:szCs w:val="18"/>
    </w:rPr>
  </w:style>
  <w:style w:type="paragraph" w:styleId="4">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6">
    <w:name w:val="annotation subject"/>
    <w:basedOn w:val="2"/>
    <w:next w:val="2"/>
    <w:link w:val="17"/>
    <w:semiHidden/>
    <w:unhideWhenUsed/>
    <w:uiPriority w:val="99"/>
    <w:rPr>
      <w:b/>
      <w:bCs/>
    </w:rPr>
  </w:style>
  <w:style w:type="table" w:styleId="8">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bCs/>
    </w:rPr>
  </w:style>
  <w:style w:type="character" w:styleId="11">
    <w:name w:val="annotation reference"/>
    <w:basedOn w:val="9"/>
    <w:semiHidden/>
    <w:unhideWhenUsed/>
    <w:uiPriority w:val="99"/>
    <w:rPr>
      <w:sz w:val="21"/>
      <w:szCs w:val="21"/>
    </w:rPr>
  </w:style>
  <w:style w:type="paragraph" w:styleId="12">
    <w:name w:val="List Paragraph"/>
    <w:basedOn w:val="1"/>
    <w:qFormat/>
    <w:uiPriority w:val="34"/>
    <w:pPr>
      <w:ind w:firstLine="420" w:firstLineChars="200"/>
    </w:pPr>
  </w:style>
  <w:style w:type="character" w:customStyle="1" w:styleId="13">
    <w:name w:val="页眉 字符"/>
    <w:basedOn w:val="9"/>
    <w:link w:val="4"/>
    <w:uiPriority w:val="99"/>
    <w:rPr>
      <w:sz w:val="18"/>
      <w:szCs w:val="18"/>
    </w:rPr>
  </w:style>
  <w:style w:type="character" w:customStyle="1" w:styleId="14">
    <w:name w:val="页脚 字符"/>
    <w:basedOn w:val="9"/>
    <w:link w:val="3"/>
    <w:qFormat/>
    <w:uiPriority w:val="99"/>
    <w:rPr>
      <w:sz w:val="18"/>
      <w:szCs w:val="18"/>
    </w:rPr>
  </w:style>
  <w:style w:type="paragraph" w:customStyle="1" w:styleId="15">
    <w:name w:val="Revision"/>
    <w:hidden/>
    <w:semiHidden/>
    <w:uiPriority w:val="99"/>
    <w:rPr>
      <w:rFonts w:asciiTheme="minorHAnsi" w:hAnsiTheme="minorHAnsi" w:eastAsiaTheme="minorEastAsia" w:cstheme="minorBidi"/>
      <w:kern w:val="2"/>
      <w:sz w:val="21"/>
      <w:szCs w:val="22"/>
      <w:lang w:val="en-US" w:eastAsia="zh-CN" w:bidi="ar-SA"/>
    </w:rPr>
  </w:style>
  <w:style w:type="character" w:customStyle="1" w:styleId="16">
    <w:name w:val="批注文字 字符"/>
    <w:basedOn w:val="9"/>
    <w:link w:val="2"/>
    <w:semiHidden/>
    <w:uiPriority w:val="99"/>
    <w:rPr>
      <w:kern w:val="2"/>
      <w:sz w:val="21"/>
      <w:szCs w:val="22"/>
    </w:rPr>
  </w:style>
  <w:style w:type="character" w:customStyle="1" w:styleId="17">
    <w:name w:val="批注主题 字符"/>
    <w:basedOn w:val="16"/>
    <w:link w:val="6"/>
    <w:semiHidden/>
    <w:uiPriority w:val="99"/>
    <w:rPr>
      <w:b/>
      <w:bCs/>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hart" Target="charts/chart2.xml"/><Relationship Id="rId5" Type="http://schemas.openxmlformats.org/officeDocument/2006/relationships/image" Target="media/image1.png"/><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2.xlsx"/></Relationships>
</file>

<file path=word/charts/_rels/chart2.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chartUserShapes" Target="../drawings/drawing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
          <c:y val="0.00103199174406605"/>
          <c:w val="0.993960157821592"/>
          <c:h val="0.765276971957453"/>
        </c:manualLayout>
      </c:layout>
      <c:barChart>
        <c:barDir val="col"/>
        <c:grouping val="stacked"/>
        <c:varyColors val="0"/>
        <c:ser>
          <c:idx val="0"/>
          <c:order val="0"/>
          <c:tx>
            <c:strRef>
              <c:f>Sheet1!$A$2</c:f>
              <c:strCache>
                <c:ptCount val="1"/>
                <c:pt idx="0">
                  <c:v>个人/企业关键信息查询校验</c:v>
                </c:pt>
              </c:strCache>
            </c:strRef>
          </c:tx>
          <c:spPr>
            <a:solidFill>
              <a:schemeClr val="accent5">
                <a:lumMod val="50000"/>
              </a:schemeClr>
            </a:solidFill>
            <a:ln>
              <a:noFill/>
            </a:ln>
            <a:effectLst/>
          </c:spPr>
          <c:invertIfNegative val="0"/>
          <c:dLbls>
            <c:delete val="1"/>
          </c:dLbls>
          <c:cat>
            <c:strRef>
              <c:f>Sheet1!$B$1:$K$1</c:f>
              <c:strCache>
                <c:ptCount val="10"/>
                <c:pt idx="0">
                  <c:v>海南</c:v>
                </c:pt>
                <c:pt idx="1">
                  <c:v>贵州</c:v>
                </c:pt>
                <c:pt idx="2">
                  <c:v>山东</c:v>
                </c:pt>
                <c:pt idx="3">
                  <c:v>合肥</c:v>
                </c:pt>
                <c:pt idx="4">
                  <c:v>青岛</c:v>
                </c:pt>
                <c:pt idx="5">
                  <c:v>东湖</c:v>
                </c:pt>
                <c:pt idx="6">
                  <c:v>郑州</c:v>
                </c:pt>
                <c:pt idx="7">
                  <c:v>华东</c:v>
                </c:pt>
                <c:pt idx="8">
                  <c:v>杭州</c:v>
                </c:pt>
                <c:pt idx="9">
                  <c:v>福建</c:v>
                </c:pt>
              </c:strCache>
            </c:strRef>
          </c:cat>
          <c:val>
            <c:numRef>
              <c:f>Sheet1!$B$2:$K$2</c:f>
              <c:numCache>
                <c:formatCode>General</c:formatCode>
                <c:ptCount val="10"/>
                <c:pt idx="0">
                  <c:v>313</c:v>
                </c:pt>
                <c:pt idx="1">
                  <c:v>134</c:v>
                </c:pt>
                <c:pt idx="2">
                  <c:v>27</c:v>
                </c:pt>
                <c:pt idx="3">
                  <c:v>34</c:v>
                </c:pt>
                <c:pt idx="4">
                  <c:v>26</c:v>
                </c:pt>
                <c:pt idx="5">
                  <c:v>86</c:v>
                </c:pt>
                <c:pt idx="6">
                  <c:v>55</c:v>
                </c:pt>
                <c:pt idx="7">
                  <c:v>52</c:v>
                </c:pt>
                <c:pt idx="8">
                  <c:v>39</c:v>
                </c:pt>
                <c:pt idx="9">
                  <c:v>16</c:v>
                </c:pt>
              </c:numCache>
            </c:numRef>
          </c:val>
        </c:ser>
        <c:ser>
          <c:idx val="1"/>
          <c:order val="1"/>
          <c:tx>
            <c:strRef>
              <c:f>Sheet1!$A$3</c:f>
              <c:strCache>
                <c:ptCount val="1"/>
                <c:pt idx="0">
                  <c:v>交通、物流、车辆</c:v>
                </c:pt>
              </c:strCache>
            </c:strRef>
          </c:tx>
          <c:spPr>
            <a:solidFill>
              <a:schemeClr val="accent5">
                <a:lumMod val="75000"/>
              </a:schemeClr>
            </a:solidFill>
            <a:ln>
              <a:noFill/>
            </a:ln>
            <a:effectLst/>
          </c:spPr>
          <c:invertIfNegative val="0"/>
          <c:dLbls>
            <c:delete val="1"/>
          </c:dLbls>
          <c:cat>
            <c:strRef>
              <c:f>Sheet1!$B$1:$K$1</c:f>
              <c:strCache>
                <c:ptCount val="10"/>
                <c:pt idx="0">
                  <c:v>海南</c:v>
                </c:pt>
                <c:pt idx="1">
                  <c:v>贵州</c:v>
                </c:pt>
                <c:pt idx="2">
                  <c:v>山东</c:v>
                </c:pt>
                <c:pt idx="3">
                  <c:v>合肥</c:v>
                </c:pt>
                <c:pt idx="4">
                  <c:v>青岛</c:v>
                </c:pt>
                <c:pt idx="5">
                  <c:v>东湖</c:v>
                </c:pt>
                <c:pt idx="6">
                  <c:v>郑州</c:v>
                </c:pt>
                <c:pt idx="7">
                  <c:v>华东</c:v>
                </c:pt>
                <c:pt idx="8">
                  <c:v>杭州</c:v>
                </c:pt>
                <c:pt idx="9">
                  <c:v>福建</c:v>
                </c:pt>
              </c:strCache>
            </c:strRef>
          </c:cat>
          <c:val>
            <c:numRef>
              <c:f>Sheet1!$B$3:$K$3</c:f>
              <c:numCache>
                <c:formatCode>General</c:formatCode>
                <c:ptCount val="10"/>
                <c:pt idx="0">
                  <c:v>14</c:v>
                </c:pt>
                <c:pt idx="1">
                  <c:v>27</c:v>
                </c:pt>
                <c:pt idx="2">
                  <c:v>11</c:v>
                </c:pt>
                <c:pt idx="3">
                  <c:v>17</c:v>
                </c:pt>
                <c:pt idx="4">
                  <c:v>1</c:v>
                </c:pt>
                <c:pt idx="5">
                  <c:v>27</c:v>
                </c:pt>
                <c:pt idx="6">
                  <c:v>9</c:v>
                </c:pt>
                <c:pt idx="7">
                  <c:v>36</c:v>
                </c:pt>
                <c:pt idx="9">
                  <c:v>1</c:v>
                </c:pt>
              </c:numCache>
            </c:numRef>
          </c:val>
        </c:ser>
        <c:ser>
          <c:idx val="2"/>
          <c:order val="2"/>
          <c:tx>
            <c:strRef>
              <c:f>Sheet1!$A$4</c:f>
              <c:strCache>
                <c:ptCount val="1"/>
                <c:pt idx="0">
                  <c:v>气象、生态环境、水文</c:v>
                </c:pt>
              </c:strCache>
            </c:strRef>
          </c:tx>
          <c:spPr>
            <a:solidFill>
              <a:schemeClr val="accent5">
                <a:lumMod val="60000"/>
                <a:lumOff val="40000"/>
              </a:schemeClr>
            </a:solidFill>
            <a:ln>
              <a:noFill/>
            </a:ln>
            <a:effectLst/>
          </c:spPr>
          <c:invertIfNegative val="0"/>
          <c:dLbls>
            <c:dLbl>
              <c:idx val="0"/>
              <c:delete val="1"/>
            </c:dLbl>
            <c:dLbl>
              <c:idx val="1"/>
              <c:delete val="1"/>
            </c:dLbl>
            <c:dLbl>
              <c:idx val="2"/>
              <c:layout>
                <c:manualLayout>
                  <c:x val="0"/>
                  <c:y val="-0.0651289009497965"/>
                </c:manualLayout>
              </c:layout>
              <c:dLblPos val="ctr"/>
              <c:showLegendKey val="0"/>
              <c:showVal val="1"/>
              <c:showCatName val="0"/>
              <c:showSerName val="0"/>
              <c:showPercent val="0"/>
              <c:showBubbleSize val="0"/>
              <c:extLst>
                <c:ext xmlns:c15="http://schemas.microsoft.com/office/drawing/2012/chart" uri="{CE6537A1-D6FC-4f65-9D91-7224C49458BB}">
                  <c15:layout/>
                </c:ext>
              </c:extLst>
            </c:dLbl>
            <c:dLbl>
              <c:idx val="3"/>
              <c:delete val="1"/>
            </c:dLbl>
            <c:dLbl>
              <c:idx val="4"/>
              <c:delete val="1"/>
            </c:dLbl>
            <c:dLbl>
              <c:idx val="5"/>
              <c:layout>
                <c:manualLayout>
                  <c:x val="0"/>
                  <c:y val="-0.0651289009497965"/>
                </c:manualLayout>
              </c:layout>
              <c:tx>
                <c:rich>
                  <a:bodyPr rot="0" spcFirstLastPara="1"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r>
                      <a:rPr lang="en-US" altLang="zh-CN"/>
                      <a:t>139</a:t>
                    </a:r>
                    <a:endParaRPr lang="en-US" altLang="zh-CN"/>
                  </a:p>
                </c:rich>
              </c:tx>
              <c:dLblPos val="ctr"/>
              <c:showLegendKey val="0"/>
              <c:showVal val="1"/>
              <c:showCatName val="0"/>
              <c:showSerName val="0"/>
              <c:showPercent val="0"/>
              <c:showBubbleSize val="0"/>
              <c:extLst>
                <c:ext xmlns:c15="http://schemas.microsoft.com/office/drawing/2012/chart" uri="{CE6537A1-D6FC-4f65-9D91-7224C49458BB}">
                  <c15:layout/>
                </c:ext>
              </c:extLst>
            </c:dLbl>
            <c:dLbl>
              <c:idx val="6"/>
              <c:delete val="1"/>
            </c:dLbl>
            <c:dLbl>
              <c:idx val="7"/>
              <c:delete val="1"/>
            </c:dLbl>
            <c:dLbl>
              <c:idx val="8"/>
              <c:delete val="1"/>
            </c:dLbl>
            <c:dLbl>
              <c:idx val="9"/>
              <c:delete val="1"/>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ctr"/>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Sheet1!$B$1:$K$1</c:f>
              <c:strCache>
                <c:ptCount val="10"/>
                <c:pt idx="0">
                  <c:v>海南</c:v>
                </c:pt>
                <c:pt idx="1">
                  <c:v>贵州</c:v>
                </c:pt>
                <c:pt idx="2">
                  <c:v>山东</c:v>
                </c:pt>
                <c:pt idx="3">
                  <c:v>合肥</c:v>
                </c:pt>
                <c:pt idx="4">
                  <c:v>青岛</c:v>
                </c:pt>
                <c:pt idx="5">
                  <c:v>东湖</c:v>
                </c:pt>
                <c:pt idx="6">
                  <c:v>郑州</c:v>
                </c:pt>
                <c:pt idx="7">
                  <c:v>华东</c:v>
                </c:pt>
                <c:pt idx="8">
                  <c:v>杭州</c:v>
                </c:pt>
                <c:pt idx="9">
                  <c:v>福建</c:v>
                </c:pt>
              </c:strCache>
            </c:strRef>
          </c:cat>
          <c:val>
            <c:numRef>
              <c:f>Sheet1!$B$4:$K$4</c:f>
              <c:numCache>
                <c:formatCode>General</c:formatCode>
                <c:ptCount val="10"/>
                <c:pt idx="0">
                  <c:v>1</c:v>
                </c:pt>
                <c:pt idx="1">
                  <c:v>77</c:v>
                </c:pt>
                <c:pt idx="3">
                  <c:v>7</c:v>
                </c:pt>
                <c:pt idx="4">
                  <c:v>7</c:v>
                </c:pt>
                <c:pt idx="5">
                  <c:v>25</c:v>
                </c:pt>
                <c:pt idx="6">
                  <c:v>25</c:v>
                </c:pt>
                <c:pt idx="9">
                  <c:v>1</c:v>
                </c:pt>
              </c:numCache>
            </c:numRef>
          </c:val>
        </c:ser>
        <c:ser>
          <c:idx val="3"/>
          <c:order val="3"/>
          <c:tx>
            <c:strRef>
              <c:f>Sheet1!$A$5</c:f>
              <c:strCache>
                <c:ptCount val="1"/>
                <c:pt idx="0">
                  <c:v>金融、科技</c:v>
                </c:pt>
              </c:strCache>
            </c:strRef>
          </c:tx>
          <c:spPr>
            <a:solidFill>
              <a:schemeClr val="accent5">
                <a:lumMod val="40000"/>
                <a:lumOff val="60000"/>
              </a:schemeClr>
            </a:solidFill>
            <a:ln>
              <a:noFill/>
            </a:ln>
            <a:effectLst/>
          </c:spPr>
          <c:invertIfNegative val="0"/>
          <c:dLbls>
            <c:delete val="1"/>
          </c:dLbls>
          <c:cat>
            <c:strRef>
              <c:f>Sheet1!$B$1:$K$1</c:f>
              <c:strCache>
                <c:ptCount val="10"/>
                <c:pt idx="0">
                  <c:v>海南</c:v>
                </c:pt>
                <c:pt idx="1">
                  <c:v>贵州</c:v>
                </c:pt>
                <c:pt idx="2">
                  <c:v>山东</c:v>
                </c:pt>
                <c:pt idx="3">
                  <c:v>合肥</c:v>
                </c:pt>
                <c:pt idx="4">
                  <c:v>青岛</c:v>
                </c:pt>
                <c:pt idx="5">
                  <c:v>东湖</c:v>
                </c:pt>
                <c:pt idx="6">
                  <c:v>郑州</c:v>
                </c:pt>
                <c:pt idx="7">
                  <c:v>华东</c:v>
                </c:pt>
                <c:pt idx="8">
                  <c:v>杭州</c:v>
                </c:pt>
                <c:pt idx="9">
                  <c:v>福建</c:v>
                </c:pt>
              </c:strCache>
            </c:strRef>
          </c:cat>
          <c:val>
            <c:numRef>
              <c:f>Sheet1!$B$5:$K$5</c:f>
              <c:numCache>
                <c:formatCode>General</c:formatCode>
                <c:ptCount val="10"/>
                <c:pt idx="0">
                  <c:v>49</c:v>
                </c:pt>
                <c:pt idx="1">
                  <c:v>6</c:v>
                </c:pt>
                <c:pt idx="2">
                  <c:v>4</c:v>
                </c:pt>
                <c:pt idx="3">
                  <c:v>16</c:v>
                </c:pt>
                <c:pt idx="4">
                  <c:v>6</c:v>
                </c:pt>
                <c:pt idx="6">
                  <c:v>1</c:v>
                </c:pt>
                <c:pt idx="8">
                  <c:v>18</c:v>
                </c:pt>
                <c:pt idx="9">
                  <c:v>7</c:v>
                </c:pt>
              </c:numCache>
            </c:numRef>
          </c:val>
        </c:ser>
        <c:ser>
          <c:idx val="4"/>
          <c:order val="4"/>
          <c:tx>
            <c:strRef>
              <c:f>Sheet1!$A$6</c:f>
              <c:strCache>
                <c:ptCount val="1"/>
                <c:pt idx="0">
                  <c:v>教育科研、医疗、卫生健康</c:v>
                </c:pt>
              </c:strCache>
            </c:strRef>
          </c:tx>
          <c:spPr>
            <a:solidFill>
              <a:schemeClr val="accent5">
                <a:lumMod val="20000"/>
                <a:lumOff val="80000"/>
              </a:schemeClr>
            </a:solidFill>
            <a:ln>
              <a:noFill/>
            </a:ln>
            <a:effectLst/>
          </c:spPr>
          <c:invertIfNegative val="0"/>
          <c:dLbls>
            <c:delete val="1"/>
          </c:dLbls>
          <c:cat>
            <c:strRef>
              <c:f>Sheet1!$B$1:$K$1</c:f>
              <c:strCache>
                <c:ptCount val="10"/>
                <c:pt idx="0">
                  <c:v>海南</c:v>
                </c:pt>
                <c:pt idx="1">
                  <c:v>贵州</c:v>
                </c:pt>
                <c:pt idx="2">
                  <c:v>山东</c:v>
                </c:pt>
                <c:pt idx="3">
                  <c:v>合肥</c:v>
                </c:pt>
                <c:pt idx="4">
                  <c:v>青岛</c:v>
                </c:pt>
                <c:pt idx="5">
                  <c:v>东湖</c:v>
                </c:pt>
                <c:pt idx="6">
                  <c:v>郑州</c:v>
                </c:pt>
                <c:pt idx="7">
                  <c:v>华东</c:v>
                </c:pt>
                <c:pt idx="8">
                  <c:v>杭州</c:v>
                </c:pt>
                <c:pt idx="9">
                  <c:v>福建</c:v>
                </c:pt>
              </c:strCache>
            </c:strRef>
          </c:cat>
          <c:val>
            <c:numRef>
              <c:f>Sheet1!$B$6:$K$6</c:f>
              <c:numCache>
                <c:formatCode>General</c:formatCode>
                <c:ptCount val="10"/>
                <c:pt idx="0">
                  <c:v>12</c:v>
                </c:pt>
                <c:pt idx="1">
                  <c:v>24</c:v>
                </c:pt>
                <c:pt idx="3">
                  <c:v>18</c:v>
                </c:pt>
                <c:pt idx="4">
                  <c:v>10</c:v>
                </c:pt>
                <c:pt idx="5">
                  <c:v>1</c:v>
                </c:pt>
                <c:pt idx="6">
                  <c:v>6</c:v>
                </c:pt>
              </c:numCache>
            </c:numRef>
          </c:val>
        </c:ser>
        <c:ser>
          <c:idx val="5"/>
          <c:order val="5"/>
          <c:tx>
            <c:strRef>
              <c:f>Sheet1!$A$7</c:f>
              <c:strCache>
                <c:ptCount val="1"/>
                <c:pt idx="0">
                  <c:v>其他</c:v>
                </c:pt>
              </c:strCache>
            </c:strRef>
          </c:tx>
          <c:spPr>
            <a:solidFill>
              <a:schemeClr val="bg1">
                <a:lumMod val="75000"/>
              </a:schemeClr>
            </a:solidFill>
            <a:ln>
              <a:noFill/>
            </a:ln>
            <a:effectLst/>
          </c:spPr>
          <c:invertIfNegative val="0"/>
          <c:dLbls>
            <c:dLbl>
              <c:idx val="0"/>
              <c:layout>
                <c:manualLayout>
                  <c:x val="0"/>
                  <c:y val="-0.0759837177747626"/>
                </c:manualLayout>
              </c:layout>
              <c:tx>
                <c:rich>
                  <a:bodyPr rot="0" spcFirstLastPara="1"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r>
                      <a:rPr lang="en-US" altLang="zh-CN"/>
                      <a:t>452</a:t>
                    </a:r>
                    <a:endParaRPr lang="en-US" altLang="zh-CN"/>
                  </a:p>
                </c:rich>
              </c:tx>
              <c:dLblPos val="ctr"/>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
                  <c:y val="-0.0976933514246947"/>
                </c:manualLayout>
              </c:layout>
              <c:tx>
                <c:rich>
                  <a:bodyPr rot="0" spcFirstLastPara="1"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r>
                      <a:rPr lang="en-US" altLang="zh-CN"/>
                      <a:t>352</a:t>
                    </a:r>
                    <a:endParaRPr lang="en-US" altLang="zh-CN"/>
                  </a:p>
                </c:rich>
              </c:tx>
              <c:dLblPos val="ctr"/>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
                  <c:y val="-0.168249660786974"/>
                </c:manualLayout>
              </c:layout>
              <c:tx>
                <c:rich>
                  <a:bodyPr rot="0" spcFirstLastPara="1"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r>
                      <a:rPr lang="en-US" altLang="zh-CN"/>
                      <a:t>207</a:t>
                    </a:r>
                    <a:endParaRPr lang="en-US" altLang="zh-CN"/>
                  </a:p>
                </c:rich>
              </c:tx>
              <c:dLblPos val="ctr"/>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0240789790512882"/>
                  <c:y val="-0.103120759837178"/>
                </c:manualLayout>
              </c:layout>
              <c:tx>
                <c:rich>
                  <a:bodyPr rot="0" spcFirstLastPara="1"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r>
                      <a:rPr lang="en-US" altLang="zh-CN"/>
                      <a:t>174</a:t>
                    </a:r>
                    <a:endParaRPr lang="en-US" altLang="zh-CN"/>
                  </a:p>
                </c:rich>
              </c:tx>
              <c:dLblPos val="ctr"/>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
                  <c:y val="-0.108548168249661"/>
                </c:manualLayout>
              </c:layout>
              <c:tx>
                <c:rich>
                  <a:bodyPr rot="0" spcFirstLastPara="1"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r>
                      <a:rPr lang="en-US" altLang="zh-CN"/>
                      <a:t>148</a:t>
                    </a:r>
                    <a:endParaRPr lang="en-US" altLang="zh-CN"/>
                  </a:p>
                </c:rich>
              </c:tx>
              <c:dLblPos val="ctr"/>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8.82885699376296e-17"/>
                  <c:y val="-0.0542740841248305"/>
                </c:manualLayout>
              </c:layout>
              <c:tx>
                <c:rich>
                  <a:bodyPr rot="0" spcFirstLastPara="1"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r>
                      <a:rPr lang="en-US" altLang="zh-CN"/>
                      <a:t>105</a:t>
                    </a:r>
                    <a:endParaRPr lang="en-US" altLang="zh-CN"/>
                  </a:p>
                </c:rich>
              </c:tx>
              <c:dLblPos val="ctr"/>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1.76577139875259e-16"/>
                  <c:y val="-0.0488466757123474"/>
                </c:manualLayout>
              </c:layout>
              <c:tx>
                <c:rich>
                  <a:bodyPr rot="0" spcFirstLastPara="1"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r>
                      <a:rPr lang="en-US" altLang="zh-CN"/>
                      <a:t>89</a:t>
                    </a:r>
                    <a:endParaRPr lang="en-US" altLang="zh-CN"/>
                  </a:p>
                </c:rich>
              </c:tx>
              <c:dLblPos val="ctr"/>
              <c:showLegendKey val="0"/>
              <c:showVal val="1"/>
              <c:showCatName val="0"/>
              <c:showSerName val="0"/>
              <c:showPercent val="0"/>
              <c:showBubbleSize val="0"/>
              <c:extLst>
                <c:ext xmlns:c15="http://schemas.microsoft.com/office/drawing/2012/chart" uri="{CE6537A1-D6FC-4f65-9D91-7224C49458BB}">
                  <c15:layout/>
                </c:ext>
              </c:extLst>
            </c:dLbl>
            <c:dLbl>
              <c:idx val="8"/>
              <c:layout>
                <c:manualLayout>
                  <c:x val="0"/>
                  <c:y val="-0.0597014925373135"/>
                </c:manualLayout>
              </c:layout>
              <c:tx>
                <c:rich>
                  <a:bodyPr rot="0" spcFirstLastPara="1"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r>
                      <a:rPr lang="en-US" altLang="zh-CN"/>
                      <a:t>74</a:t>
                    </a:r>
                    <a:endParaRPr lang="en-US" altLang="zh-CN"/>
                  </a:p>
                </c:rich>
              </c:tx>
              <c:dLblPos val="ctr"/>
              <c:showLegendKey val="0"/>
              <c:showVal val="1"/>
              <c:showCatName val="0"/>
              <c:showSerName val="0"/>
              <c:showPercent val="0"/>
              <c:showBubbleSize val="0"/>
              <c:extLst>
                <c:ext xmlns:c15="http://schemas.microsoft.com/office/drawing/2012/chart" uri="{CE6537A1-D6FC-4f65-9D91-7224C49458BB}">
                  <c15:layout/>
                </c:ext>
              </c:extLst>
            </c:dLbl>
            <c:dLbl>
              <c:idx val="9"/>
              <c:layout>
                <c:manualLayout>
                  <c:x val="-0.00240789790512882"/>
                  <c:y val="-0.0488466757123474"/>
                </c:manualLayout>
              </c:layout>
              <c:tx>
                <c:rich>
                  <a:bodyPr rot="0" spcFirstLastPara="1"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r>
                      <a:rPr lang="en-US" altLang="zh-CN"/>
                      <a:t>28</a:t>
                    </a:r>
                    <a:endParaRPr lang="en-US" altLang="zh-CN"/>
                  </a:p>
                </c:rich>
              </c:tx>
              <c:dLblPos val="ctr"/>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Sheet1!$B$1:$K$1</c:f>
              <c:strCache>
                <c:ptCount val="10"/>
                <c:pt idx="0">
                  <c:v>海南</c:v>
                </c:pt>
                <c:pt idx="1">
                  <c:v>贵州</c:v>
                </c:pt>
                <c:pt idx="2">
                  <c:v>山东</c:v>
                </c:pt>
                <c:pt idx="3">
                  <c:v>合肥</c:v>
                </c:pt>
                <c:pt idx="4">
                  <c:v>青岛</c:v>
                </c:pt>
                <c:pt idx="5">
                  <c:v>东湖</c:v>
                </c:pt>
                <c:pt idx="6">
                  <c:v>郑州</c:v>
                </c:pt>
                <c:pt idx="7">
                  <c:v>华东</c:v>
                </c:pt>
                <c:pt idx="8">
                  <c:v>杭州</c:v>
                </c:pt>
                <c:pt idx="9">
                  <c:v>福建</c:v>
                </c:pt>
              </c:strCache>
            </c:strRef>
          </c:cat>
          <c:val>
            <c:numRef>
              <c:f>Sheet1!$B$7:$K$7</c:f>
              <c:numCache>
                <c:formatCode>General</c:formatCode>
                <c:ptCount val="10"/>
                <c:pt idx="0">
                  <c:v>63</c:v>
                </c:pt>
                <c:pt idx="1">
                  <c:v>84</c:v>
                </c:pt>
                <c:pt idx="2">
                  <c:v>165</c:v>
                </c:pt>
                <c:pt idx="3">
                  <c:v>82</c:v>
                </c:pt>
                <c:pt idx="4">
                  <c:v>98</c:v>
                </c:pt>
                <c:pt idx="6">
                  <c:v>9</c:v>
                </c:pt>
                <c:pt idx="7">
                  <c:v>1</c:v>
                </c:pt>
                <c:pt idx="8">
                  <c:v>17</c:v>
                </c:pt>
                <c:pt idx="9">
                  <c:v>3</c:v>
                </c:pt>
              </c:numCache>
            </c:numRef>
          </c:val>
        </c:ser>
        <c:dLbls>
          <c:showLegendKey val="0"/>
          <c:showVal val="0"/>
          <c:showCatName val="0"/>
          <c:showSerName val="0"/>
          <c:showPercent val="0"/>
          <c:showBubbleSize val="0"/>
        </c:dLbls>
        <c:gapWidth val="150"/>
        <c:overlap val="100"/>
        <c:axId val="1413192847"/>
        <c:axId val="1413191599"/>
      </c:barChart>
      <c:catAx>
        <c:axId val="14131928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413191599"/>
        <c:crosses val="autoZero"/>
        <c:auto val="1"/>
        <c:lblAlgn val="ctr"/>
        <c:lblOffset val="100"/>
        <c:noMultiLvlLbl val="0"/>
      </c:catAx>
      <c:valAx>
        <c:axId val="1413191599"/>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413192847"/>
        <c:crosses val="autoZero"/>
        <c:crossBetween val="between"/>
      </c:valAx>
      <c:spPr>
        <a:noFill/>
        <a:ln>
          <a:noFill/>
        </a:ln>
        <a:effectLst/>
      </c:spPr>
    </c:plotArea>
    <c:legend>
      <c:legendPos val="b"/>
      <c:layout>
        <c:manualLayout>
          <c:xMode val="edge"/>
          <c:yMode val="edge"/>
          <c:x val="0"/>
          <c:y val="0.877461787864752"/>
          <c:w val="0.997832891885384"/>
          <c:h val="0.0977704102776627"/>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1050">
          <a:latin typeface="仿宋_GB2312" panose="02010609030101010101" pitchFamily="3" charset="-122"/>
          <a:ea typeface="仿宋_GB2312" panose="02010609030101010101" pitchFamily="3"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00121342886557672"/>
          <c:y val="0.0495356037151703"/>
          <c:w val="0.999878657113442"/>
          <c:h val="0.685629308442982"/>
        </c:manualLayout>
      </c:layout>
      <c:barChart>
        <c:barDir val="col"/>
        <c:grouping val="clustered"/>
        <c:varyColors val="0"/>
        <c:ser>
          <c:idx val="0"/>
          <c:order val="0"/>
          <c:tx>
            <c:strRef>
              <c:f>Sheet1!$B$1</c:f>
              <c:strCache>
                <c:ptCount val="1"/>
                <c:pt idx="0">
                  <c:v>系列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1050" b="0" i="0" u="none" strike="noStrike" kern="1200" baseline="0">
                    <a:solidFill>
                      <a:schemeClr val="tx1">
                        <a:lumMod val="75000"/>
                        <a:lumOff val="25000"/>
                      </a:schemeClr>
                    </a:solidFill>
                    <a:latin typeface="仿宋_GB2312" panose="02010609030101010101" pitchFamily="3" charset="-122"/>
                    <a:ea typeface="仿宋_GB2312" panose="02010609030101010101" pitchFamily="3" charset="-122"/>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Sheet1!$A$2:$A$10</c:f>
              <c:strCache>
                <c:ptCount val="9"/>
                <c:pt idx="0">
                  <c:v>数据
接口</c:v>
                </c:pt>
                <c:pt idx="1">
                  <c:v>数据
应用</c:v>
                </c:pt>
                <c:pt idx="2">
                  <c:v>通用
软件</c:v>
                </c:pt>
                <c:pt idx="3">
                  <c:v>解决
方案</c:v>
                </c:pt>
                <c:pt idx="4">
                  <c:v>数据
定制</c:v>
                </c:pt>
                <c:pt idx="5">
                  <c:v>算法
模型</c:v>
                </c:pt>
                <c:pt idx="6">
                  <c:v>数据集</c:v>
                </c:pt>
                <c:pt idx="7">
                  <c:v>数据
报告</c:v>
                </c:pt>
                <c:pt idx="8">
                  <c:v>其他</c:v>
                </c:pt>
              </c:strCache>
            </c:strRef>
          </c:cat>
          <c:val>
            <c:numRef>
              <c:f>Sheet1!$B$2:$B$10</c:f>
              <c:numCache>
                <c:formatCode>General</c:formatCode>
                <c:ptCount val="9"/>
                <c:pt idx="0">
                  <c:v>6603</c:v>
                </c:pt>
                <c:pt idx="1">
                  <c:v>554</c:v>
                </c:pt>
                <c:pt idx="2">
                  <c:v>195</c:v>
                </c:pt>
                <c:pt idx="3">
                  <c:v>53</c:v>
                </c:pt>
                <c:pt idx="4">
                  <c:v>35</c:v>
                </c:pt>
                <c:pt idx="5">
                  <c:v>90</c:v>
                </c:pt>
                <c:pt idx="6">
                  <c:v>70</c:v>
                </c:pt>
                <c:pt idx="7">
                  <c:v>51</c:v>
                </c:pt>
                <c:pt idx="8">
                  <c:v>126</c:v>
                </c:pt>
              </c:numCache>
            </c:numRef>
          </c:val>
        </c:ser>
        <c:dLbls>
          <c:showLegendKey val="0"/>
          <c:showVal val="0"/>
          <c:showCatName val="0"/>
          <c:showSerName val="0"/>
          <c:showPercent val="0"/>
          <c:showBubbleSize val="0"/>
        </c:dLbls>
        <c:gapWidth val="219"/>
        <c:overlap val="-27"/>
        <c:axId val="1420444735"/>
        <c:axId val="1420446815"/>
      </c:barChart>
      <c:catAx>
        <c:axId val="14204447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05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420446815"/>
        <c:crosses val="autoZero"/>
        <c:auto val="1"/>
        <c:lblAlgn val="ctr"/>
        <c:lblOffset val="100"/>
        <c:noMultiLvlLbl val="0"/>
      </c:catAx>
      <c:valAx>
        <c:axId val="1420446815"/>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a:lstStyle/>
          <a:p>
            <a:pPr>
              <a:defRPr lang="zh-CN" sz="1050" b="0" i="0" u="none" strike="noStrike" kern="1200" baseline="0">
                <a:solidFill>
                  <a:schemeClr val="tx1">
                    <a:lumMod val="65000"/>
                    <a:lumOff val="35000"/>
                  </a:schemeClr>
                </a:solidFill>
                <a:latin typeface="仿宋_GB2312" panose="02010609030101010101" pitchFamily="3" charset="-122"/>
                <a:ea typeface="仿宋_GB2312" panose="02010609030101010101" pitchFamily="3" charset="-122"/>
                <a:cs typeface="+mn-cs"/>
              </a:defRPr>
            </a:pPr>
          </a:p>
        </c:txPr>
        <c:crossAx val="1420444735"/>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lang="zh-CN" sz="1050">
          <a:latin typeface="仿宋_GB2312" panose="02010609030101010101" pitchFamily="3" charset="-122"/>
          <a:ea typeface="仿宋_GB2312" panose="02010609030101010101" pitchFamily="3" charset="-122"/>
        </a:defRPr>
      </a:pPr>
    </a:p>
  </c:txPr>
  <c:externalData r:id="rId1">
    <c:autoUpdate val="0"/>
  </c:externalData>
  <c:userShapes r:id="rId2"/>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0.13322</cdr:x>
      <cdr:y>0.44239</cdr:y>
    </cdr:from>
    <cdr:to>
      <cdr:x>0.52981</cdr:x>
      <cdr:y>0.51108</cdr:y>
    </cdr:to>
    <cdr:sp>
      <cdr:nvSpPr>
        <cdr:cNvPr id="2" name="左大括号 1"/>
        <cdr:cNvSpPr/>
      </cdr:nvSpPr>
      <cdr:spPr xmlns:a="http://schemas.openxmlformats.org/drawingml/2006/main">
        <a:xfrm xmlns:a="http://schemas.openxmlformats.org/drawingml/2006/main" rot="5400000">
          <a:off x="1189911" y="125722"/>
          <a:ext cx="126101" cy="1498924"/>
        </a:xfrm>
        <a:prstGeom xmlns:a="http://schemas.openxmlformats.org/drawingml/2006/main" prst="leftBrac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txBody xmlns:a="http://schemas.openxmlformats.org/drawingml/2006/main">
        <a:bodyPr vertOverflow="clip" vert="horz" wrap="none" lIns="45720" tIns="45720" rIns="45720" bIns="45720" anchor="t" anchorCtr="0">
          <a:normAutofit/>
        </a:bodyPr>
        <a:lstStyle/>
        <a:p>
          <a:endParaRPr lang="zh-CN"/>
        </a:p>
      </cdr:txBody>
    </cdr:sp>
  </cdr:relSizeAnchor>
  <cdr:relSizeAnchor xmlns:cdr="http://schemas.openxmlformats.org/drawingml/2006/chartDrawing">
    <cdr:from>
      <cdr:x>0.15772</cdr:x>
      <cdr:y>0.28532</cdr:y>
    </cdr:from>
    <cdr:to>
      <cdr:x>0.48846</cdr:x>
      <cdr:y>0.40224</cdr:y>
    </cdr:to>
    <cdr:sp>
      <cdr:nvSpPr>
        <cdr:cNvPr id="3" name="矩形 2"/>
        <cdr:cNvSpPr/>
      </cdr:nvSpPr>
      <cdr:spPr xmlns:a="http://schemas.openxmlformats.org/drawingml/2006/main">
        <a:xfrm xmlns:a="http://schemas.openxmlformats.org/drawingml/2006/main">
          <a:off x="596097" y="523786"/>
          <a:ext cx="1250066" cy="214640"/>
        </a:xfrm>
        <a:prstGeom xmlns:a="http://schemas.openxmlformats.org/drawingml/2006/main" prst="rect">
          <a:avLst/>
        </a:prstGeom>
      </cdr:spPr>
      <cdr:txBody xmlns:a="http://schemas.openxmlformats.org/drawingml/2006/main">
        <a:bodyPr vertOverflow="clip" vert="horz" wrap="square" lIns="45720" tIns="45720" rIns="45720" bIns="45720" rtlCol="0" anchor="t" anchorCtr="0">
          <a:normAutofit/>
        </a:bodyPr>
        <a:lstStyle/>
        <a:p>
          <a:pPr algn="ctr"/>
          <a:r>
            <a:rPr lang="zh-CN" altLang="en-US" sz="1050">
              <a:latin typeface="仿宋_GB2312" panose="02010609030101010101" pitchFamily="3" charset="-122"/>
              <a:ea typeface="仿宋_GB2312" panose="02010609030101010101" pitchFamily="3" charset="-122"/>
            </a:rPr>
            <a:t>数据服务：</a:t>
          </a:r>
          <a:r>
            <a:rPr lang="en-US" altLang="zh-CN" sz="1050">
              <a:latin typeface="仿宋_GB2312" panose="02010609030101010101" pitchFamily="3" charset="-122"/>
              <a:ea typeface="仿宋_GB2312" panose="02010609030101010101" pitchFamily="3" charset="-122"/>
            </a:rPr>
            <a:t>837</a:t>
          </a:r>
          <a:endParaRPr lang="zh-CN" altLang="en-US" sz="1050">
            <a:latin typeface="仿宋_GB2312" panose="02010609030101010101" pitchFamily="3" charset="-122"/>
            <a:ea typeface="仿宋_GB2312" panose="02010609030101010101" pitchFamily="3" charset="-122"/>
          </a:endParaRPr>
        </a:p>
      </cdr:txBody>
    </cdr:sp>
  </cdr:relSizeAnchor>
</c:userShap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491</Words>
  <Characters>2805</Characters>
  <Lines>23</Lines>
  <Paragraphs>6</Paragraphs>
  <TotalTime>9</TotalTime>
  <ScaleCrop>false</ScaleCrop>
  <LinksUpToDate>false</LinksUpToDate>
  <CharactersWithSpaces>3290</CharactersWithSpaces>
  <Application>WPS Office_11.1.0.12970_F1E327BC-269C-435d-A152-05C5408002CA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2023-02-06T00:50:00Z</dcterms:created>
  <dc:creator>jiang jialin</dc:creator>
  <cp:lastModifiedBy>Rev!s</cp:lastModifiedBy>
  <dcterms:modified xsi:type="dcterms:W3CDTF">2023-02-06T07:48:12Z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2023-01-18T12:32:57Z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14f5ec35-8dd1-4030-ad77-46263befdd89</vt:lpwstr>
  </property>
  <property fmtid="{D5CDD505-2E9C-101B-9397-08002B2CF9AE}" pid="7" name="MSIP_Label_defa4170-0d19-0005-0004-bc88714345d2_ActionId">
    <vt:lpwstr>bab01577-7ba3-4410-affd-f9c03fa2d7f2</vt:lpwstr>
  </property>
  <property fmtid="{D5CDD505-2E9C-101B-9397-08002B2CF9AE}" pid="8" name="MSIP_Label_defa4170-0d19-0005-0004-bc88714345d2_ContentBits">
    <vt:lpwstr>0</vt:lpwstr>
  </property>
  <property fmtid="{D5CDD505-2E9C-101B-9397-08002B2CF9AE}" pid="9" name="KSOProductBuildVer">
    <vt:lpwstr>2052-11.1.0.12970</vt:lpwstr>
  </property>
  <property fmtid="{D5CDD505-2E9C-101B-9397-08002B2CF9AE}" pid="10" name="ICV">
    <vt:lpwstr>AC6876568DE74CDB91F6ACF1DA8E311F</vt:lpwstr>
  </property>
</Properties>
</file>