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295C1" w14:textId="01D7B9A4" w:rsidR="0098154E" w:rsidRPr="00563F80" w:rsidRDefault="00000000">
      <w:pPr>
        <w:spacing w:afterLines="100" w:after="312" w:line="360" w:lineRule="auto"/>
        <w:jc w:val="center"/>
        <w:rPr>
          <w:rFonts w:ascii="宋体" w:eastAsia="宋体" w:hAnsi="宋体" w:hint="eastAsia"/>
          <w:b/>
          <w:bCs/>
          <w:sz w:val="36"/>
          <w:szCs w:val="36"/>
          <w:highlight w:val="yellow"/>
        </w:rPr>
      </w:pPr>
      <w:r w:rsidRPr="00563F80">
        <w:rPr>
          <w:rFonts w:ascii="宋体" w:eastAsia="宋体" w:hAnsi="宋体" w:hint="eastAsia"/>
          <w:b/>
          <w:bCs/>
          <w:sz w:val="36"/>
          <w:szCs w:val="36"/>
        </w:rPr>
        <w:t>把握窗口期机遇，坚定做大做强产数业务</w:t>
      </w:r>
    </w:p>
    <w:p w14:paraId="7DA7D5DD" w14:textId="68DCC6E9" w:rsidR="0098154E" w:rsidRDefault="00000000">
      <w:pPr>
        <w:spacing w:afterLines="100" w:after="312" w:line="360" w:lineRule="auto"/>
        <w:ind w:firstLineChars="236" w:firstLine="566"/>
        <w:rPr>
          <w:rFonts w:ascii="宋体" w:eastAsia="宋体" w:hAnsi="宋体" w:hint="eastAsia"/>
          <w:color w:val="000000" w:themeColor="text1"/>
          <w:sz w:val="24"/>
          <w:szCs w:val="24"/>
        </w:rPr>
      </w:pPr>
      <w:r>
        <w:rPr>
          <w:rFonts w:ascii="宋体" w:eastAsia="宋体" w:hAnsi="宋体" w:hint="eastAsia"/>
          <w:color w:val="000000" w:themeColor="text1"/>
          <w:sz w:val="24"/>
          <w:szCs w:val="24"/>
        </w:rPr>
        <w:t>近年来，产数业务成为三大运营商收入增长的主要驱动力，</w:t>
      </w:r>
      <w:r w:rsidRPr="00563F80">
        <w:rPr>
          <w:rFonts w:ascii="宋体" w:eastAsia="宋体" w:hAnsi="宋体" w:hint="eastAsia"/>
          <w:color w:val="000000" w:themeColor="text1"/>
          <w:sz w:val="24"/>
          <w:szCs w:val="24"/>
        </w:rPr>
        <w:t>增量收入贡献高达</w:t>
      </w:r>
      <w:r w:rsidR="00AB2ACE" w:rsidRPr="00563F80">
        <w:rPr>
          <w:rFonts w:ascii="宋体" w:eastAsia="宋体" w:hAnsi="宋体" w:hint="eastAsia"/>
          <w:color w:val="000000" w:themeColor="text1"/>
          <w:sz w:val="24"/>
          <w:szCs w:val="24"/>
        </w:rPr>
        <w:t>60</w:t>
      </w:r>
      <w:r w:rsidRPr="00563F80">
        <w:rPr>
          <w:rFonts w:ascii="宋体" w:eastAsia="宋体" w:hAnsi="宋体" w:hint="eastAsia"/>
          <w:color w:val="000000" w:themeColor="text1"/>
          <w:sz w:val="24"/>
          <w:szCs w:val="24"/>
        </w:rPr>
        <w:t>%-80%。2</w:t>
      </w:r>
      <w:r>
        <w:rPr>
          <w:rFonts w:ascii="宋体" w:eastAsia="宋体" w:hAnsi="宋体" w:hint="eastAsia"/>
          <w:color w:val="000000" w:themeColor="text1"/>
          <w:sz w:val="24"/>
          <w:szCs w:val="24"/>
        </w:rPr>
        <w:t>4年</w:t>
      </w:r>
      <w:r w:rsidR="00ED1A7B">
        <w:rPr>
          <w:rFonts w:ascii="宋体" w:eastAsia="宋体" w:hAnsi="宋体" w:hint="eastAsia"/>
          <w:color w:val="000000" w:themeColor="text1"/>
          <w:sz w:val="24"/>
          <w:szCs w:val="24"/>
        </w:rPr>
        <w:t>前</w:t>
      </w:r>
      <w:r>
        <w:rPr>
          <w:rFonts w:ascii="宋体" w:eastAsia="宋体" w:hAnsi="宋体" w:hint="eastAsia"/>
          <w:color w:val="000000" w:themeColor="text1"/>
          <w:sz w:val="24"/>
          <w:szCs w:val="24"/>
        </w:rPr>
        <w:t>三季度，中电信产数业务增</w:t>
      </w:r>
      <w:r w:rsidR="00ED6D13">
        <w:rPr>
          <w:rFonts w:ascii="宋体" w:eastAsia="宋体" w:hAnsi="宋体" w:hint="eastAsia"/>
          <w:color w:val="000000" w:themeColor="text1"/>
          <w:sz w:val="24"/>
          <w:szCs w:val="24"/>
        </w:rPr>
        <w:t>速</w:t>
      </w:r>
      <w:r>
        <w:rPr>
          <w:rFonts w:ascii="宋体" w:eastAsia="宋体" w:hAnsi="宋体" w:hint="eastAsia"/>
          <w:color w:val="000000" w:themeColor="text1"/>
          <w:sz w:val="24"/>
          <w:szCs w:val="24"/>
        </w:rPr>
        <w:t>陡然下降，失去</w:t>
      </w:r>
      <w:r w:rsidR="00ED6D13">
        <w:rPr>
          <w:rFonts w:ascii="宋体" w:eastAsia="宋体" w:hAnsi="宋体" w:hint="eastAsia"/>
          <w:color w:val="000000" w:themeColor="text1"/>
          <w:sz w:val="24"/>
          <w:szCs w:val="24"/>
        </w:rPr>
        <w:t>拉收关键</w:t>
      </w:r>
      <w:r>
        <w:rPr>
          <w:rFonts w:ascii="宋体" w:eastAsia="宋体" w:hAnsi="宋体" w:hint="eastAsia"/>
          <w:color w:val="000000" w:themeColor="text1"/>
          <w:sz w:val="24"/>
          <w:szCs w:val="24"/>
        </w:rPr>
        <w:t>动能，对保持大盘收入增幅带来极大压力。分析发现，产数发展难题除经济下行的客观原因外，</w:t>
      </w:r>
      <w:r w:rsidR="00803F27">
        <w:rPr>
          <w:rFonts w:ascii="宋体" w:eastAsia="宋体" w:hAnsi="宋体" w:hint="eastAsia"/>
          <w:color w:val="000000" w:themeColor="text1"/>
          <w:sz w:val="24"/>
          <w:szCs w:val="24"/>
        </w:rPr>
        <w:t>也</w:t>
      </w:r>
      <w:r>
        <w:rPr>
          <w:rFonts w:ascii="宋体" w:eastAsia="宋体" w:hAnsi="宋体" w:hint="eastAsia"/>
          <w:color w:val="000000" w:themeColor="text1"/>
          <w:sz w:val="24"/>
          <w:szCs w:val="24"/>
        </w:rPr>
        <w:t>暴露出传统业务优势渐失、新型能力提升不足、自身发展政策制约过多等问题。建议在政策宽松和市场预期增强的</w:t>
      </w:r>
      <w:r w:rsidR="003E5164">
        <w:rPr>
          <w:rFonts w:ascii="宋体" w:eastAsia="宋体" w:hAnsi="宋体" w:hint="eastAsia"/>
          <w:color w:val="000000" w:themeColor="text1"/>
          <w:sz w:val="24"/>
          <w:szCs w:val="24"/>
        </w:rPr>
        <w:t>窗口</w:t>
      </w:r>
      <w:r>
        <w:rPr>
          <w:rFonts w:ascii="宋体" w:eastAsia="宋体" w:hAnsi="宋体" w:hint="eastAsia"/>
          <w:color w:val="000000" w:themeColor="text1"/>
          <w:sz w:val="24"/>
          <w:szCs w:val="24"/>
        </w:rPr>
        <w:t>机遇</w:t>
      </w:r>
      <w:r w:rsidR="003E5164">
        <w:rPr>
          <w:rFonts w:ascii="宋体" w:eastAsia="宋体" w:hAnsi="宋体" w:hint="eastAsia"/>
          <w:color w:val="000000" w:themeColor="text1"/>
          <w:sz w:val="24"/>
          <w:szCs w:val="24"/>
        </w:rPr>
        <w:t>期</w:t>
      </w:r>
      <w:r>
        <w:rPr>
          <w:rFonts w:ascii="宋体" w:eastAsia="宋体" w:hAnsi="宋体" w:hint="eastAsia"/>
          <w:color w:val="000000" w:themeColor="text1"/>
          <w:sz w:val="24"/>
          <w:szCs w:val="24"/>
        </w:rPr>
        <w:t>，通过内部政策适度松绑、推动能力持续转型增强、</w:t>
      </w:r>
      <w:r w:rsidR="00614CBF">
        <w:rPr>
          <w:rFonts w:ascii="宋体" w:eastAsia="宋体" w:hAnsi="宋体" w:hint="eastAsia"/>
          <w:color w:val="000000" w:themeColor="text1"/>
          <w:sz w:val="24"/>
          <w:szCs w:val="24"/>
        </w:rPr>
        <w:t>引导</w:t>
      </w:r>
      <w:r>
        <w:rPr>
          <w:rFonts w:ascii="宋体" w:eastAsia="宋体" w:hAnsi="宋体" w:hint="eastAsia"/>
          <w:color w:val="000000" w:themeColor="text1"/>
          <w:sz w:val="24"/>
          <w:szCs w:val="24"/>
        </w:rPr>
        <w:t>传统</w:t>
      </w:r>
      <w:r w:rsidR="00005A57">
        <w:rPr>
          <w:rFonts w:ascii="宋体" w:eastAsia="宋体" w:hAnsi="宋体" w:hint="eastAsia"/>
          <w:color w:val="000000" w:themeColor="text1"/>
          <w:sz w:val="24"/>
          <w:szCs w:val="24"/>
        </w:rPr>
        <w:t>产数</w:t>
      </w:r>
      <w:r w:rsidR="00084F9D">
        <w:rPr>
          <w:rFonts w:ascii="宋体" w:eastAsia="宋体" w:hAnsi="宋体" w:hint="eastAsia"/>
          <w:color w:val="000000" w:themeColor="text1"/>
          <w:sz w:val="24"/>
          <w:szCs w:val="24"/>
        </w:rPr>
        <w:t>业务</w:t>
      </w:r>
      <w:r w:rsidR="00161DA8" w:rsidRPr="00161DA8">
        <w:rPr>
          <w:rFonts w:ascii="宋体" w:eastAsia="宋体" w:hAnsi="宋体" w:hint="eastAsia"/>
          <w:color w:val="000000" w:themeColor="text1"/>
          <w:sz w:val="24"/>
          <w:szCs w:val="24"/>
        </w:rPr>
        <w:t>有序竞争和良性</w:t>
      </w:r>
      <w:r>
        <w:rPr>
          <w:rFonts w:ascii="宋体" w:eastAsia="宋体" w:hAnsi="宋体" w:hint="eastAsia"/>
          <w:color w:val="000000" w:themeColor="text1"/>
          <w:sz w:val="24"/>
          <w:szCs w:val="24"/>
        </w:rPr>
        <w:t>发展等措施实现产数份额有效提升，为企业营收稳健增长提供坚实基础。</w:t>
      </w:r>
    </w:p>
    <w:p w14:paraId="2AC48DCD" w14:textId="77777777" w:rsidR="0098154E" w:rsidRDefault="00000000">
      <w:pPr>
        <w:pStyle w:val="12"/>
        <w:spacing w:after="156"/>
        <w:rPr>
          <w:rFonts w:hint="eastAsia"/>
        </w:rPr>
      </w:pPr>
      <w:r>
        <w:rPr>
          <w:rFonts w:hint="eastAsia"/>
        </w:rPr>
        <w:t>一、中电信产数业务陡然失速，业务发展面临挑战</w:t>
      </w:r>
    </w:p>
    <w:p w14:paraId="520DAFE0" w14:textId="7A30A889" w:rsidR="0098154E" w:rsidRDefault="00000000">
      <w:pPr>
        <w:pStyle w:val="2"/>
        <w:rPr>
          <w:rFonts w:ascii="宋体" w:eastAsia="宋体" w:hAnsi="宋体" w:hint="eastAsia"/>
          <w:b w:val="0"/>
          <w:bCs w:val="0"/>
          <w:sz w:val="24"/>
          <w:szCs w:val="24"/>
        </w:rPr>
      </w:pPr>
      <w:r>
        <w:rPr>
          <w:rFonts w:ascii="宋体" w:eastAsia="宋体" w:hAnsi="宋体" w:hint="eastAsia"/>
          <w:sz w:val="24"/>
          <w:szCs w:val="24"/>
        </w:rPr>
        <w:t>（一）产数整体增速明显下降，</w:t>
      </w:r>
      <w:r w:rsidR="00803F27">
        <w:rPr>
          <w:rFonts w:ascii="宋体" w:eastAsia="宋体" w:hAnsi="宋体" w:hint="eastAsia"/>
          <w:sz w:val="24"/>
          <w:szCs w:val="24"/>
        </w:rPr>
        <w:t>拉</w:t>
      </w:r>
      <w:r w:rsidR="008845B1">
        <w:rPr>
          <w:rFonts w:ascii="宋体" w:eastAsia="宋体" w:hAnsi="宋体" w:hint="eastAsia"/>
          <w:sz w:val="24"/>
          <w:szCs w:val="24"/>
        </w:rPr>
        <w:t>动收入</w:t>
      </w:r>
      <w:r>
        <w:rPr>
          <w:rFonts w:ascii="宋体" w:eastAsia="宋体" w:hAnsi="宋体" w:hint="eastAsia"/>
          <w:sz w:val="24"/>
          <w:szCs w:val="24"/>
        </w:rPr>
        <w:t>能力</w:t>
      </w:r>
      <w:r w:rsidR="00803F27">
        <w:rPr>
          <w:rFonts w:ascii="宋体" w:eastAsia="宋体" w:hAnsi="宋体" w:hint="eastAsia"/>
          <w:sz w:val="24"/>
          <w:szCs w:val="24"/>
        </w:rPr>
        <w:t>已</w:t>
      </w:r>
      <w:r>
        <w:rPr>
          <w:rFonts w:ascii="宋体" w:eastAsia="宋体" w:hAnsi="宋体" w:hint="eastAsia"/>
          <w:sz w:val="24"/>
          <w:szCs w:val="24"/>
        </w:rPr>
        <w:t>低于基础业务</w:t>
      </w:r>
    </w:p>
    <w:p w14:paraId="72210B8C" w14:textId="77777777" w:rsidR="0098154E" w:rsidRDefault="00000000">
      <w:pPr>
        <w:spacing w:afterLines="50" w:after="156" w:line="360" w:lineRule="auto"/>
        <w:ind w:firstLineChars="177" w:firstLine="425"/>
        <w:rPr>
          <w:rFonts w:ascii="宋体" w:eastAsia="宋体" w:hAnsi="宋体" w:hint="eastAsia"/>
          <w:sz w:val="24"/>
          <w:szCs w:val="24"/>
        </w:rPr>
      </w:pPr>
      <w:r>
        <w:rPr>
          <w:rFonts w:ascii="宋体" w:eastAsia="宋体" w:hAnsi="宋体" w:hint="eastAsia"/>
          <w:sz w:val="24"/>
          <w:szCs w:val="24"/>
        </w:rPr>
        <w:t>2021~2023年，产数业务增速较快，成为营收增长的关键动能，产数累计收入增速均达两位数，对增量收入的贡献保持在50%以上；到2023年，占收比3成的产数业务贡献约7成的增量收入（68.4%）。</w:t>
      </w:r>
    </w:p>
    <w:p w14:paraId="78C4FEA1" w14:textId="02E45B32" w:rsidR="0098154E" w:rsidRDefault="00000000">
      <w:pPr>
        <w:spacing w:line="360" w:lineRule="auto"/>
        <w:ind w:firstLineChars="177" w:firstLine="426"/>
        <w:rPr>
          <w:rFonts w:ascii="宋体" w:eastAsia="宋体" w:hAnsi="宋体" w:hint="eastAsia"/>
          <w:sz w:val="24"/>
          <w:szCs w:val="24"/>
        </w:rPr>
      </w:pPr>
      <w:r>
        <w:rPr>
          <w:rFonts w:ascii="宋体" w:eastAsia="宋体" w:hAnsi="宋体" w:hint="eastAsia"/>
          <w:b/>
          <w:bCs/>
          <w:sz w:val="24"/>
          <w:szCs w:val="24"/>
        </w:rPr>
        <w:t>进入2024年，</w:t>
      </w:r>
      <w:r>
        <w:rPr>
          <w:rFonts w:ascii="宋体" w:eastAsia="宋体" w:hAnsi="宋体" w:hint="eastAsia"/>
          <w:sz w:val="24"/>
          <w:szCs w:val="24"/>
        </w:rPr>
        <w:t>产数业务增速陡然下滑， Q3累计收入增速同比下降9.</w:t>
      </w:r>
      <w:r w:rsidR="00ED6D13">
        <w:rPr>
          <w:rFonts w:ascii="宋体" w:eastAsia="宋体" w:hAnsi="宋体" w:hint="eastAsia"/>
          <w:sz w:val="24"/>
          <w:szCs w:val="24"/>
        </w:rPr>
        <w:t>53PP</w:t>
      </w:r>
      <w:r>
        <w:rPr>
          <w:rFonts w:ascii="宋体" w:eastAsia="宋体" w:hAnsi="宋体" w:hint="eastAsia"/>
          <w:sz w:val="24"/>
          <w:szCs w:val="24"/>
        </w:rPr>
        <w:t>，拉收能力由去年底的4.65%降至1.46%，对总体收入增速（3.57%）的贡献降至40%左右。</w:t>
      </w:r>
    </w:p>
    <w:p w14:paraId="38696199" w14:textId="77777777" w:rsidR="0098154E" w:rsidRDefault="00000000">
      <w:pPr>
        <w:tabs>
          <w:tab w:val="left" w:pos="0"/>
        </w:tabs>
        <w:spacing w:line="360" w:lineRule="auto"/>
        <w:ind w:left="1" w:hanging="1"/>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37D389A9" wp14:editId="37BE82B6">
            <wp:extent cx="4527550" cy="1899920"/>
            <wp:effectExtent l="0" t="0" r="6350" b="5080"/>
            <wp:docPr id="10876313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3135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69048" cy="1917502"/>
                    </a:xfrm>
                    <a:prstGeom prst="rect">
                      <a:avLst/>
                    </a:prstGeom>
                    <a:noFill/>
                  </pic:spPr>
                </pic:pic>
              </a:graphicData>
            </a:graphic>
          </wp:inline>
        </w:drawing>
      </w:r>
    </w:p>
    <w:p w14:paraId="3DD1EED8" w14:textId="0D8B3D1F" w:rsidR="0098154E" w:rsidRDefault="00000000">
      <w:pPr>
        <w:spacing w:line="360" w:lineRule="auto"/>
        <w:jc w:val="center"/>
        <w:rPr>
          <w:rFonts w:ascii="宋体" w:eastAsia="宋体" w:hAnsi="宋体" w:hint="eastAsia"/>
          <w:b/>
          <w:bCs/>
          <w:szCs w:val="21"/>
        </w:rPr>
      </w:pPr>
      <w:r>
        <w:rPr>
          <w:rFonts w:ascii="宋体" w:eastAsia="宋体" w:hAnsi="宋体" w:hint="eastAsia"/>
          <w:b/>
          <w:bCs/>
          <w:szCs w:val="21"/>
        </w:rPr>
        <w:t>图1：产数收入增速及对总收入的拉动趋势图（注：季度累计收入同比）</w:t>
      </w:r>
    </w:p>
    <w:p w14:paraId="39C49A27" w14:textId="31B48B55" w:rsidR="0098154E" w:rsidRDefault="00000000">
      <w:pPr>
        <w:pStyle w:val="2"/>
        <w:spacing w:before="120" w:after="0"/>
        <w:rPr>
          <w:rFonts w:ascii="宋体" w:eastAsia="宋体" w:hAnsi="宋体" w:hint="eastAsia"/>
          <w:sz w:val="24"/>
          <w:szCs w:val="24"/>
        </w:rPr>
      </w:pPr>
      <w:r>
        <w:rPr>
          <w:rFonts w:ascii="宋体" w:eastAsia="宋体" w:hAnsi="宋体" w:hint="eastAsia"/>
          <w:sz w:val="24"/>
          <w:szCs w:val="24"/>
        </w:rPr>
        <w:t>（二）重点产数业务发展不及预期</w:t>
      </w:r>
    </w:p>
    <w:p w14:paraId="465AA129" w14:textId="77777777" w:rsidR="0098154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从产数业务大类上看，组网专线收入增速从2023年的5.6%下降至2024年三季度的2.02%，增长低迷；更严重的是，被寄予厚望且收入占比最高的云及平</w:t>
      </w:r>
      <w:r>
        <w:rPr>
          <w:rFonts w:ascii="宋体" w:eastAsia="宋体" w:hAnsi="宋体" w:hint="eastAsia"/>
          <w:sz w:val="24"/>
          <w:szCs w:val="24"/>
        </w:rPr>
        <w:lastRenderedPageBreak/>
        <w:t>台业务增速高位跳水，增速从37.65%陡降至6.90%；IDC业务虽有触底回升的倾向，但增速仅2.35%，远低于我国行业增速（25%</w:t>
      </w:r>
      <w:r>
        <w:rPr>
          <w:rStyle w:val="af"/>
          <w:rFonts w:ascii="宋体" w:eastAsia="宋体" w:hAnsi="宋体" w:hint="eastAsia"/>
          <w:sz w:val="24"/>
          <w:szCs w:val="24"/>
        </w:rPr>
        <w:footnoteReference w:id="1"/>
      </w:r>
      <w:r>
        <w:rPr>
          <w:rFonts w:ascii="宋体" w:eastAsia="宋体" w:hAnsi="宋体" w:hint="eastAsia"/>
          <w:sz w:val="24"/>
          <w:szCs w:val="24"/>
        </w:rPr>
        <w:t>）。</w:t>
      </w:r>
    </w:p>
    <w:p w14:paraId="1DE57751" w14:textId="0012CEAF" w:rsidR="0098154E" w:rsidRDefault="00000000">
      <w:pPr>
        <w:spacing w:line="360" w:lineRule="auto"/>
        <w:jc w:val="center"/>
        <w:rPr>
          <w:rFonts w:ascii="宋体" w:eastAsia="宋体" w:hAnsi="宋体" w:hint="eastAsia"/>
          <w:b/>
          <w:bCs/>
          <w:szCs w:val="21"/>
        </w:rPr>
      </w:pPr>
      <w:r>
        <w:rPr>
          <w:rFonts w:ascii="宋体" w:eastAsia="宋体" w:hAnsi="宋体" w:hint="eastAsia"/>
          <w:b/>
          <w:bCs/>
          <w:szCs w:val="21"/>
        </w:rPr>
        <w:t>表1：核心产数业务增速对比</w:t>
      </w:r>
    </w:p>
    <w:p w14:paraId="2451E372" w14:textId="51208B1A" w:rsidR="00803F27" w:rsidRDefault="00803F27" w:rsidP="00144F5E">
      <w:pPr>
        <w:spacing w:line="360" w:lineRule="auto"/>
        <w:jc w:val="center"/>
        <w:rPr>
          <w:rFonts w:ascii="宋体" w:eastAsia="宋体" w:hAnsi="宋体" w:hint="eastAsia"/>
          <w:b/>
          <w:bCs/>
          <w:szCs w:val="21"/>
        </w:rPr>
      </w:pPr>
      <w:r w:rsidRPr="00803F27">
        <w:rPr>
          <w:rFonts w:hint="eastAsia"/>
          <w:noProof/>
        </w:rPr>
        <w:drawing>
          <wp:inline distT="0" distB="0" distL="0" distR="0" wp14:anchorId="18640CB7" wp14:editId="76EA2938">
            <wp:extent cx="5296278" cy="1430020"/>
            <wp:effectExtent l="0" t="0" r="0" b="0"/>
            <wp:docPr id="10759836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6314" t="35976" b="5337"/>
                    <a:stretch/>
                  </pic:blipFill>
                  <pic:spPr bwMode="auto">
                    <a:xfrm>
                      <a:off x="0" y="0"/>
                      <a:ext cx="5341635" cy="1442267"/>
                    </a:xfrm>
                    <a:prstGeom prst="rect">
                      <a:avLst/>
                    </a:prstGeom>
                    <a:noFill/>
                    <a:ln>
                      <a:noFill/>
                    </a:ln>
                    <a:extLst>
                      <a:ext uri="{53640926-AAD7-44D8-BBD7-CCE9431645EC}">
                        <a14:shadowObscured xmlns:a14="http://schemas.microsoft.com/office/drawing/2010/main"/>
                      </a:ext>
                    </a:extLst>
                  </pic:spPr>
                </pic:pic>
              </a:graphicData>
            </a:graphic>
          </wp:inline>
        </w:drawing>
      </w:r>
    </w:p>
    <w:p w14:paraId="4B79EC86" w14:textId="77777777" w:rsidR="0098154E" w:rsidRDefault="00000000">
      <w:pPr>
        <w:pStyle w:val="2"/>
        <w:spacing w:before="120" w:after="0"/>
        <w:rPr>
          <w:rFonts w:ascii="宋体" w:eastAsia="宋体" w:hAnsi="宋体" w:hint="eastAsia"/>
          <w:sz w:val="24"/>
          <w:szCs w:val="24"/>
        </w:rPr>
      </w:pPr>
      <w:r>
        <w:rPr>
          <w:rFonts w:ascii="宋体" w:eastAsia="宋体" w:hAnsi="宋体" w:hint="eastAsia"/>
          <w:sz w:val="24"/>
          <w:szCs w:val="24"/>
        </w:rPr>
        <w:t>（三）省公司产数增速全面下滑，较多省份出现负增长</w:t>
      </w:r>
    </w:p>
    <w:p w14:paraId="258E970B" w14:textId="10848227" w:rsidR="0098154E" w:rsidRDefault="00000000" w:rsidP="004C757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截至24年三季度，</w:t>
      </w:r>
      <w:r w:rsidR="00FA70A1">
        <w:rPr>
          <w:rFonts w:ascii="宋体" w:eastAsia="宋体" w:hAnsi="宋体" w:hint="eastAsia"/>
          <w:sz w:val="24"/>
          <w:szCs w:val="24"/>
        </w:rPr>
        <w:t>集团产数增速从14.41%下降至4.89%，其中南方21省从17.25%下降至7.21%，北方10省从17.62%下降至</w:t>
      </w:r>
      <w:r w:rsidR="00FA70A1">
        <w:rPr>
          <w:rFonts w:ascii="宋体" w:eastAsia="宋体" w:hAnsi="宋体" w:hint="eastAsia"/>
          <w:b/>
          <w:bCs/>
          <w:sz w:val="24"/>
          <w:szCs w:val="24"/>
        </w:rPr>
        <w:t>-</w:t>
      </w:r>
      <w:r w:rsidR="00FA70A1">
        <w:rPr>
          <w:rFonts w:ascii="宋体" w:eastAsia="宋体" w:hAnsi="宋体" w:hint="eastAsia"/>
          <w:sz w:val="24"/>
          <w:szCs w:val="24"/>
        </w:rPr>
        <w:t>1.41%。</w:t>
      </w:r>
      <w:r>
        <w:rPr>
          <w:rFonts w:ascii="宋体" w:eastAsia="宋体" w:hAnsi="宋体" w:hint="eastAsia"/>
          <w:sz w:val="24"/>
          <w:szCs w:val="24"/>
        </w:rPr>
        <w:t>除宁夏、西藏、内蒙古、河北外，其它省分公司产数收入增速均出现</w:t>
      </w:r>
      <w:r w:rsidR="00FA70A1">
        <w:rPr>
          <w:rFonts w:ascii="宋体" w:eastAsia="宋体" w:hAnsi="宋体" w:hint="eastAsia"/>
          <w:sz w:val="24"/>
          <w:szCs w:val="24"/>
        </w:rPr>
        <w:t>同比</w:t>
      </w:r>
      <w:r>
        <w:rPr>
          <w:rFonts w:ascii="宋体" w:eastAsia="宋体" w:hAnsi="宋体" w:hint="eastAsia"/>
          <w:sz w:val="24"/>
          <w:szCs w:val="24"/>
        </w:rPr>
        <w:t>下降，</w:t>
      </w:r>
      <w:r w:rsidR="00FA70A1">
        <w:rPr>
          <w:rFonts w:ascii="宋体" w:eastAsia="宋体" w:hAnsi="宋体" w:hint="eastAsia"/>
          <w:sz w:val="24"/>
          <w:szCs w:val="24"/>
        </w:rPr>
        <w:t>其中</w:t>
      </w:r>
      <w:r>
        <w:rPr>
          <w:rFonts w:ascii="宋体" w:eastAsia="宋体" w:hAnsi="宋体" w:hint="eastAsia"/>
          <w:sz w:val="24"/>
          <w:szCs w:val="24"/>
        </w:rPr>
        <w:t>增速下降超过10PP的有17个省，下降超过20PP的有10个省；除同比增速全面下降外，有10个省公司产数收入出现负增长，其中包括广东、福建、湖北等南方大省和山东、河南等北方大省。</w:t>
      </w:r>
    </w:p>
    <w:p w14:paraId="6A454E05" w14:textId="77777777" w:rsidR="0098154E" w:rsidRDefault="00000000">
      <w:pPr>
        <w:spacing w:line="360" w:lineRule="auto"/>
        <w:ind w:leftChars="-1" w:left="-2"/>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7943EF3D" wp14:editId="3E3DF245">
            <wp:extent cx="5441950" cy="1417320"/>
            <wp:effectExtent l="0" t="0" r="6350" b="0"/>
            <wp:docPr id="643562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6214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81730" cy="1453741"/>
                    </a:xfrm>
                    <a:prstGeom prst="rect">
                      <a:avLst/>
                    </a:prstGeom>
                    <a:noFill/>
                  </pic:spPr>
                </pic:pic>
              </a:graphicData>
            </a:graphic>
          </wp:inline>
        </w:drawing>
      </w:r>
    </w:p>
    <w:p w14:paraId="7FCF0B86" w14:textId="45300AAB" w:rsidR="0098154E" w:rsidRDefault="00000000">
      <w:pPr>
        <w:spacing w:line="360" w:lineRule="auto"/>
        <w:jc w:val="center"/>
        <w:rPr>
          <w:rFonts w:ascii="宋体" w:eastAsia="宋体" w:hAnsi="宋体" w:hint="eastAsia"/>
          <w:szCs w:val="21"/>
        </w:rPr>
      </w:pPr>
      <w:r>
        <w:rPr>
          <w:rFonts w:ascii="宋体" w:eastAsia="宋体" w:hAnsi="宋体" w:hint="eastAsia"/>
          <w:szCs w:val="21"/>
        </w:rPr>
        <w:t>图2：24Q3产数累计收入增幅较23Q3变化（PP）</w:t>
      </w:r>
    </w:p>
    <w:p w14:paraId="44FA2198" w14:textId="77777777" w:rsidR="0098154E" w:rsidRDefault="00000000">
      <w:pPr>
        <w:pStyle w:val="12"/>
        <w:spacing w:before="120" w:after="156"/>
        <w:rPr>
          <w:rFonts w:hint="eastAsia"/>
        </w:rPr>
      </w:pPr>
      <w:r>
        <w:rPr>
          <w:rFonts w:hint="eastAsia"/>
        </w:rPr>
        <w:t>二、产数业务发展降速的原因分析</w:t>
      </w:r>
    </w:p>
    <w:p w14:paraId="4AE79F42" w14:textId="77777777" w:rsidR="0098154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产数业绩表现不佳，与中电信加速“战新”布局、拓展第二曲线的转型目标形成强烈反差。除了总体经济下行原因外，更暴露出</w:t>
      </w:r>
      <w:r>
        <w:rPr>
          <w:rFonts w:ascii="宋体" w:eastAsia="宋体" w:hAnsi="宋体" w:hint="eastAsia"/>
          <w:b/>
          <w:bCs/>
          <w:sz w:val="24"/>
          <w:szCs w:val="24"/>
        </w:rPr>
        <w:t>传统业务优势渐失、</w:t>
      </w:r>
      <w:bookmarkStart w:id="0" w:name="_Hlk181780612"/>
      <w:r>
        <w:rPr>
          <w:rFonts w:ascii="宋体" w:eastAsia="宋体" w:hAnsi="宋体" w:hint="eastAsia"/>
          <w:b/>
          <w:bCs/>
          <w:sz w:val="24"/>
          <w:szCs w:val="24"/>
        </w:rPr>
        <w:t>新型能力提升不足</w:t>
      </w:r>
      <w:bookmarkEnd w:id="0"/>
      <w:r>
        <w:rPr>
          <w:rFonts w:ascii="宋体" w:eastAsia="宋体" w:hAnsi="宋体" w:hint="eastAsia"/>
          <w:b/>
          <w:bCs/>
          <w:sz w:val="24"/>
          <w:szCs w:val="24"/>
        </w:rPr>
        <w:t>、发展政策制约过多</w:t>
      </w:r>
      <w:r>
        <w:rPr>
          <w:rFonts w:ascii="宋体" w:eastAsia="宋体" w:hAnsi="宋体" w:hint="eastAsia"/>
          <w:sz w:val="24"/>
          <w:szCs w:val="24"/>
        </w:rPr>
        <w:t>等三个关键问题。</w:t>
      </w:r>
    </w:p>
    <w:p w14:paraId="32D5750E" w14:textId="77777777" w:rsidR="0098154E" w:rsidRDefault="00000000">
      <w:pPr>
        <w:pStyle w:val="2"/>
        <w:rPr>
          <w:rFonts w:ascii="宋体" w:eastAsia="宋体" w:hAnsi="宋体" w:hint="eastAsia"/>
          <w:sz w:val="24"/>
          <w:szCs w:val="24"/>
        </w:rPr>
      </w:pPr>
      <w:bookmarkStart w:id="1" w:name="_Hlk181780586"/>
      <w:r>
        <w:rPr>
          <w:rFonts w:ascii="宋体" w:eastAsia="宋体" w:hAnsi="宋体" w:hint="eastAsia"/>
          <w:sz w:val="24"/>
          <w:szCs w:val="24"/>
        </w:rPr>
        <w:lastRenderedPageBreak/>
        <w:t>（一）双线、IDC等传统业务优势渐失</w:t>
      </w:r>
    </w:p>
    <w:bookmarkEnd w:id="1"/>
    <w:p w14:paraId="41F857E7" w14:textId="5F16246D" w:rsidR="0098154E" w:rsidRDefault="00000000">
      <w:pPr>
        <w:spacing w:line="360" w:lineRule="auto"/>
        <w:ind w:firstLineChars="177" w:firstLine="426"/>
        <w:rPr>
          <w:rFonts w:ascii="宋体" w:eastAsia="宋体" w:hAnsi="宋体" w:hint="eastAsia"/>
          <w:b/>
          <w:bCs/>
          <w:sz w:val="24"/>
          <w:szCs w:val="24"/>
        </w:rPr>
      </w:pPr>
      <w:r>
        <w:rPr>
          <w:rFonts w:ascii="宋体" w:eastAsia="宋体" w:hAnsi="宋体" w:hint="eastAsia"/>
          <w:b/>
          <w:bCs/>
          <w:sz w:val="24"/>
          <w:szCs w:val="24"/>
        </w:rPr>
        <w:t>1、双线同质化严重，低价竞争加剧，导致增收困难</w:t>
      </w:r>
    </w:p>
    <w:p w14:paraId="6F510D23" w14:textId="41E56E17" w:rsidR="0098154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调研发现，对于双线类业务，友商的低价竞争影响进一步扩大，不仅大面积推行较电信优惠1/3以上的低价策略，甚至在要客的国际专线抢夺中，推出不到电信1/10的价格。同质化价格内卷大幅压低了新客价值，对收入产生直接影响，以南方</w:t>
      </w:r>
      <w:r w:rsidR="00FA70A1">
        <w:rPr>
          <w:rFonts w:ascii="宋体" w:eastAsia="宋体" w:hAnsi="宋体" w:hint="eastAsia"/>
          <w:sz w:val="24"/>
          <w:szCs w:val="24"/>
        </w:rPr>
        <w:t>某</w:t>
      </w:r>
      <w:r>
        <w:rPr>
          <w:rFonts w:ascii="宋体" w:eastAsia="宋体" w:hAnsi="宋体" w:hint="eastAsia"/>
          <w:sz w:val="24"/>
          <w:szCs w:val="24"/>
        </w:rPr>
        <w:t>大省为例，前三季度新</w:t>
      </w:r>
      <w:r w:rsidR="00FA70A1">
        <w:rPr>
          <w:rFonts w:ascii="宋体" w:eastAsia="宋体" w:hAnsi="宋体" w:hint="eastAsia"/>
          <w:sz w:val="24"/>
          <w:szCs w:val="24"/>
        </w:rPr>
        <w:t>客</w:t>
      </w:r>
      <w:r>
        <w:rPr>
          <w:rFonts w:ascii="宋体" w:eastAsia="宋体" w:hAnsi="宋体" w:hint="eastAsia"/>
          <w:sz w:val="24"/>
          <w:szCs w:val="24"/>
        </w:rPr>
        <w:t>收入由从去年同期正增长11%直接掉落至负增长12%。</w:t>
      </w:r>
    </w:p>
    <w:p w14:paraId="1371D7DA" w14:textId="77777777" w:rsidR="0098154E" w:rsidRDefault="00000000">
      <w:pPr>
        <w:spacing w:line="360" w:lineRule="auto"/>
        <w:ind w:firstLineChars="177" w:firstLine="426"/>
        <w:rPr>
          <w:rFonts w:ascii="宋体" w:eastAsia="宋体" w:hAnsi="宋体" w:hint="eastAsia"/>
          <w:b/>
          <w:bCs/>
          <w:sz w:val="24"/>
          <w:szCs w:val="24"/>
        </w:rPr>
      </w:pPr>
      <w:r>
        <w:rPr>
          <w:rFonts w:ascii="宋体" w:eastAsia="宋体" w:hAnsi="宋体" w:hint="eastAsia"/>
          <w:b/>
          <w:bCs/>
          <w:sz w:val="24"/>
          <w:szCs w:val="24"/>
        </w:rPr>
        <w:t>2、IDC转型不达预期，未能在新型领域获取应有的份额红利</w:t>
      </w:r>
    </w:p>
    <w:p w14:paraId="11727B79" w14:textId="160B4722" w:rsidR="0098154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中电信IDC业务受到资源老旧、环评无法满足监管要求等多方面因素制约，在IDC到AIDC的转型发展中，未能占据有利地位</w:t>
      </w:r>
      <w:r w:rsidR="00FA70A1">
        <w:rPr>
          <w:rFonts w:ascii="宋体" w:eastAsia="宋体" w:hAnsi="宋体" w:hint="eastAsia"/>
          <w:sz w:val="24"/>
          <w:szCs w:val="24"/>
        </w:rPr>
        <w:t>，</w:t>
      </w:r>
      <w:r>
        <w:rPr>
          <w:rFonts w:ascii="宋体" w:eastAsia="宋体" w:hAnsi="宋体" w:hint="eastAsia"/>
          <w:sz w:val="24"/>
          <w:szCs w:val="24"/>
        </w:rPr>
        <w:t>面临新增发展不足，原有客户大量退租的困境</w:t>
      </w:r>
      <w:r w:rsidR="00FA70A1">
        <w:rPr>
          <w:rFonts w:ascii="宋体" w:eastAsia="宋体" w:hAnsi="宋体" w:hint="eastAsia"/>
          <w:sz w:val="24"/>
          <w:szCs w:val="24"/>
        </w:rPr>
        <w:t>；</w:t>
      </w:r>
      <w:r>
        <w:rPr>
          <w:rFonts w:ascii="宋体" w:eastAsia="宋体" w:hAnsi="宋体" w:hint="eastAsia"/>
          <w:sz w:val="24"/>
          <w:szCs w:val="24"/>
        </w:rPr>
        <w:t>今年仅实现2个PP的增长，不及国内IDC整体市场增</w:t>
      </w:r>
      <w:r w:rsidR="00FA70A1">
        <w:rPr>
          <w:rFonts w:ascii="宋体" w:eastAsia="宋体" w:hAnsi="宋体" w:hint="eastAsia"/>
          <w:sz w:val="24"/>
          <w:szCs w:val="24"/>
        </w:rPr>
        <w:t>速</w:t>
      </w:r>
      <w:r>
        <w:rPr>
          <w:rFonts w:ascii="宋体" w:eastAsia="宋体" w:hAnsi="宋体" w:hint="eastAsia"/>
          <w:sz w:val="24"/>
          <w:szCs w:val="24"/>
        </w:rPr>
        <w:t>的1/10，与近年大模型快速发展、算力建设及租用需求高涨的产业趋势明显不符。</w:t>
      </w:r>
    </w:p>
    <w:p w14:paraId="6FF78A0D" w14:textId="77777777" w:rsidR="0098154E" w:rsidRDefault="00000000">
      <w:pPr>
        <w:pStyle w:val="2"/>
        <w:rPr>
          <w:rFonts w:ascii="宋体" w:eastAsia="宋体" w:hAnsi="宋体" w:hint="eastAsia"/>
          <w:sz w:val="24"/>
          <w:szCs w:val="24"/>
        </w:rPr>
      </w:pPr>
      <w:r>
        <w:rPr>
          <w:rFonts w:ascii="宋体" w:eastAsia="宋体" w:hAnsi="宋体" w:hint="eastAsia"/>
          <w:sz w:val="24"/>
          <w:szCs w:val="24"/>
        </w:rPr>
        <w:t>（二）解决方案创新、专家型销售、敏捷交付等新型能力提升不足</w:t>
      </w:r>
    </w:p>
    <w:p w14:paraId="0677FE4D" w14:textId="77777777" w:rsidR="0098154E" w:rsidRDefault="00000000">
      <w:pPr>
        <w:spacing w:line="360" w:lineRule="auto"/>
        <w:ind w:firstLineChars="177" w:firstLine="426"/>
        <w:rPr>
          <w:rFonts w:ascii="宋体" w:eastAsia="宋体" w:hAnsi="宋体" w:hint="eastAsia"/>
          <w:b/>
          <w:bCs/>
          <w:sz w:val="24"/>
          <w:szCs w:val="24"/>
        </w:rPr>
      </w:pPr>
      <w:r>
        <w:rPr>
          <w:rFonts w:ascii="宋体" w:eastAsia="宋体" w:hAnsi="宋体" w:hint="eastAsia"/>
          <w:b/>
          <w:bCs/>
          <w:sz w:val="24"/>
          <w:szCs w:val="24"/>
        </w:rPr>
        <w:t>1、现有能力供给与客户需求有差距</w:t>
      </w:r>
    </w:p>
    <w:p w14:paraId="446380E7" w14:textId="0921B38C" w:rsidR="0098154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省公司调研反映，在产数市场，客情关系的影响力走弱，客户更重视解决方案</w:t>
      </w:r>
      <w:r w:rsidR="00FA70A1">
        <w:rPr>
          <w:rFonts w:ascii="宋体" w:eastAsia="宋体" w:hAnsi="宋体" w:hint="eastAsia"/>
          <w:sz w:val="24"/>
          <w:szCs w:val="24"/>
        </w:rPr>
        <w:t>的</w:t>
      </w:r>
      <w:r>
        <w:rPr>
          <w:rFonts w:ascii="宋体" w:eastAsia="宋体" w:hAnsi="宋体" w:hint="eastAsia"/>
          <w:sz w:val="24"/>
          <w:szCs w:val="24"/>
        </w:rPr>
        <w:t>技术</w:t>
      </w:r>
      <w:r w:rsidR="00FA70A1">
        <w:rPr>
          <w:rFonts w:ascii="宋体" w:eastAsia="宋体" w:hAnsi="宋体" w:hint="eastAsia"/>
          <w:sz w:val="24"/>
          <w:szCs w:val="24"/>
        </w:rPr>
        <w:t>支持和</w:t>
      </w:r>
      <w:r>
        <w:rPr>
          <w:rFonts w:ascii="宋体" w:eastAsia="宋体" w:hAnsi="宋体" w:hint="eastAsia"/>
          <w:sz w:val="24"/>
          <w:szCs w:val="24"/>
        </w:rPr>
        <w:t>交付能力。电信在方案创新、技术型销售、敏捷交付等满足客户个性化需求</w:t>
      </w:r>
      <w:r w:rsidR="00201D35">
        <w:rPr>
          <w:rFonts w:ascii="宋体" w:eastAsia="宋体" w:hAnsi="宋体" w:hint="eastAsia"/>
          <w:sz w:val="24"/>
          <w:szCs w:val="24"/>
        </w:rPr>
        <w:t>的能力方面</w:t>
      </w:r>
      <w:r>
        <w:rPr>
          <w:rFonts w:ascii="宋体" w:eastAsia="宋体" w:hAnsi="宋体" w:hint="eastAsia"/>
          <w:sz w:val="24"/>
          <w:szCs w:val="24"/>
        </w:rPr>
        <w:t>，相比华为、阿里等专家型供应商存在较大差距。如，上海市高级人民法院原本使用阿里云，出于安全性合规性考虑，主动联系电信，希望将数据和系统迁移到天翼云，但电信缺乏相应的技术承接能力，最终导致项目流失。</w:t>
      </w:r>
    </w:p>
    <w:p w14:paraId="3854E8D9" w14:textId="77777777" w:rsidR="0098154E" w:rsidRDefault="00000000">
      <w:pPr>
        <w:spacing w:line="360" w:lineRule="auto"/>
        <w:ind w:firstLineChars="177" w:firstLine="426"/>
        <w:rPr>
          <w:rFonts w:ascii="宋体" w:eastAsia="宋体" w:hAnsi="宋体" w:hint="eastAsia"/>
          <w:b/>
          <w:bCs/>
          <w:sz w:val="24"/>
          <w:szCs w:val="24"/>
        </w:rPr>
      </w:pPr>
      <w:r>
        <w:rPr>
          <w:rFonts w:ascii="宋体" w:eastAsia="宋体" w:hAnsi="宋体" w:hint="eastAsia"/>
          <w:b/>
          <w:bCs/>
          <w:sz w:val="24"/>
          <w:szCs w:val="24"/>
        </w:rPr>
        <w:t>2、战新专业公司拳头产品供给能力仍不足，未能有效拉动产数业务发展</w:t>
      </w:r>
    </w:p>
    <w:p w14:paraId="2C7598E3" w14:textId="28585C61" w:rsidR="0098154E" w:rsidRDefault="00000000">
      <w:pPr>
        <w:spacing w:line="360" w:lineRule="auto"/>
        <w:ind w:firstLineChars="236" w:firstLine="566"/>
        <w:rPr>
          <w:rFonts w:ascii="宋体" w:eastAsia="宋体" w:hAnsi="宋体" w:hint="eastAsia"/>
          <w:sz w:val="24"/>
          <w:szCs w:val="24"/>
        </w:rPr>
      </w:pPr>
      <w:r>
        <w:rPr>
          <w:rFonts w:ascii="宋体" w:eastAsia="宋体" w:hAnsi="宋体" w:hint="eastAsia"/>
          <w:sz w:val="24"/>
          <w:szCs w:val="24"/>
        </w:rPr>
        <w:t>以七融为代表的战新业务板块，对产数收入贡献较小且提升慢。专业公司作为战新业务研发和运营的主体单位，目前仍处于培育期，收入占比低。截至2024年三季度，6个主要战新专业公司总收入占集团产数总收入比为18.15%，较去年提升不足3PP。其核心原因在于缺乏有竞争力的拳头产品，</w:t>
      </w:r>
      <w:r w:rsidR="00201D35">
        <w:rPr>
          <w:rFonts w:ascii="宋体" w:eastAsia="宋体" w:hAnsi="宋体" w:hint="eastAsia"/>
          <w:sz w:val="24"/>
          <w:szCs w:val="24"/>
        </w:rPr>
        <w:t>以及</w:t>
      </w:r>
      <w:r>
        <w:rPr>
          <w:rFonts w:ascii="宋体" w:eastAsia="宋体" w:hAnsi="宋体" w:hint="eastAsia"/>
          <w:sz w:val="24"/>
          <w:szCs w:val="24"/>
        </w:rPr>
        <w:t>二次开发能力不足，导致自融率相对较低。截至8月，全国七融率只有18%，</w:t>
      </w:r>
      <w:r w:rsidR="00201D35">
        <w:rPr>
          <w:rFonts w:ascii="宋体" w:eastAsia="宋体" w:hAnsi="宋体" w:hint="eastAsia"/>
          <w:sz w:val="24"/>
          <w:szCs w:val="24"/>
        </w:rPr>
        <w:t>落后</w:t>
      </w:r>
      <w:r>
        <w:rPr>
          <w:rFonts w:ascii="宋体" w:eastAsia="宋体" w:hAnsi="宋体" w:hint="eastAsia"/>
          <w:sz w:val="24"/>
          <w:szCs w:val="24"/>
        </w:rPr>
        <w:t>考核要求4个</w:t>
      </w:r>
      <w:r w:rsidR="00201D35">
        <w:rPr>
          <w:rFonts w:ascii="宋体" w:eastAsia="宋体" w:hAnsi="宋体" w:hint="eastAsia"/>
          <w:sz w:val="24"/>
          <w:szCs w:val="24"/>
        </w:rPr>
        <w:t>PP</w:t>
      </w:r>
      <w:r>
        <w:rPr>
          <w:rFonts w:ascii="宋体" w:eastAsia="宋体" w:hAnsi="宋体" w:hint="eastAsia"/>
          <w:sz w:val="24"/>
          <w:szCs w:val="24"/>
        </w:rPr>
        <w:t>。</w:t>
      </w:r>
    </w:p>
    <w:p w14:paraId="3676FDF4" w14:textId="2CE689D4" w:rsidR="0098154E" w:rsidRDefault="00000000">
      <w:pPr>
        <w:spacing w:line="360" w:lineRule="auto"/>
        <w:jc w:val="center"/>
        <w:rPr>
          <w:rFonts w:ascii="宋体" w:eastAsia="宋体" w:hAnsi="宋体" w:hint="eastAsia"/>
          <w:b/>
          <w:bCs/>
          <w:szCs w:val="21"/>
        </w:rPr>
      </w:pPr>
      <w:r>
        <w:rPr>
          <w:rFonts w:ascii="宋体" w:eastAsia="宋体" w:hAnsi="宋体" w:hint="eastAsia"/>
          <w:b/>
          <w:bCs/>
          <w:szCs w:val="21"/>
        </w:rPr>
        <w:t>表2：战新专业公司收入占产数收入比</w:t>
      </w:r>
    </w:p>
    <w:tbl>
      <w:tblPr>
        <w:tblW w:w="8359" w:type="dxa"/>
        <w:tblLayout w:type="fixed"/>
        <w:tblLook w:val="04A0" w:firstRow="1" w:lastRow="0" w:firstColumn="1" w:lastColumn="0" w:noHBand="0" w:noVBand="1"/>
      </w:tblPr>
      <w:tblGrid>
        <w:gridCol w:w="1129"/>
        <w:gridCol w:w="1560"/>
        <w:gridCol w:w="2825"/>
        <w:gridCol w:w="2845"/>
      </w:tblGrid>
      <w:tr w:rsidR="0098154E" w14:paraId="58157B74" w14:textId="77777777">
        <w:trPr>
          <w:trHeight w:val="552"/>
        </w:trPr>
        <w:tc>
          <w:tcPr>
            <w:tcW w:w="2689"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noWrap/>
            <w:vAlign w:val="center"/>
          </w:tcPr>
          <w:p w14:paraId="0DF94A0B" w14:textId="77777777" w:rsidR="0098154E" w:rsidRDefault="00000000">
            <w:pPr>
              <w:widowControl/>
              <w:jc w:val="center"/>
              <w:rPr>
                <w:rFonts w:ascii="宋体" w:eastAsia="宋体" w:hAnsi="宋体" w:cs="宋体" w:hint="eastAsia"/>
                <w:b/>
                <w:bCs/>
                <w:color w:val="000000"/>
                <w:kern w:val="0"/>
                <w:sz w:val="20"/>
                <w:szCs w:val="20"/>
              </w:rPr>
            </w:pPr>
            <w:r>
              <w:rPr>
                <w:rFonts w:ascii="宋体" w:eastAsia="宋体" w:hAnsi="宋体" w:cs="宋体" w:hint="eastAsia"/>
                <w:b/>
                <w:bCs/>
                <w:color w:val="000000"/>
                <w:kern w:val="0"/>
                <w:sz w:val="20"/>
                <w:szCs w:val="20"/>
              </w:rPr>
              <w:t>产品单位</w:t>
            </w:r>
          </w:p>
        </w:tc>
        <w:tc>
          <w:tcPr>
            <w:tcW w:w="2825" w:type="dxa"/>
            <w:tcBorders>
              <w:top w:val="single" w:sz="4" w:space="0" w:color="auto"/>
              <w:left w:val="nil"/>
              <w:bottom w:val="single" w:sz="4" w:space="0" w:color="auto"/>
              <w:right w:val="single" w:sz="4" w:space="0" w:color="auto"/>
            </w:tcBorders>
            <w:shd w:val="clear" w:color="auto" w:fill="C1E4F5" w:themeFill="accent1" w:themeFillTint="33"/>
            <w:vAlign w:val="center"/>
          </w:tcPr>
          <w:p w14:paraId="2F9A37A7" w14:textId="77777777" w:rsidR="0098154E" w:rsidRDefault="00000000">
            <w:pPr>
              <w:widowControl/>
              <w:jc w:val="center"/>
              <w:rPr>
                <w:rFonts w:ascii="宋体" w:eastAsia="宋体" w:hAnsi="宋体" w:cs="宋体" w:hint="eastAsia"/>
                <w:b/>
                <w:bCs/>
                <w:color w:val="000000"/>
                <w:kern w:val="0"/>
                <w:sz w:val="20"/>
                <w:szCs w:val="20"/>
              </w:rPr>
            </w:pPr>
            <w:r>
              <w:rPr>
                <w:rFonts w:ascii="宋体" w:eastAsia="宋体" w:hAnsi="宋体" w:cs="宋体" w:hint="eastAsia"/>
                <w:b/>
                <w:bCs/>
                <w:color w:val="000000"/>
                <w:kern w:val="0"/>
                <w:sz w:val="20"/>
                <w:szCs w:val="20"/>
              </w:rPr>
              <w:t>2023年占产数收入比（%）</w:t>
            </w:r>
          </w:p>
        </w:tc>
        <w:tc>
          <w:tcPr>
            <w:tcW w:w="2845" w:type="dxa"/>
            <w:tcBorders>
              <w:top w:val="single" w:sz="4" w:space="0" w:color="auto"/>
              <w:left w:val="nil"/>
              <w:bottom w:val="single" w:sz="4" w:space="0" w:color="auto"/>
              <w:right w:val="single" w:sz="4" w:space="0" w:color="auto"/>
            </w:tcBorders>
            <w:shd w:val="clear" w:color="auto" w:fill="C1E4F5" w:themeFill="accent1" w:themeFillTint="33"/>
            <w:vAlign w:val="center"/>
          </w:tcPr>
          <w:p w14:paraId="4A55C939" w14:textId="77777777" w:rsidR="0098154E" w:rsidRDefault="00000000">
            <w:pPr>
              <w:widowControl/>
              <w:jc w:val="center"/>
              <w:rPr>
                <w:rFonts w:ascii="宋体" w:eastAsia="宋体" w:hAnsi="宋体" w:cs="宋体" w:hint="eastAsia"/>
                <w:b/>
                <w:bCs/>
                <w:color w:val="000000"/>
                <w:kern w:val="0"/>
                <w:sz w:val="20"/>
                <w:szCs w:val="20"/>
              </w:rPr>
            </w:pPr>
            <w:r>
              <w:rPr>
                <w:rFonts w:ascii="宋体" w:eastAsia="宋体" w:hAnsi="宋体" w:cs="宋体" w:hint="eastAsia"/>
                <w:b/>
                <w:bCs/>
                <w:color w:val="000000"/>
                <w:kern w:val="0"/>
                <w:sz w:val="20"/>
                <w:szCs w:val="20"/>
              </w:rPr>
              <w:t>2024Q3占产数收入比（%）</w:t>
            </w:r>
          </w:p>
        </w:tc>
      </w:tr>
      <w:tr w:rsidR="0098154E" w14:paraId="0351F268" w14:textId="77777777">
        <w:trPr>
          <w:trHeight w:val="276"/>
        </w:trPr>
        <w:tc>
          <w:tcPr>
            <w:tcW w:w="1129" w:type="dxa"/>
            <w:vMerge w:val="restart"/>
            <w:tcBorders>
              <w:top w:val="nil"/>
              <w:left w:val="single" w:sz="4" w:space="0" w:color="auto"/>
              <w:bottom w:val="single" w:sz="4" w:space="0" w:color="auto"/>
              <w:right w:val="single" w:sz="4" w:space="0" w:color="auto"/>
            </w:tcBorders>
            <w:shd w:val="clear" w:color="auto" w:fill="auto"/>
            <w:vAlign w:val="center"/>
          </w:tcPr>
          <w:p w14:paraId="4B2DF29F"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lastRenderedPageBreak/>
              <w:t>专业公司</w:t>
            </w:r>
          </w:p>
        </w:tc>
        <w:tc>
          <w:tcPr>
            <w:tcW w:w="1560" w:type="dxa"/>
            <w:tcBorders>
              <w:top w:val="nil"/>
              <w:left w:val="nil"/>
              <w:bottom w:val="single" w:sz="4" w:space="0" w:color="auto"/>
              <w:right w:val="single" w:sz="4" w:space="0" w:color="auto"/>
            </w:tcBorders>
            <w:shd w:val="clear" w:color="auto" w:fill="auto"/>
            <w:noWrap/>
            <w:vAlign w:val="bottom"/>
          </w:tcPr>
          <w:p w14:paraId="3CC1A3AA"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安全公司</w:t>
            </w:r>
          </w:p>
        </w:tc>
        <w:tc>
          <w:tcPr>
            <w:tcW w:w="2825" w:type="dxa"/>
            <w:tcBorders>
              <w:top w:val="nil"/>
              <w:left w:val="nil"/>
              <w:bottom w:val="single" w:sz="4" w:space="0" w:color="auto"/>
              <w:right w:val="single" w:sz="4" w:space="0" w:color="auto"/>
            </w:tcBorders>
            <w:shd w:val="clear" w:color="auto" w:fill="auto"/>
            <w:noWrap/>
            <w:vAlign w:val="center"/>
          </w:tcPr>
          <w:p w14:paraId="6BB08BCB"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0.03</w:t>
            </w:r>
          </w:p>
        </w:tc>
        <w:tc>
          <w:tcPr>
            <w:tcW w:w="2845" w:type="dxa"/>
            <w:tcBorders>
              <w:top w:val="nil"/>
              <w:left w:val="nil"/>
              <w:bottom w:val="single" w:sz="4" w:space="0" w:color="auto"/>
              <w:right w:val="single" w:sz="4" w:space="0" w:color="auto"/>
            </w:tcBorders>
            <w:shd w:val="clear" w:color="auto" w:fill="auto"/>
            <w:noWrap/>
            <w:vAlign w:val="center"/>
          </w:tcPr>
          <w:p w14:paraId="6EEFDF2F"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0.47</w:t>
            </w:r>
          </w:p>
        </w:tc>
      </w:tr>
      <w:tr w:rsidR="0098154E" w14:paraId="6CD0553B" w14:textId="77777777">
        <w:trPr>
          <w:trHeight w:val="276"/>
        </w:trPr>
        <w:tc>
          <w:tcPr>
            <w:tcW w:w="1129" w:type="dxa"/>
            <w:vMerge/>
            <w:tcBorders>
              <w:top w:val="nil"/>
              <w:left w:val="single" w:sz="4" w:space="0" w:color="auto"/>
              <w:bottom w:val="single" w:sz="4" w:space="0" w:color="auto"/>
              <w:right w:val="single" w:sz="4" w:space="0" w:color="auto"/>
            </w:tcBorders>
            <w:vAlign w:val="center"/>
          </w:tcPr>
          <w:p w14:paraId="79CD3BA5" w14:textId="77777777" w:rsidR="0098154E" w:rsidRDefault="0098154E">
            <w:pPr>
              <w:widowControl/>
              <w:jc w:val="left"/>
              <w:rPr>
                <w:rFonts w:ascii="宋体" w:eastAsia="宋体" w:hAnsi="宋体" w:cs="宋体" w:hint="eastAsia"/>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1762E2A"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云公司</w:t>
            </w:r>
          </w:p>
        </w:tc>
        <w:tc>
          <w:tcPr>
            <w:tcW w:w="2825" w:type="dxa"/>
            <w:tcBorders>
              <w:top w:val="nil"/>
              <w:left w:val="nil"/>
              <w:bottom w:val="single" w:sz="4" w:space="0" w:color="auto"/>
              <w:right w:val="single" w:sz="4" w:space="0" w:color="auto"/>
            </w:tcBorders>
            <w:shd w:val="clear" w:color="auto" w:fill="auto"/>
            <w:noWrap/>
            <w:vAlign w:val="center"/>
          </w:tcPr>
          <w:p w14:paraId="3DD5F087"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14.23</w:t>
            </w:r>
          </w:p>
        </w:tc>
        <w:tc>
          <w:tcPr>
            <w:tcW w:w="2845" w:type="dxa"/>
            <w:tcBorders>
              <w:top w:val="nil"/>
              <w:left w:val="nil"/>
              <w:bottom w:val="single" w:sz="4" w:space="0" w:color="auto"/>
              <w:right w:val="single" w:sz="4" w:space="0" w:color="auto"/>
            </w:tcBorders>
            <w:shd w:val="clear" w:color="auto" w:fill="auto"/>
            <w:noWrap/>
            <w:vAlign w:val="center"/>
          </w:tcPr>
          <w:p w14:paraId="53793AC4"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15.62</w:t>
            </w:r>
          </w:p>
        </w:tc>
      </w:tr>
      <w:tr w:rsidR="0098154E" w14:paraId="5AB3ADDE" w14:textId="77777777">
        <w:trPr>
          <w:trHeight w:val="276"/>
        </w:trPr>
        <w:tc>
          <w:tcPr>
            <w:tcW w:w="1129" w:type="dxa"/>
            <w:vMerge/>
            <w:tcBorders>
              <w:top w:val="nil"/>
              <w:left w:val="single" w:sz="4" w:space="0" w:color="auto"/>
              <w:bottom w:val="single" w:sz="4" w:space="0" w:color="auto"/>
              <w:right w:val="single" w:sz="4" w:space="0" w:color="auto"/>
            </w:tcBorders>
            <w:vAlign w:val="center"/>
          </w:tcPr>
          <w:p w14:paraId="0F62A515" w14:textId="77777777" w:rsidR="0098154E" w:rsidRDefault="0098154E">
            <w:pPr>
              <w:widowControl/>
              <w:jc w:val="left"/>
              <w:rPr>
                <w:rFonts w:ascii="宋体" w:eastAsia="宋体" w:hAnsi="宋体" w:cs="宋体" w:hint="eastAsia"/>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663D8CA"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数字生活公司</w:t>
            </w:r>
          </w:p>
        </w:tc>
        <w:tc>
          <w:tcPr>
            <w:tcW w:w="2825" w:type="dxa"/>
            <w:tcBorders>
              <w:top w:val="nil"/>
              <w:left w:val="nil"/>
              <w:bottom w:val="single" w:sz="4" w:space="0" w:color="auto"/>
              <w:right w:val="single" w:sz="4" w:space="0" w:color="auto"/>
            </w:tcBorders>
            <w:shd w:val="clear" w:color="auto" w:fill="auto"/>
            <w:noWrap/>
            <w:vAlign w:val="center"/>
          </w:tcPr>
          <w:p w14:paraId="4F80A622"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1.02</w:t>
            </w:r>
          </w:p>
        </w:tc>
        <w:tc>
          <w:tcPr>
            <w:tcW w:w="2845" w:type="dxa"/>
            <w:tcBorders>
              <w:top w:val="nil"/>
              <w:left w:val="nil"/>
              <w:bottom w:val="single" w:sz="4" w:space="0" w:color="auto"/>
              <w:right w:val="single" w:sz="4" w:space="0" w:color="auto"/>
            </w:tcBorders>
            <w:shd w:val="clear" w:color="auto" w:fill="auto"/>
            <w:noWrap/>
            <w:vAlign w:val="center"/>
          </w:tcPr>
          <w:p w14:paraId="15723DA5"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0.88</w:t>
            </w:r>
          </w:p>
        </w:tc>
      </w:tr>
      <w:tr w:rsidR="0098154E" w14:paraId="24D697C8" w14:textId="77777777">
        <w:trPr>
          <w:trHeight w:val="276"/>
        </w:trPr>
        <w:tc>
          <w:tcPr>
            <w:tcW w:w="1129" w:type="dxa"/>
            <w:vMerge/>
            <w:tcBorders>
              <w:top w:val="nil"/>
              <w:left w:val="single" w:sz="4" w:space="0" w:color="auto"/>
              <w:bottom w:val="single" w:sz="4" w:space="0" w:color="auto"/>
              <w:right w:val="single" w:sz="4" w:space="0" w:color="auto"/>
            </w:tcBorders>
            <w:vAlign w:val="center"/>
          </w:tcPr>
          <w:p w14:paraId="3A221011" w14:textId="77777777" w:rsidR="0098154E" w:rsidRDefault="0098154E">
            <w:pPr>
              <w:widowControl/>
              <w:jc w:val="left"/>
              <w:rPr>
                <w:rFonts w:ascii="宋体" w:eastAsia="宋体" w:hAnsi="宋体" w:cs="宋体" w:hint="eastAsia"/>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7CF1DAA"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卫星公司</w:t>
            </w:r>
          </w:p>
        </w:tc>
        <w:tc>
          <w:tcPr>
            <w:tcW w:w="2825" w:type="dxa"/>
            <w:tcBorders>
              <w:top w:val="nil"/>
              <w:left w:val="nil"/>
              <w:bottom w:val="single" w:sz="4" w:space="0" w:color="auto"/>
              <w:right w:val="single" w:sz="4" w:space="0" w:color="auto"/>
            </w:tcBorders>
            <w:shd w:val="clear" w:color="auto" w:fill="auto"/>
            <w:noWrap/>
            <w:vAlign w:val="center"/>
          </w:tcPr>
          <w:p w14:paraId="6FB1D327"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0.28</w:t>
            </w:r>
          </w:p>
        </w:tc>
        <w:tc>
          <w:tcPr>
            <w:tcW w:w="2845" w:type="dxa"/>
            <w:tcBorders>
              <w:top w:val="nil"/>
              <w:left w:val="nil"/>
              <w:bottom w:val="single" w:sz="4" w:space="0" w:color="auto"/>
              <w:right w:val="single" w:sz="4" w:space="0" w:color="auto"/>
            </w:tcBorders>
            <w:shd w:val="clear" w:color="auto" w:fill="auto"/>
            <w:noWrap/>
            <w:vAlign w:val="center"/>
          </w:tcPr>
          <w:p w14:paraId="13FE7B8D"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0.38</w:t>
            </w:r>
          </w:p>
        </w:tc>
      </w:tr>
      <w:tr w:rsidR="0098154E" w14:paraId="426360A5" w14:textId="77777777">
        <w:trPr>
          <w:trHeight w:val="276"/>
        </w:trPr>
        <w:tc>
          <w:tcPr>
            <w:tcW w:w="1129" w:type="dxa"/>
            <w:vMerge/>
            <w:tcBorders>
              <w:top w:val="nil"/>
              <w:left w:val="single" w:sz="4" w:space="0" w:color="auto"/>
              <w:bottom w:val="single" w:sz="4" w:space="0" w:color="auto"/>
              <w:right w:val="single" w:sz="4" w:space="0" w:color="auto"/>
            </w:tcBorders>
            <w:vAlign w:val="center"/>
          </w:tcPr>
          <w:p w14:paraId="5789990A" w14:textId="77777777" w:rsidR="0098154E" w:rsidRDefault="0098154E">
            <w:pPr>
              <w:widowControl/>
              <w:jc w:val="left"/>
              <w:rPr>
                <w:rFonts w:ascii="宋体" w:eastAsia="宋体" w:hAnsi="宋体" w:cs="宋体" w:hint="eastAsia"/>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4C0F61D"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 xml:space="preserve">天翼视联                                </w:t>
            </w:r>
          </w:p>
        </w:tc>
        <w:tc>
          <w:tcPr>
            <w:tcW w:w="2825" w:type="dxa"/>
            <w:tcBorders>
              <w:top w:val="nil"/>
              <w:left w:val="nil"/>
              <w:bottom w:val="single" w:sz="4" w:space="0" w:color="auto"/>
              <w:right w:val="single" w:sz="4" w:space="0" w:color="auto"/>
            </w:tcBorders>
            <w:shd w:val="clear" w:color="auto" w:fill="auto"/>
            <w:noWrap/>
            <w:vAlign w:val="center"/>
          </w:tcPr>
          <w:p w14:paraId="09AE9C71"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w:t>
            </w:r>
          </w:p>
        </w:tc>
        <w:tc>
          <w:tcPr>
            <w:tcW w:w="2845" w:type="dxa"/>
            <w:tcBorders>
              <w:top w:val="nil"/>
              <w:left w:val="nil"/>
              <w:bottom w:val="single" w:sz="4" w:space="0" w:color="auto"/>
              <w:right w:val="single" w:sz="4" w:space="0" w:color="auto"/>
            </w:tcBorders>
            <w:shd w:val="clear" w:color="auto" w:fill="auto"/>
            <w:noWrap/>
            <w:vAlign w:val="center"/>
          </w:tcPr>
          <w:p w14:paraId="0AB44FBB"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0.25</w:t>
            </w:r>
          </w:p>
        </w:tc>
      </w:tr>
      <w:tr w:rsidR="0098154E" w14:paraId="48AB65E6" w14:textId="77777777">
        <w:trPr>
          <w:trHeight w:val="276"/>
        </w:trPr>
        <w:tc>
          <w:tcPr>
            <w:tcW w:w="1129" w:type="dxa"/>
            <w:vMerge/>
            <w:tcBorders>
              <w:top w:val="nil"/>
              <w:left w:val="single" w:sz="4" w:space="0" w:color="auto"/>
              <w:bottom w:val="single" w:sz="4" w:space="0" w:color="auto"/>
              <w:right w:val="single" w:sz="4" w:space="0" w:color="auto"/>
            </w:tcBorders>
            <w:vAlign w:val="center"/>
          </w:tcPr>
          <w:p w14:paraId="797F7E1E" w14:textId="77777777" w:rsidR="0098154E" w:rsidRDefault="0098154E">
            <w:pPr>
              <w:widowControl/>
              <w:jc w:val="left"/>
              <w:rPr>
                <w:rFonts w:ascii="宋体" w:eastAsia="宋体" w:hAnsi="宋体" w:cs="宋体" w:hint="eastAsia"/>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B163F7C" w14:textId="77777777" w:rsidR="0098154E"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 xml:space="preserve">物联网公司                                </w:t>
            </w:r>
          </w:p>
        </w:tc>
        <w:tc>
          <w:tcPr>
            <w:tcW w:w="2825" w:type="dxa"/>
            <w:tcBorders>
              <w:top w:val="nil"/>
              <w:left w:val="nil"/>
              <w:bottom w:val="single" w:sz="4" w:space="0" w:color="auto"/>
              <w:right w:val="single" w:sz="4" w:space="0" w:color="auto"/>
            </w:tcBorders>
            <w:shd w:val="clear" w:color="auto" w:fill="auto"/>
            <w:noWrap/>
            <w:vAlign w:val="center"/>
          </w:tcPr>
          <w:p w14:paraId="0F8E31D2"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w:t>
            </w:r>
          </w:p>
        </w:tc>
        <w:tc>
          <w:tcPr>
            <w:tcW w:w="2845" w:type="dxa"/>
            <w:tcBorders>
              <w:top w:val="nil"/>
              <w:left w:val="nil"/>
              <w:bottom w:val="single" w:sz="4" w:space="0" w:color="auto"/>
              <w:right w:val="single" w:sz="4" w:space="0" w:color="auto"/>
            </w:tcBorders>
            <w:shd w:val="clear" w:color="auto" w:fill="auto"/>
            <w:noWrap/>
            <w:vAlign w:val="center"/>
          </w:tcPr>
          <w:p w14:paraId="5D19FA7D"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0.55</w:t>
            </w:r>
          </w:p>
        </w:tc>
      </w:tr>
      <w:tr w:rsidR="0098154E" w14:paraId="7B821540" w14:textId="77777777">
        <w:trPr>
          <w:trHeight w:val="276"/>
        </w:trPr>
        <w:tc>
          <w:tcPr>
            <w:tcW w:w="2689" w:type="dxa"/>
            <w:gridSpan w:val="2"/>
            <w:tcBorders>
              <w:top w:val="single" w:sz="4" w:space="0" w:color="auto"/>
              <w:left w:val="single" w:sz="4" w:space="0" w:color="auto"/>
              <w:bottom w:val="single" w:sz="4" w:space="0" w:color="auto"/>
              <w:right w:val="single" w:sz="4" w:space="0" w:color="auto"/>
            </w:tcBorders>
            <w:shd w:val="clear" w:color="auto" w:fill="C1E4F5" w:themeFill="accent1" w:themeFillTint="33"/>
            <w:noWrap/>
            <w:vAlign w:val="bottom"/>
          </w:tcPr>
          <w:p w14:paraId="7271163F" w14:textId="77777777" w:rsidR="0098154E" w:rsidRDefault="00000000">
            <w:pPr>
              <w:widowControl/>
              <w:jc w:val="center"/>
              <w:rPr>
                <w:rFonts w:ascii="宋体" w:eastAsia="宋体" w:hAnsi="宋体" w:cs="宋体" w:hint="eastAsia"/>
                <w:b/>
                <w:bCs/>
                <w:color w:val="000000"/>
                <w:kern w:val="0"/>
                <w:sz w:val="20"/>
                <w:szCs w:val="20"/>
              </w:rPr>
            </w:pPr>
            <w:r>
              <w:rPr>
                <w:rFonts w:ascii="宋体" w:eastAsia="宋体" w:hAnsi="宋体" w:cs="宋体" w:hint="eastAsia"/>
                <w:b/>
                <w:bCs/>
                <w:color w:val="000000"/>
                <w:kern w:val="0"/>
                <w:sz w:val="20"/>
                <w:szCs w:val="20"/>
              </w:rPr>
              <w:t>合计</w:t>
            </w:r>
          </w:p>
        </w:tc>
        <w:tc>
          <w:tcPr>
            <w:tcW w:w="2825" w:type="dxa"/>
            <w:tcBorders>
              <w:top w:val="nil"/>
              <w:left w:val="nil"/>
              <w:bottom w:val="single" w:sz="4" w:space="0" w:color="auto"/>
              <w:right w:val="single" w:sz="4" w:space="0" w:color="auto"/>
            </w:tcBorders>
            <w:shd w:val="clear" w:color="auto" w:fill="C1E4F5" w:themeFill="accent1" w:themeFillTint="33"/>
            <w:noWrap/>
            <w:vAlign w:val="bottom"/>
          </w:tcPr>
          <w:p w14:paraId="776F6C17"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15.56</w:t>
            </w:r>
          </w:p>
        </w:tc>
        <w:tc>
          <w:tcPr>
            <w:tcW w:w="2845" w:type="dxa"/>
            <w:tcBorders>
              <w:top w:val="nil"/>
              <w:left w:val="nil"/>
              <w:bottom w:val="single" w:sz="4" w:space="0" w:color="auto"/>
              <w:right w:val="single" w:sz="4" w:space="0" w:color="auto"/>
            </w:tcBorders>
            <w:shd w:val="clear" w:color="auto" w:fill="C1E4F5" w:themeFill="accent1" w:themeFillTint="33"/>
            <w:noWrap/>
            <w:vAlign w:val="bottom"/>
          </w:tcPr>
          <w:p w14:paraId="08929C47" w14:textId="77777777" w:rsidR="0098154E"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18.15</w:t>
            </w:r>
          </w:p>
        </w:tc>
      </w:tr>
    </w:tbl>
    <w:p w14:paraId="487620B3" w14:textId="77777777" w:rsidR="0098154E" w:rsidRDefault="00000000">
      <w:pPr>
        <w:pStyle w:val="2"/>
        <w:spacing w:before="240"/>
        <w:rPr>
          <w:rFonts w:ascii="宋体" w:eastAsia="宋体" w:hAnsi="宋体" w:hint="eastAsia"/>
          <w:sz w:val="24"/>
          <w:szCs w:val="24"/>
        </w:rPr>
      </w:pPr>
      <w:r>
        <w:rPr>
          <w:rFonts w:ascii="宋体" w:eastAsia="宋体" w:hAnsi="宋体" w:hint="eastAsia"/>
          <w:sz w:val="24"/>
          <w:szCs w:val="24"/>
        </w:rPr>
        <w:t>（三）产数业务发展政策制约过多，不能灵活适应竞争发展要求</w:t>
      </w:r>
    </w:p>
    <w:p w14:paraId="76D154F5" w14:textId="066104CB" w:rsidR="0098154E" w:rsidRDefault="00000000">
      <w:pPr>
        <w:spacing w:line="360" w:lineRule="auto"/>
        <w:ind w:firstLineChars="236" w:firstLine="569"/>
        <w:rPr>
          <w:rFonts w:ascii="宋体" w:eastAsia="宋体" w:hAnsi="宋体" w:hint="eastAsia"/>
          <w:sz w:val="24"/>
          <w:szCs w:val="24"/>
        </w:rPr>
      </w:pPr>
      <w:r>
        <w:rPr>
          <w:rFonts w:ascii="宋体" w:eastAsia="宋体" w:hAnsi="宋体" w:hint="eastAsia"/>
          <w:b/>
          <w:bCs/>
          <w:sz w:val="24"/>
          <w:szCs w:val="24"/>
        </w:rPr>
        <w:t>政策约束主要体现在利润率红线和应收账款坏账风险防范</w:t>
      </w:r>
      <w:r w:rsidR="005E4FC5">
        <w:rPr>
          <w:rFonts w:ascii="宋体" w:eastAsia="宋体" w:hAnsi="宋体" w:hint="eastAsia"/>
          <w:b/>
          <w:bCs/>
          <w:sz w:val="24"/>
          <w:szCs w:val="24"/>
        </w:rPr>
        <w:t>。</w:t>
      </w:r>
      <w:r w:rsidR="005E4FC5">
        <w:rPr>
          <w:rFonts w:ascii="宋体" w:eastAsia="宋体" w:hAnsi="宋体" w:hint="eastAsia"/>
          <w:sz w:val="24"/>
          <w:szCs w:val="24"/>
        </w:rPr>
        <w:t>经济环境和财政资金紧张等因素影响下，政企客户支付能力下降，产数业务呈现较大比例的应收风险，各地公司随之收紧发展策略，产数市场拓展力度下降</w:t>
      </w:r>
      <w:r w:rsidR="00672861">
        <w:rPr>
          <w:rFonts w:ascii="宋体" w:eastAsia="宋体" w:hAnsi="宋体" w:hint="eastAsia"/>
          <w:sz w:val="24"/>
          <w:szCs w:val="24"/>
        </w:rPr>
        <w:t>；</w:t>
      </w:r>
      <w:r w:rsidR="005E4FC5">
        <w:rPr>
          <w:rFonts w:ascii="宋体" w:eastAsia="宋体" w:hAnsi="宋体" w:hint="eastAsia"/>
          <w:sz w:val="24"/>
          <w:szCs w:val="24"/>
        </w:rPr>
        <w:t>以某省为例，政企业务发展单量较去年下降8%。此外，</w:t>
      </w:r>
      <w:r>
        <w:rPr>
          <w:rFonts w:ascii="宋体" w:eastAsia="宋体" w:hAnsi="宋体" w:hint="eastAsia"/>
          <w:b/>
          <w:bCs/>
          <w:sz w:val="24"/>
          <w:szCs w:val="24"/>
        </w:rPr>
        <w:t>ICT项目弃标率持续高位</w:t>
      </w:r>
      <w:r w:rsidR="005E4FC5">
        <w:rPr>
          <w:rFonts w:ascii="宋体" w:eastAsia="宋体" w:hAnsi="宋体" w:hint="eastAsia"/>
          <w:sz w:val="24"/>
          <w:szCs w:val="24"/>
        </w:rPr>
        <w:t>，不仅导致产数自身减收，且进一步减弱对云、网、战新业务的发展拉动</w:t>
      </w:r>
      <w:r w:rsidR="00672861">
        <w:rPr>
          <w:rFonts w:ascii="宋体" w:eastAsia="宋体" w:hAnsi="宋体" w:hint="eastAsia"/>
          <w:sz w:val="24"/>
          <w:szCs w:val="24"/>
        </w:rPr>
        <w:t>；</w:t>
      </w:r>
      <w:r>
        <w:rPr>
          <w:rFonts w:ascii="宋体" w:eastAsia="宋体" w:hAnsi="宋体" w:hint="eastAsia"/>
          <w:sz w:val="24"/>
          <w:szCs w:val="24"/>
        </w:rPr>
        <w:t>以某大省为例，ICT项目弃标率近6个季度均值高于35%，其中，重大项目（&gt;300万元）弃标率近30%。</w:t>
      </w:r>
    </w:p>
    <w:p w14:paraId="57B5245A" w14:textId="77777777" w:rsidR="0098154E" w:rsidRDefault="00000000">
      <w:pPr>
        <w:pStyle w:val="12"/>
        <w:spacing w:before="120" w:after="156"/>
        <w:rPr>
          <w:rFonts w:hint="eastAsia"/>
        </w:rPr>
      </w:pPr>
      <w:r>
        <w:rPr>
          <w:rFonts w:hint="eastAsia"/>
        </w:rPr>
        <w:t>三、产数发展迎来政策和市场双利好的窗口期</w:t>
      </w:r>
    </w:p>
    <w:p w14:paraId="5B407985" w14:textId="34FF2D19" w:rsidR="0098154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随着一系列促进政策</w:t>
      </w:r>
      <w:r w:rsidR="00672861">
        <w:rPr>
          <w:rFonts w:ascii="宋体" w:eastAsia="宋体" w:hAnsi="宋体" w:hint="eastAsia"/>
          <w:sz w:val="24"/>
          <w:szCs w:val="24"/>
        </w:rPr>
        <w:t>推进</w:t>
      </w:r>
      <w:r>
        <w:rPr>
          <w:rFonts w:ascii="宋体" w:eastAsia="宋体" w:hAnsi="宋体" w:hint="eastAsia"/>
          <w:sz w:val="24"/>
          <w:szCs w:val="24"/>
        </w:rPr>
        <w:t>经济环境好转，未来经济预期较长时间保持中速以上增长，对产数业务</w:t>
      </w:r>
      <w:r w:rsidR="00672861">
        <w:rPr>
          <w:rFonts w:ascii="宋体" w:eastAsia="宋体" w:hAnsi="宋体" w:hint="eastAsia"/>
          <w:sz w:val="24"/>
          <w:szCs w:val="24"/>
        </w:rPr>
        <w:t>发展</w:t>
      </w:r>
      <w:r>
        <w:rPr>
          <w:rFonts w:ascii="宋体" w:eastAsia="宋体" w:hAnsi="宋体" w:hint="eastAsia"/>
          <w:sz w:val="24"/>
          <w:szCs w:val="24"/>
        </w:rPr>
        <w:t>带来有效市场支撑。</w:t>
      </w:r>
    </w:p>
    <w:p w14:paraId="5382C193" w14:textId="77777777" w:rsidR="0098154E" w:rsidRDefault="00000000">
      <w:pPr>
        <w:pStyle w:val="2"/>
        <w:rPr>
          <w:rFonts w:ascii="宋体" w:eastAsia="宋体" w:hAnsi="宋体" w:hint="eastAsia"/>
          <w:sz w:val="24"/>
          <w:szCs w:val="24"/>
        </w:rPr>
      </w:pPr>
      <w:r>
        <w:rPr>
          <w:rFonts w:ascii="宋体" w:eastAsia="宋体" w:hAnsi="宋体" w:hint="eastAsia"/>
          <w:sz w:val="24"/>
          <w:szCs w:val="24"/>
        </w:rPr>
        <w:t>（一）近期出台的宽松政策对产数市场构成利好</w:t>
      </w:r>
    </w:p>
    <w:p w14:paraId="5A491192" w14:textId="77777777" w:rsidR="0098154E" w:rsidRDefault="00000000">
      <w:pPr>
        <w:spacing w:afterLines="50" w:after="156" w:line="360" w:lineRule="auto"/>
        <w:ind w:firstLineChars="177" w:firstLine="425"/>
        <w:rPr>
          <w:rFonts w:ascii="宋体" w:eastAsia="宋体" w:hAnsi="宋体" w:hint="eastAsia"/>
          <w:sz w:val="24"/>
          <w:szCs w:val="24"/>
        </w:rPr>
      </w:pPr>
      <w:r>
        <w:rPr>
          <w:rFonts w:ascii="宋体" w:eastAsia="宋体" w:hAnsi="宋体" w:hint="eastAsia"/>
          <w:sz w:val="24"/>
          <w:szCs w:val="24"/>
        </w:rPr>
        <w:t>9月人民银行出台2015年以来最全面的宽松政策，包括降低存款准备金率和政策利率等；10月国办发布一揽子增量政策，多维度统筹推动经济复苏；近日中办、国办印发《关于解决拖欠企业账款问题的意见》，加强政府投资和采购项目价款结算监管，“拟一次性增加较大规模债务限额置换地方政府存量隐性债务”。相关政策松绑预期可大幅改善市场主体预期，缓解经济下行压力，同时对产业供应商维护应收账款权益、提振产业发展信心带来积极影响。</w:t>
      </w:r>
    </w:p>
    <w:p w14:paraId="403400D4" w14:textId="77777777" w:rsidR="0098154E" w:rsidRDefault="00000000">
      <w:pPr>
        <w:pStyle w:val="2"/>
        <w:rPr>
          <w:rFonts w:ascii="宋体" w:eastAsia="宋体" w:hAnsi="宋体" w:hint="eastAsia"/>
          <w:sz w:val="24"/>
          <w:szCs w:val="24"/>
        </w:rPr>
      </w:pPr>
      <w:r>
        <w:rPr>
          <w:rFonts w:ascii="宋体" w:eastAsia="宋体" w:hAnsi="宋体" w:hint="eastAsia"/>
          <w:sz w:val="24"/>
          <w:szCs w:val="24"/>
        </w:rPr>
        <w:t>（二）产数市场仍将迎来持续高位扩张预期</w:t>
      </w:r>
    </w:p>
    <w:p w14:paraId="2610A959" w14:textId="7203DE84" w:rsidR="0098154E" w:rsidRDefault="00000000">
      <w:pPr>
        <w:spacing w:afterLines="50" w:after="156" w:line="360" w:lineRule="auto"/>
        <w:ind w:firstLineChars="177" w:firstLine="425"/>
        <w:rPr>
          <w:rFonts w:ascii="宋体" w:eastAsia="宋体" w:hAnsi="宋体" w:hint="eastAsia"/>
          <w:color w:val="000000" w:themeColor="text1"/>
          <w:sz w:val="24"/>
          <w:szCs w:val="24"/>
        </w:rPr>
      </w:pPr>
      <w:r>
        <w:rPr>
          <w:rFonts w:ascii="宋体" w:eastAsia="宋体" w:hAnsi="宋体" w:hint="eastAsia"/>
          <w:sz w:val="24"/>
          <w:szCs w:val="24"/>
        </w:rPr>
        <w:t>业界普遍认为，未来在加快推动低空经济、智能制造、人形机器人、脑机接口、6G等新质生产力，以及推进智能制造、培育智能工厂和新型城镇化及城市更新等多个领域将产生巨大的产业数字化发展机遇。</w:t>
      </w:r>
      <w:r>
        <w:rPr>
          <w:rFonts w:ascii="宋体" w:eastAsia="宋体" w:hAnsi="宋体" w:hint="eastAsia"/>
          <w:b/>
          <w:bCs/>
          <w:sz w:val="24"/>
          <w:szCs w:val="24"/>
        </w:rPr>
        <w:t>企业级ICT市场自2024年起</w:t>
      </w:r>
      <w:r>
        <w:rPr>
          <w:rFonts w:ascii="宋体" w:eastAsia="宋体" w:hAnsi="宋体" w:hint="eastAsia"/>
          <w:b/>
          <w:bCs/>
          <w:sz w:val="24"/>
          <w:szCs w:val="24"/>
        </w:rPr>
        <w:lastRenderedPageBreak/>
        <w:t>以9％的</w:t>
      </w:r>
      <w:r w:rsidR="00375F78">
        <w:rPr>
          <w:rFonts w:ascii="宋体" w:eastAsia="宋体" w:hAnsi="宋体" w:hint="eastAsia"/>
          <w:b/>
          <w:bCs/>
          <w:sz w:val="24"/>
          <w:szCs w:val="24"/>
        </w:rPr>
        <w:t>年</w:t>
      </w:r>
      <w:r>
        <w:rPr>
          <w:rFonts w:ascii="宋体" w:eastAsia="宋体" w:hAnsi="宋体" w:hint="eastAsia"/>
          <w:b/>
          <w:bCs/>
          <w:sz w:val="24"/>
          <w:szCs w:val="24"/>
        </w:rPr>
        <w:t>复合增长率增长</w:t>
      </w:r>
      <w:r>
        <w:rPr>
          <w:rStyle w:val="af"/>
          <w:rFonts w:ascii="宋体" w:eastAsia="宋体" w:hAnsi="宋体" w:hint="eastAsia"/>
          <w:b/>
          <w:bCs/>
          <w:sz w:val="24"/>
          <w:szCs w:val="24"/>
        </w:rPr>
        <w:footnoteReference w:id="2"/>
      </w:r>
      <w:r w:rsidR="00375F78">
        <w:rPr>
          <w:rFonts w:ascii="宋体" w:eastAsia="宋体" w:hAnsi="宋体" w:hint="eastAsia"/>
          <w:sz w:val="24"/>
          <w:szCs w:val="24"/>
        </w:rPr>
        <w:t>，</w:t>
      </w:r>
      <w:r>
        <w:rPr>
          <w:rFonts w:ascii="宋体" w:eastAsia="宋体" w:hAnsi="宋体" w:hint="eastAsia"/>
          <w:sz w:val="24"/>
          <w:szCs w:val="24"/>
        </w:rPr>
        <w:t>云计算占比将进一步提升，</w:t>
      </w:r>
      <w:r w:rsidR="00375F78">
        <w:rPr>
          <w:rFonts w:ascii="宋体" w:eastAsia="宋体" w:hAnsi="宋体" w:hint="eastAsia"/>
          <w:sz w:val="24"/>
          <w:szCs w:val="24"/>
        </w:rPr>
        <w:t>其中</w:t>
      </w:r>
      <w:r>
        <w:rPr>
          <w:rFonts w:ascii="宋体" w:eastAsia="宋体" w:hAnsi="宋体" w:hint="eastAsia"/>
          <w:sz w:val="24"/>
          <w:szCs w:val="24"/>
        </w:rPr>
        <w:t>公有云和私有云市场约为20-30%的增速，IaaS业务五年复合增长率达15.6%；</w:t>
      </w:r>
      <w:r>
        <w:rPr>
          <w:rFonts w:ascii="宋体" w:eastAsia="宋体" w:hAnsi="宋体" w:hint="eastAsia"/>
          <w:color w:val="000000" w:themeColor="text1"/>
          <w:sz w:val="24"/>
          <w:szCs w:val="24"/>
        </w:rPr>
        <w:t>物联网连接量复合增长率约为 16%</w:t>
      </w:r>
      <w:r>
        <w:rPr>
          <w:rStyle w:val="af"/>
          <w:rFonts w:ascii="宋体" w:eastAsia="宋体" w:hAnsi="宋体" w:hint="eastAsia"/>
          <w:color w:val="000000" w:themeColor="text1"/>
          <w:sz w:val="24"/>
          <w:szCs w:val="24"/>
        </w:rPr>
        <w:footnoteReference w:id="3"/>
      </w:r>
      <w:r>
        <w:rPr>
          <w:rFonts w:ascii="宋体" w:eastAsia="宋体" w:hAnsi="宋体" w:hint="eastAsia"/>
          <w:color w:val="000000" w:themeColor="text1"/>
          <w:sz w:val="24"/>
          <w:szCs w:val="24"/>
        </w:rPr>
        <w:t>（其中制造、医疗、交通等典型行业均将在20%以上）；5G定制网则将有持续超过100%的增速</w:t>
      </w:r>
      <w:r>
        <w:rPr>
          <w:rStyle w:val="af"/>
          <w:rFonts w:ascii="宋体" w:eastAsia="宋体" w:hAnsi="宋体" w:hint="eastAsia"/>
          <w:color w:val="000000" w:themeColor="text1"/>
          <w:sz w:val="24"/>
          <w:szCs w:val="24"/>
        </w:rPr>
        <w:footnoteReference w:id="4"/>
      </w:r>
      <w:r>
        <w:rPr>
          <w:rFonts w:ascii="宋体" w:eastAsia="宋体" w:hAnsi="宋体" w:hint="eastAsia"/>
          <w:color w:val="000000" w:themeColor="text1"/>
          <w:sz w:val="24"/>
          <w:szCs w:val="24"/>
        </w:rPr>
        <w:t>。</w:t>
      </w:r>
    </w:p>
    <w:p w14:paraId="683D771F" w14:textId="77777777" w:rsidR="0098154E" w:rsidRDefault="00000000">
      <w:pPr>
        <w:pStyle w:val="12"/>
        <w:spacing w:before="120" w:after="156"/>
        <w:rPr>
          <w:rFonts w:hint="eastAsia"/>
        </w:rPr>
      </w:pPr>
      <w:r>
        <w:rPr>
          <w:rFonts w:hint="eastAsia"/>
        </w:rPr>
        <w:t>四、建议把握窗口期机遇，多措并举做大做强产数业务</w:t>
      </w:r>
    </w:p>
    <w:p w14:paraId="190FDE85" w14:textId="5441D5CC" w:rsidR="0098154E" w:rsidRDefault="00000000">
      <w:pPr>
        <w:spacing w:line="360" w:lineRule="auto"/>
        <w:ind w:firstLineChars="177" w:firstLine="425"/>
        <w:rPr>
          <w:rFonts w:ascii="宋体" w:eastAsia="宋体" w:hAnsi="宋体" w:hint="eastAsia"/>
          <w:b/>
          <w:bCs/>
          <w:sz w:val="24"/>
          <w:szCs w:val="24"/>
        </w:rPr>
      </w:pPr>
      <w:r>
        <w:rPr>
          <w:rFonts w:ascii="宋体" w:eastAsia="宋体" w:hAnsi="宋体" w:hint="eastAsia"/>
          <w:sz w:val="24"/>
          <w:szCs w:val="24"/>
        </w:rPr>
        <w:t>根据测算，电信产数市场份额如果从当前的6%提升到7%，可望拉动总收入增长超过5PP</w:t>
      </w:r>
      <w:r>
        <w:rPr>
          <w:rStyle w:val="af"/>
          <w:rFonts w:ascii="宋体" w:eastAsia="宋体" w:hAnsi="宋体" w:hint="eastAsia"/>
          <w:sz w:val="24"/>
          <w:szCs w:val="24"/>
        </w:rPr>
        <w:footnoteReference w:id="5"/>
      </w:r>
      <w:r>
        <w:rPr>
          <w:rFonts w:ascii="宋体" w:eastAsia="宋体" w:hAnsi="宋体" w:hint="eastAsia"/>
          <w:sz w:val="24"/>
          <w:szCs w:val="24"/>
        </w:rPr>
        <w:t>。建议在政策宽松和市场预期增强的机遇下，进一步强化产数战略地位，</w:t>
      </w:r>
      <w:r>
        <w:rPr>
          <w:rFonts w:ascii="宋体" w:eastAsia="宋体" w:hAnsi="宋体" w:hint="eastAsia"/>
          <w:b/>
          <w:bCs/>
          <w:sz w:val="24"/>
          <w:szCs w:val="24"/>
        </w:rPr>
        <w:t>采取有效策略，加快提升产数市场份额。</w:t>
      </w:r>
    </w:p>
    <w:p w14:paraId="10D84A45" w14:textId="77777777" w:rsidR="0098154E" w:rsidRDefault="00000000">
      <w:pPr>
        <w:pStyle w:val="2"/>
        <w:rPr>
          <w:rFonts w:ascii="宋体" w:eastAsia="宋体" w:hAnsi="宋体" w:hint="eastAsia"/>
          <w:sz w:val="24"/>
          <w:szCs w:val="24"/>
        </w:rPr>
      </w:pPr>
      <w:bookmarkStart w:id="2" w:name="_Hlk181784200"/>
      <w:r>
        <w:rPr>
          <w:rFonts w:ascii="宋体" w:eastAsia="宋体" w:hAnsi="宋体" w:hint="eastAsia"/>
          <w:sz w:val="24"/>
          <w:szCs w:val="24"/>
        </w:rPr>
        <w:t>（一）顺应国家和市场发展趋势，</w:t>
      </w:r>
      <w:bookmarkStart w:id="3" w:name="_Hlk181785535"/>
      <w:r>
        <w:rPr>
          <w:rFonts w:ascii="宋体" w:eastAsia="宋体" w:hAnsi="宋体" w:hint="eastAsia"/>
          <w:sz w:val="24"/>
          <w:szCs w:val="24"/>
        </w:rPr>
        <w:t>适度松绑政策约束</w:t>
      </w:r>
      <w:bookmarkEnd w:id="3"/>
    </w:p>
    <w:p w14:paraId="54A5E426" w14:textId="192373F1" w:rsidR="0098154E" w:rsidRDefault="00000000">
      <w:pPr>
        <w:spacing w:line="360" w:lineRule="auto"/>
        <w:ind w:firstLineChars="236" w:firstLine="566"/>
        <w:rPr>
          <w:rFonts w:ascii="宋体" w:eastAsia="宋体" w:hAnsi="宋体" w:hint="eastAsia"/>
          <w:sz w:val="24"/>
          <w:szCs w:val="24"/>
        </w:rPr>
      </w:pPr>
      <w:r>
        <w:rPr>
          <w:rFonts w:ascii="宋体" w:eastAsia="宋体" w:hAnsi="宋体" w:hint="eastAsia"/>
          <w:sz w:val="24"/>
          <w:szCs w:val="24"/>
        </w:rPr>
        <w:t>基于国家宏观政策和市场形势变化，建议集团适度松绑ICT项目利润红线和应收账款约束政策，以做大市场份额为首要指标，有效提升ICT项目的签单能力和量效。江苏、广东、浙江、山东、福建、河南、四川、湖北、安徽、湖南等 10省第二产业增加值占全国64%，是产数业务规模发展的重点区域，尤其需要给予适度激进的策略指引，降低弃标率，抢占市场。</w:t>
      </w:r>
    </w:p>
    <w:p w14:paraId="7B2E70A6" w14:textId="77777777" w:rsidR="0098154E" w:rsidRDefault="00000000">
      <w:pPr>
        <w:pStyle w:val="2"/>
        <w:rPr>
          <w:rFonts w:ascii="宋体" w:eastAsia="宋体" w:hAnsi="宋体" w:hint="eastAsia"/>
          <w:sz w:val="24"/>
          <w:szCs w:val="24"/>
        </w:rPr>
      </w:pPr>
      <w:r>
        <w:rPr>
          <w:rFonts w:ascii="宋体" w:eastAsia="宋体" w:hAnsi="宋体" w:hint="eastAsia"/>
          <w:sz w:val="24"/>
          <w:szCs w:val="24"/>
        </w:rPr>
        <w:t>（二）着力增强能力转型，为产数新型赛道铺垫成长基础</w:t>
      </w:r>
    </w:p>
    <w:p w14:paraId="3FA49142" w14:textId="4F62297E" w:rsidR="0098154E" w:rsidRDefault="00000000">
      <w:pPr>
        <w:spacing w:line="360" w:lineRule="auto"/>
        <w:ind w:firstLineChars="236" w:firstLine="566"/>
        <w:rPr>
          <w:rFonts w:ascii="宋体" w:eastAsia="宋体" w:hAnsi="宋体" w:hint="eastAsia"/>
          <w:sz w:val="24"/>
          <w:szCs w:val="24"/>
        </w:rPr>
      </w:pPr>
      <w:r>
        <w:rPr>
          <w:rFonts w:ascii="宋体" w:eastAsia="宋体" w:hAnsi="宋体" w:hint="eastAsia"/>
          <w:sz w:val="24"/>
          <w:szCs w:val="24"/>
        </w:rPr>
        <w:t>一是要加快打造拳头战新产品，驱动产数高质量发展进阶，促进省公司在解决方案中放心增加“七融”创新的技术标签，实现从连接融合服务向能力融合服务转型</w:t>
      </w:r>
      <w:r w:rsidR="00FA1262">
        <w:rPr>
          <w:rFonts w:ascii="宋体" w:eastAsia="宋体" w:hAnsi="宋体" w:hint="eastAsia"/>
          <w:sz w:val="24"/>
          <w:szCs w:val="24"/>
        </w:rPr>
        <w:t>；</w:t>
      </w:r>
      <w:r>
        <w:rPr>
          <w:rFonts w:ascii="宋体" w:eastAsia="宋体" w:hAnsi="宋体" w:hint="eastAsia"/>
          <w:sz w:val="24"/>
          <w:szCs w:val="24"/>
        </w:rPr>
        <w:t>以大幅提升自融率为目标，实现战新业务对收入增长的有效拉动</w:t>
      </w:r>
      <w:r w:rsidR="00FA1262">
        <w:rPr>
          <w:rFonts w:ascii="宋体" w:eastAsia="宋体" w:hAnsi="宋体" w:hint="eastAsia"/>
          <w:sz w:val="24"/>
          <w:szCs w:val="24"/>
        </w:rPr>
        <w:t>。</w:t>
      </w:r>
      <w:r>
        <w:rPr>
          <w:rFonts w:ascii="宋体" w:eastAsia="宋体" w:hAnsi="宋体" w:hint="eastAsia"/>
          <w:sz w:val="24"/>
          <w:szCs w:val="24"/>
        </w:rPr>
        <w:t>二是产数人才队伍能力转型，加快培育当前亟需的技术性销售和方案创新能力，缩小与华为、阿里等专家型供应商的差距，</w:t>
      </w:r>
      <w:r w:rsidR="00FA1262">
        <w:rPr>
          <w:rFonts w:ascii="宋体" w:eastAsia="宋体" w:hAnsi="宋体" w:hint="eastAsia"/>
          <w:sz w:val="24"/>
          <w:szCs w:val="24"/>
        </w:rPr>
        <w:t>确保</w:t>
      </w:r>
      <w:r>
        <w:rPr>
          <w:rFonts w:ascii="宋体" w:eastAsia="宋体" w:hAnsi="宋体" w:hint="eastAsia"/>
          <w:sz w:val="24"/>
          <w:szCs w:val="24"/>
        </w:rPr>
        <w:t>ICT项目招投标市场</w:t>
      </w:r>
      <w:r w:rsidR="00FA1262">
        <w:rPr>
          <w:rFonts w:ascii="宋体" w:eastAsia="宋体" w:hAnsi="宋体" w:hint="eastAsia"/>
          <w:sz w:val="24"/>
          <w:szCs w:val="24"/>
        </w:rPr>
        <w:t>份额</w:t>
      </w:r>
      <w:r>
        <w:rPr>
          <w:rFonts w:ascii="宋体" w:eastAsia="宋体" w:hAnsi="宋体" w:hint="eastAsia"/>
          <w:sz w:val="24"/>
          <w:szCs w:val="24"/>
        </w:rPr>
        <w:t>。</w:t>
      </w:r>
    </w:p>
    <w:p w14:paraId="27655BAF" w14:textId="44CABE67" w:rsidR="0098154E" w:rsidRDefault="00000000">
      <w:pPr>
        <w:pStyle w:val="2"/>
        <w:rPr>
          <w:rFonts w:ascii="宋体" w:eastAsia="宋体" w:hAnsi="宋体" w:hint="eastAsia"/>
          <w:color w:val="000000" w:themeColor="text1"/>
          <w:sz w:val="24"/>
          <w:szCs w:val="24"/>
        </w:rPr>
      </w:pPr>
      <w:r>
        <w:rPr>
          <w:rFonts w:ascii="宋体" w:eastAsia="宋体" w:hAnsi="宋体" w:hint="eastAsia"/>
          <w:color w:val="000000" w:themeColor="text1"/>
          <w:sz w:val="24"/>
          <w:szCs w:val="24"/>
        </w:rPr>
        <w:t>（三）</w:t>
      </w:r>
      <w:r w:rsidR="00161DA8" w:rsidRPr="00161DA8">
        <w:rPr>
          <w:rFonts w:ascii="宋体" w:eastAsia="宋体" w:hAnsi="宋体" w:hint="eastAsia"/>
          <w:color w:val="000000" w:themeColor="text1"/>
          <w:sz w:val="24"/>
          <w:szCs w:val="24"/>
        </w:rPr>
        <w:t>推进行业有序竞争和良性发展</w:t>
      </w:r>
      <w:r w:rsidR="00161DA8">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扭转传统优势产数业务发展困局</w:t>
      </w:r>
    </w:p>
    <w:bookmarkEnd w:id="2"/>
    <w:p w14:paraId="767AFFB8" w14:textId="31A730FD" w:rsidR="0098154E" w:rsidRDefault="00000000">
      <w:pPr>
        <w:spacing w:line="360" w:lineRule="auto"/>
        <w:ind w:firstLineChars="236" w:firstLine="566"/>
        <w:rPr>
          <w:rFonts w:ascii="宋体" w:eastAsia="宋体" w:hAnsi="宋体" w:hint="eastAsia"/>
          <w:sz w:val="24"/>
          <w:szCs w:val="24"/>
        </w:rPr>
      </w:pPr>
      <w:r>
        <w:rPr>
          <w:rFonts w:ascii="宋体" w:eastAsia="宋体" w:hAnsi="宋体" w:hint="eastAsia"/>
          <w:sz w:val="24"/>
          <w:szCs w:val="24"/>
        </w:rPr>
        <w:t>传统优势产数业务是</w:t>
      </w:r>
      <w:r w:rsidR="00FA1262">
        <w:rPr>
          <w:rFonts w:ascii="宋体" w:eastAsia="宋体" w:hAnsi="宋体" w:hint="eastAsia"/>
          <w:sz w:val="24"/>
          <w:szCs w:val="24"/>
        </w:rPr>
        <w:t>稳定</w:t>
      </w:r>
      <w:r>
        <w:rPr>
          <w:rFonts w:ascii="宋体" w:eastAsia="宋体" w:hAnsi="宋体" w:hint="eastAsia"/>
          <w:sz w:val="24"/>
          <w:szCs w:val="24"/>
        </w:rPr>
        <w:t>整体收入增速的基础底座。一是双线业务同质化竞争不可避免，</w:t>
      </w:r>
      <w:r w:rsidR="00005A57">
        <w:rPr>
          <w:rFonts w:ascii="宋体" w:eastAsia="宋体" w:hAnsi="宋体" w:hint="eastAsia"/>
          <w:sz w:val="24"/>
          <w:szCs w:val="24"/>
        </w:rPr>
        <w:t>建议由集团层面响应</w:t>
      </w:r>
      <w:r>
        <w:rPr>
          <w:rFonts w:ascii="宋体" w:eastAsia="宋体" w:hAnsi="宋体" w:hint="eastAsia"/>
          <w:sz w:val="24"/>
          <w:szCs w:val="24"/>
        </w:rPr>
        <w:t>国家“</w:t>
      </w:r>
      <w:r>
        <w:rPr>
          <w:rFonts w:ascii="宋体" w:eastAsia="宋体" w:hAnsi="宋体"/>
          <w:sz w:val="24"/>
          <w:szCs w:val="24"/>
        </w:rPr>
        <w:t>强化行业自律，防止内卷式恶性竞争</w:t>
      </w:r>
      <w:r>
        <w:rPr>
          <w:rFonts w:ascii="宋体" w:eastAsia="宋体" w:hAnsi="宋体" w:hint="eastAsia"/>
          <w:sz w:val="24"/>
          <w:szCs w:val="24"/>
        </w:rPr>
        <w:t>”</w:t>
      </w:r>
      <w:r>
        <w:rPr>
          <w:rFonts w:ascii="宋体" w:eastAsia="宋体" w:hAnsi="宋体" w:hint="eastAsia"/>
          <w:sz w:val="24"/>
          <w:szCs w:val="24"/>
        </w:rPr>
        <w:lastRenderedPageBreak/>
        <w:t>政策，会同中移动、中联通启动价格协商机制；二是要加快</w:t>
      </w:r>
      <w:r w:rsidR="00005A57">
        <w:rPr>
          <w:rFonts w:ascii="宋体" w:eastAsia="宋体" w:hAnsi="宋体" w:hint="eastAsia"/>
          <w:sz w:val="24"/>
          <w:szCs w:val="24"/>
        </w:rPr>
        <w:t>IDC业务</w:t>
      </w:r>
      <w:r>
        <w:rPr>
          <w:rFonts w:ascii="宋体" w:eastAsia="宋体" w:hAnsi="宋体" w:hint="eastAsia"/>
          <w:sz w:val="24"/>
          <w:szCs w:val="24"/>
        </w:rPr>
        <w:t>资源改造，向智算型产数能力转型，满足智算发展快车要求，在资源布局上平衡运营效率和成本，优先保障高需求区域的市场拓展需要。三是挖掘5G专网应用场景，借助5G-A等技术突破，实现从备份、网络补点等外围应用向工业数采、移动组网</w:t>
      </w:r>
      <w:r w:rsidR="00005A57">
        <w:rPr>
          <w:rFonts w:ascii="宋体" w:eastAsia="宋体" w:hAnsi="宋体" w:hint="eastAsia"/>
          <w:sz w:val="24"/>
          <w:szCs w:val="24"/>
        </w:rPr>
        <w:t>等深入</w:t>
      </w:r>
      <w:r>
        <w:rPr>
          <w:rFonts w:ascii="宋体" w:eastAsia="宋体" w:hAnsi="宋体" w:hint="eastAsia"/>
          <w:sz w:val="24"/>
          <w:szCs w:val="24"/>
        </w:rPr>
        <w:t>突破，带动工业产数高增长。</w:t>
      </w:r>
    </w:p>
    <w:p w14:paraId="67B12A0E" w14:textId="77777777" w:rsidR="0098154E" w:rsidRDefault="0098154E">
      <w:pPr>
        <w:spacing w:line="360" w:lineRule="auto"/>
        <w:ind w:firstLineChars="236" w:firstLine="566"/>
        <w:rPr>
          <w:rFonts w:ascii="宋体" w:eastAsia="宋体" w:hAnsi="宋体" w:hint="eastAsia"/>
          <w:sz w:val="24"/>
          <w:szCs w:val="24"/>
        </w:rPr>
      </w:pPr>
    </w:p>
    <w:p w14:paraId="12A750CD" w14:textId="77777777" w:rsidR="0098154E" w:rsidRDefault="0098154E">
      <w:pPr>
        <w:spacing w:line="360" w:lineRule="auto"/>
        <w:ind w:firstLineChars="236" w:firstLine="566"/>
        <w:rPr>
          <w:rFonts w:ascii="宋体" w:eastAsia="宋体" w:hAnsi="宋体" w:hint="eastAsia"/>
          <w:sz w:val="24"/>
          <w:szCs w:val="24"/>
        </w:rPr>
      </w:pPr>
    </w:p>
    <w:sectPr w:rsidR="009815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4E74EF" w14:textId="77777777" w:rsidR="004C2239" w:rsidRDefault="004C2239">
      <w:pPr>
        <w:rPr>
          <w:rFonts w:hint="eastAsia"/>
        </w:rPr>
      </w:pPr>
      <w:r>
        <w:separator/>
      </w:r>
    </w:p>
  </w:endnote>
  <w:endnote w:type="continuationSeparator" w:id="0">
    <w:p w14:paraId="7208500A" w14:textId="77777777" w:rsidR="004C2239" w:rsidRDefault="004C22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2C4E7" w14:textId="77777777" w:rsidR="004C2239" w:rsidRDefault="004C2239">
      <w:pPr>
        <w:rPr>
          <w:rFonts w:hint="eastAsia"/>
        </w:rPr>
      </w:pPr>
      <w:r>
        <w:separator/>
      </w:r>
    </w:p>
  </w:footnote>
  <w:footnote w:type="continuationSeparator" w:id="0">
    <w:p w14:paraId="6967B87C" w14:textId="77777777" w:rsidR="004C2239" w:rsidRDefault="004C2239">
      <w:pPr>
        <w:rPr>
          <w:rFonts w:hint="eastAsia"/>
        </w:rPr>
      </w:pPr>
      <w:r>
        <w:continuationSeparator/>
      </w:r>
    </w:p>
  </w:footnote>
  <w:footnote w:id="1">
    <w:p w14:paraId="7785223E" w14:textId="25676147" w:rsidR="0098154E" w:rsidRDefault="00000000">
      <w:pPr>
        <w:pStyle w:val="a9"/>
        <w:rPr>
          <w:rFonts w:hint="eastAsia"/>
        </w:rPr>
      </w:pPr>
      <w:r>
        <w:rPr>
          <w:rStyle w:val="af"/>
          <w:rFonts w:hint="eastAsia"/>
        </w:rPr>
        <w:footnoteRef/>
      </w:r>
      <w:r>
        <w:t>科智咨询《2023-2024年我国IDC行业发展研究报告》</w:t>
      </w:r>
      <w:r w:rsidR="004A4432">
        <w:rPr>
          <w:rFonts w:hint="eastAsia"/>
        </w:rPr>
        <w:t>：</w:t>
      </w:r>
      <w:r>
        <w:t>2023年我国整体IDC业务市场规模为5078.3亿元</w:t>
      </w:r>
      <w:r>
        <w:rPr>
          <w:rFonts w:hint="eastAsia"/>
        </w:rPr>
        <w:t>，</w:t>
      </w:r>
      <w:r>
        <w:t>较2022年增长25.6%</w:t>
      </w:r>
    </w:p>
  </w:footnote>
  <w:footnote w:id="2">
    <w:p w14:paraId="497F9D75" w14:textId="484C6FAB" w:rsidR="0098154E" w:rsidRDefault="00000000">
      <w:pPr>
        <w:pStyle w:val="a9"/>
        <w:rPr>
          <w:rFonts w:hint="eastAsia"/>
        </w:rPr>
      </w:pPr>
      <w:r>
        <w:rPr>
          <w:rStyle w:val="af"/>
          <w:rFonts w:hint="eastAsia"/>
        </w:rPr>
        <w:footnoteRef/>
      </w:r>
      <w:r>
        <w:rPr>
          <w:rFonts w:hint="eastAsia"/>
        </w:rPr>
        <w:t xml:space="preserve"> IDC</w:t>
      </w:r>
      <w:r w:rsidR="005E4FC5" w:rsidDel="005E4FC5">
        <w:rPr>
          <w:rFonts w:hint="eastAsia"/>
        </w:rPr>
        <w:t xml:space="preserve"> </w:t>
      </w:r>
      <w:r>
        <w:rPr>
          <w:rFonts w:hint="eastAsia"/>
        </w:rPr>
        <w:t>2024年《全球ICT支出指南：行业与企业规模》</w:t>
      </w:r>
      <w:r w:rsidR="005E4FC5">
        <w:rPr>
          <w:rFonts w:hint="eastAsia"/>
        </w:rPr>
        <w:t>：</w:t>
      </w:r>
      <w:r>
        <w:t>自2024年起中国企业级ICT市场以9%的复合增长率增长，2028年规模</w:t>
      </w:r>
      <w:r w:rsidR="005E4FC5">
        <w:rPr>
          <w:rFonts w:hint="eastAsia"/>
        </w:rPr>
        <w:t>达</w:t>
      </w:r>
      <w:r>
        <w:t>3,600亿美元</w:t>
      </w:r>
    </w:p>
  </w:footnote>
  <w:footnote w:id="3">
    <w:p w14:paraId="3FC871F0" w14:textId="75BBB149" w:rsidR="0098154E" w:rsidRDefault="00000000">
      <w:pPr>
        <w:pStyle w:val="a9"/>
        <w:rPr>
          <w:rFonts w:hint="eastAsia"/>
        </w:rPr>
      </w:pPr>
      <w:r>
        <w:rPr>
          <w:rStyle w:val="af"/>
          <w:rFonts w:hint="eastAsia"/>
        </w:rPr>
        <w:footnoteRef/>
      </w:r>
      <w:r>
        <w:rPr>
          <w:rFonts w:hint="eastAsia"/>
        </w:rPr>
        <w:t xml:space="preserve"> </w:t>
      </w:r>
      <w:r>
        <w:t>IDC</w:t>
      </w:r>
      <w:r w:rsidR="005E4FC5" w:rsidDel="005E4FC5">
        <w:t xml:space="preserve"> </w:t>
      </w:r>
      <w:r>
        <w:t>2023年《中国物联网连接规模预测</w:t>
      </w:r>
      <w:r>
        <w:rPr>
          <w:rFonts w:hint="eastAsia"/>
        </w:rPr>
        <w:t>，</w:t>
      </w:r>
      <w:r>
        <w:t>2023 —</w:t>
      </w:r>
      <w:r>
        <w:rPr>
          <w:rFonts w:hint="eastAsia"/>
        </w:rPr>
        <w:t xml:space="preserve"> </w:t>
      </w:r>
      <w:r>
        <w:t>2027》</w:t>
      </w:r>
      <w:r w:rsidR="005E4FC5">
        <w:rPr>
          <w:rFonts w:hint="eastAsia"/>
        </w:rPr>
        <w:t>：</w:t>
      </w:r>
      <w:r>
        <w:t>2023年中国物联网连接量超66亿个，未来5年复合增长率16.4%</w:t>
      </w:r>
    </w:p>
  </w:footnote>
  <w:footnote w:id="4">
    <w:p w14:paraId="07C7D543" w14:textId="71B68899" w:rsidR="0098154E" w:rsidRDefault="00000000">
      <w:pPr>
        <w:pStyle w:val="a9"/>
        <w:rPr>
          <w:rFonts w:hint="eastAsia"/>
        </w:rPr>
      </w:pPr>
      <w:r>
        <w:rPr>
          <w:rStyle w:val="af"/>
          <w:rFonts w:hint="eastAsia"/>
        </w:rPr>
        <w:footnoteRef/>
      </w:r>
      <w:r>
        <w:rPr>
          <w:rFonts w:hint="eastAsia"/>
        </w:rPr>
        <w:t xml:space="preserve"> </w:t>
      </w:r>
      <w:r>
        <w:t>中商产业研究院</w:t>
      </w:r>
      <w:r w:rsidR="005E4FC5">
        <w:rPr>
          <w:rFonts w:hint="eastAsia"/>
        </w:rPr>
        <w:t>：</w:t>
      </w:r>
      <w:r>
        <w:t>我国5G专网市场2021—2026年的复合年均增长率为108.2%</w:t>
      </w:r>
    </w:p>
  </w:footnote>
  <w:footnote w:id="5">
    <w:p w14:paraId="184D3359" w14:textId="77777777" w:rsidR="0098154E" w:rsidRDefault="00000000">
      <w:pPr>
        <w:pStyle w:val="a9"/>
        <w:rPr>
          <w:rFonts w:hint="eastAsia"/>
        </w:rPr>
      </w:pPr>
      <w:r>
        <w:rPr>
          <w:rStyle w:val="af"/>
          <w:rFonts w:hint="eastAsia"/>
        </w:rPr>
        <w:footnoteRef/>
      </w:r>
      <w:r>
        <w:rPr>
          <w:rFonts w:hint="eastAsia"/>
        </w:rPr>
        <w:t xml:space="preserve"> 以中电信ICT业务占企业级ICT整体市场份额约为6%，中电信2024收入同比增幅4%为基础进行测算</w:t>
      </w:r>
    </w:p>
    <w:p w14:paraId="64B7A629" w14:textId="77777777" w:rsidR="0098154E" w:rsidRDefault="0098154E">
      <w:pPr>
        <w:pStyle w:val="a9"/>
        <w:rPr>
          <w:rFonts w:hint="eastAsi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8A344D"/>
    <w:rsid w:val="00002404"/>
    <w:rsid w:val="00005A57"/>
    <w:rsid w:val="000071D6"/>
    <w:rsid w:val="00026798"/>
    <w:rsid w:val="000318A3"/>
    <w:rsid w:val="0004425A"/>
    <w:rsid w:val="00050E6E"/>
    <w:rsid w:val="00051A25"/>
    <w:rsid w:val="00052EE9"/>
    <w:rsid w:val="00055B1D"/>
    <w:rsid w:val="0005691F"/>
    <w:rsid w:val="00060D07"/>
    <w:rsid w:val="00065D15"/>
    <w:rsid w:val="00067E7B"/>
    <w:rsid w:val="0007390B"/>
    <w:rsid w:val="000778FA"/>
    <w:rsid w:val="00080BA5"/>
    <w:rsid w:val="00084A3E"/>
    <w:rsid w:val="00084F9D"/>
    <w:rsid w:val="00092C03"/>
    <w:rsid w:val="00092DEA"/>
    <w:rsid w:val="000950C5"/>
    <w:rsid w:val="00095408"/>
    <w:rsid w:val="000A3B9B"/>
    <w:rsid w:val="000C5B74"/>
    <w:rsid w:val="000C78EE"/>
    <w:rsid w:val="000D4F13"/>
    <w:rsid w:val="000E012F"/>
    <w:rsid w:val="000E5472"/>
    <w:rsid w:val="000F453F"/>
    <w:rsid w:val="000F7A59"/>
    <w:rsid w:val="001065B4"/>
    <w:rsid w:val="00107D6B"/>
    <w:rsid w:val="00111FE0"/>
    <w:rsid w:val="001179D1"/>
    <w:rsid w:val="00125A9B"/>
    <w:rsid w:val="00126342"/>
    <w:rsid w:val="00132E4E"/>
    <w:rsid w:val="001336F8"/>
    <w:rsid w:val="00143E60"/>
    <w:rsid w:val="00144F5E"/>
    <w:rsid w:val="001508EC"/>
    <w:rsid w:val="00152781"/>
    <w:rsid w:val="00161DA8"/>
    <w:rsid w:val="00164E91"/>
    <w:rsid w:val="001672E1"/>
    <w:rsid w:val="0017223F"/>
    <w:rsid w:val="001900DD"/>
    <w:rsid w:val="00194DDF"/>
    <w:rsid w:val="001A4E1F"/>
    <w:rsid w:val="001B5EE8"/>
    <w:rsid w:val="001C0E2F"/>
    <w:rsid w:val="001C21FE"/>
    <w:rsid w:val="001D4174"/>
    <w:rsid w:val="001F4AD2"/>
    <w:rsid w:val="001F7539"/>
    <w:rsid w:val="002000F5"/>
    <w:rsid w:val="00201D35"/>
    <w:rsid w:val="002054AC"/>
    <w:rsid w:val="0020568F"/>
    <w:rsid w:val="00207818"/>
    <w:rsid w:val="0021009D"/>
    <w:rsid w:val="00211B2B"/>
    <w:rsid w:val="00211B32"/>
    <w:rsid w:val="002147AA"/>
    <w:rsid w:val="00216DF7"/>
    <w:rsid w:val="00220A5B"/>
    <w:rsid w:val="00220E80"/>
    <w:rsid w:val="00225825"/>
    <w:rsid w:val="00231531"/>
    <w:rsid w:val="002329A2"/>
    <w:rsid w:val="002449C6"/>
    <w:rsid w:val="002458AF"/>
    <w:rsid w:val="002472B8"/>
    <w:rsid w:val="00251B91"/>
    <w:rsid w:val="0025343A"/>
    <w:rsid w:val="00257B86"/>
    <w:rsid w:val="00261FBB"/>
    <w:rsid w:val="002635E0"/>
    <w:rsid w:val="00265A2C"/>
    <w:rsid w:val="00270F1F"/>
    <w:rsid w:val="00273F1B"/>
    <w:rsid w:val="00275FDC"/>
    <w:rsid w:val="0027656C"/>
    <w:rsid w:val="00284000"/>
    <w:rsid w:val="00296625"/>
    <w:rsid w:val="002979E5"/>
    <w:rsid w:val="002A7F42"/>
    <w:rsid w:val="002B1A65"/>
    <w:rsid w:val="002B2007"/>
    <w:rsid w:val="002B34BE"/>
    <w:rsid w:val="002B576B"/>
    <w:rsid w:val="002C0726"/>
    <w:rsid w:val="002C2858"/>
    <w:rsid w:val="002C557D"/>
    <w:rsid w:val="002C579E"/>
    <w:rsid w:val="002D3784"/>
    <w:rsid w:val="002D3C8D"/>
    <w:rsid w:val="002E0875"/>
    <w:rsid w:val="002E1AB1"/>
    <w:rsid w:val="002F1EE0"/>
    <w:rsid w:val="002F4CBE"/>
    <w:rsid w:val="003030D1"/>
    <w:rsid w:val="00305750"/>
    <w:rsid w:val="00313EA2"/>
    <w:rsid w:val="00314F18"/>
    <w:rsid w:val="003279A5"/>
    <w:rsid w:val="00334312"/>
    <w:rsid w:val="003345CD"/>
    <w:rsid w:val="003350B8"/>
    <w:rsid w:val="00337ABB"/>
    <w:rsid w:val="00344C02"/>
    <w:rsid w:val="003454EE"/>
    <w:rsid w:val="00346AB9"/>
    <w:rsid w:val="00347B95"/>
    <w:rsid w:val="00351A29"/>
    <w:rsid w:val="0035350F"/>
    <w:rsid w:val="00353EDA"/>
    <w:rsid w:val="003559BA"/>
    <w:rsid w:val="00361622"/>
    <w:rsid w:val="00364775"/>
    <w:rsid w:val="00370494"/>
    <w:rsid w:val="00375F78"/>
    <w:rsid w:val="00387145"/>
    <w:rsid w:val="00387FCE"/>
    <w:rsid w:val="00391BF3"/>
    <w:rsid w:val="00397D03"/>
    <w:rsid w:val="003A181C"/>
    <w:rsid w:val="003A6632"/>
    <w:rsid w:val="003A6DD6"/>
    <w:rsid w:val="003A6FF4"/>
    <w:rsid w:val="003B2DE9"/>
    <w:rsid w:val="003B44EF"/>
    <w:rsid w:val="003C21B9"/>
    <w:rsid w:val="003D3F7B"/>
    <w:rsid w:val="003D5FAB"/>
    <w:rsid w:val="003D6965"/>
    <w:rsid w:val="003E28B5"/>
    <w:rsid w:val="003E5164"/>
    <w:rsid w:val="003E5627"/>
    <w:rsid w:val="003F2023"/>
    <w:rsid w:val="003F2709"/>
    <w:rsid w:val="00400A4C"/>
    <w:rsid w:val="004014BE"/>
    <w:rsid w:val="00402F4E"/>
    <w:rsid w:val="00404983"/>
    <w:rsid w:val="00407689"/>
    <w:rsid w:val="004220AF"/>
    <w:rsid w:val="0042487B"/>
    <w:rsid w:val="0043115D"/>
    <w:rsid w:val="00432724"/>
    <w:rsid w:val="00432755"/>
    <w:rsid w:val="00437078"/>
    <w:rsid w:val="004511E8"/>
    <w:rsid w:val="0045165C"/>
    <w:rsid w:val="0045405B"/>
    <w:rsid w:val="00460D2F"/>
    <w:rsid w:val="00461D3F"/>
    <w:rsid w:val="004719E7"/>
    <w:rsid w:val="004776F0"/>
    <w:rsid w:val="004833E4"/>
    <w:rsid w:val="00487B2F"/>
    <w:rsid w:val="00491909"/>
    <w:rsid w:val="00493D8C"/>
    <w:rsid w:val="004A3734"/>
    <w:rsid w:val="004A4432"/>
    <w:rsid w:val="004A6DB8"/>
    <w:rsid w:val="004B51DB"/>
    <w:rsid w:val="004C2239"/>
    <w:rsid w:val="004C3365"/>
    <w:rsid w:val="004C695F"/>
    <w:rsid w:val="004C7573"/>
    <w:rsid w:val="004E5B57"/>
    <w:rsid w:val="004F3097"/>
    <w:rsid w:val="0051425F"/>
    <w:rsid w:val="00522111"/>
    <w:rsid w:val="00522FFB"/>
    <w:rsid w:val="00525A0B"/>
    <w:rsid w:val="00526C14"/>
    <w:rsid w:val="005305FC"/>
    <w:rsid w:val="00533CB5"/>
    <w:rsid w:val="0053597C"/>
    <w:rsid w:val="00536D37"/>
    <w:rsid w:val="005531EA"/>
    <w:rsid w:val="00557F1B"/>
    <w:rsid w:val="0056095A"/>
    <w:rsid w:val="00563429"/>
    <w:rsid w:val="00563F80"/>
    <w:rsid w:val="00563FAC"/>
    <w:rsid w:val="005665CB"/>
    <w:rsid w:val="005716C8"/>
    <w:rsid w:val="00571710"/>
    <w:rsid w:val="00572A97"/>
    <w:rsid w:val="00576093"/>
    <w:rsid w:val="005841F2"/>
    <w:rsid w:val="00591B68"/>
    <w:rsid w:val="005A0314"/>
    <w:rsid w:val="005A14F9"/>
    <w:rsid w:val="005B5D17"/>
    <w:rsid w:val="005C04D5"/>
    <w:rsid w:val="005C181D"/>
    <w:rsid w:val="005C2A1E"/>
    <w:rsid w:val="005C6B74"/>
    <w:rsid w:val="005D419A"/>
    <w:rsid w:val="005D4F6D"/>
    <w:rsid w:val="005D6FCD"/>
    <w:rsid w:val="005E38EF"/>
    <w:rsid w:val="005E4FC5"/>
    <w:rsid w:val="005F57EB"/>
    <w:rsid w:val="0061249B"/>
    <w:rsid w:val="00613640"/>
    <w:rsid w:val="00614883"/>
    <w:rsid w:val="00614CBF"/>
    <w:rsid w:val="00620E6B"/>
    <w:rsid w:val="00625493"/>
    <w:rsid w:val="0062672E"/>
    <w:rsid w:val="00633862"/>
    <w:rsid w:val="00635A8E"/>
    <w:rsid w:val="00642991"/>
    <w:rsid w:val="006436A8"/>
    <w:rsid w:val="0064370C"/>
    <w:rsid w:val="00652453"/>
    <w:rsid w:val="00652CDC"/>
    <w:rsid w:val="00654117"/>
    <w:rsid w:val="00672861"/>
    <w:rsid w:val="00675AD5"/>
    <w:rsid w:val="006777AB"/>
    <w:rsid w:val="006A1676"/>
    <w:rsid w:val="006A34B0"/>
    <w:rsid w:val="006A35B4"/>
    <w:rsid w:val="006A6AD6"/>
    <w:rsid w:val="006A7A2B"/>
    <w:rsid w:val="006B0A53"/>
    <w:rsid w:val="006B1056"/>
    <w:rsid w:val="006B25B4"/>
    <w:rsid w:val="006B2D4C"/>
    <w:rsid w:val="006B3147"/>
    <w:rsid w:val="006B739B"/>
    <w:rsid w:val="006B74EA"/>
    <w:rsid w:val="006B7D2A"/>
    <w:rsid w:val="006D1DEE"/>
    <w:rsid w:val="006E31CB"/>
    <w:rsid w:val="006E5794"/>
    <w:rsid w:val="007051E2"/>
    <w:rsid w:val="00707496"/>
    <w:rsid w:val="0071050D"/>
    <w:rsid w:val="007138E3"/>
    <w:rsid w:val="00715994"/>
    <w:rsid w:val="00717838"/>
    <w:rsid w:val="00720CB8"/>
    <w:rsid w:val="00721E2F"/>
    <w:rsid w:val="007240EA"/>
    <w:rsid w:val="00724F2B"/>
    <w:rsid w:val="00727D2D"/>
    <w:rsid w:val="007313D6"/>
    <w:rsid w:val="00735595"/>
    <w:rsid w:val="0074069E"/>
    <w:rsid w:val="0074176E"/>
    <w:rsid w:val="00741F8D"/>
    <w:rsid w:val="0074319E"/>
    <w:rsid w:val="0074394A"/>
    <w:rsid w:val="00754804"/>
    <w:rsid w:val="00755B99"/>
    <w:rsid w:val="00763F69"/>
    <w:rsid w:val="00765374"/>
    <w:rsid w:val="00767120"/>
    <w:rsid w:val="007747AA"/>
    <w:rsid w:val="00774944"/>
    <w:rsid w:val="00784BF7"/>
    <w:rsid w:val="00784E5D"/>
    <w:rsid w:val="00786746"/>
    <w:rsid w:val="0079137A"/>
    <w:rsid w:val="00791BE1"/>
    <w:rsid w:val="00792192"/>
    <w:rsid w:val="0079388A"/>
    <w:rsid w:val="007A0739"/>
    <w:rsid w:val="007A7588"/>
    <w:rsid w:val="007A7F9E"/>
    <w:rsid w:val="007B2BCA"/>
    <w:rsid w:val="007B60AE"/>
    <w:rsid w:val="007C66D9"/>
    <w:rsid w:val="007D0A0C"/>
    <w:rsid w:val="007D51AB"/>
    <w:rsid w:val="007D6710"/>
    <w:rsid w:val="007E1FDD"/>
    <w:rsid w:val="007E2383"/>
    <w:rsid w:val="007E66D9"/>
    <w:rsid w:val="007E75A2"/>
    <w:rsid w:val="007F70D0"/>
    <w:rsid w:val="007F7332"/>
    <w:rsid w:val="00803F27"/>
    <w:rsid w:val="00804193"/>
    <w:rsid w:val="00812BDF"/>
    <w:rsid w:val="00816345"/>
    <w:rsid w:val="00826F35"/>
    <w:rsid w:val="00834334"/>
    <w:rsid w:val="00834928"/>
    <w:rsid w:val="00834BC1"/>
    <w:rsid w:val="00836EC7"/>
    <w:rsid w:val="008419BF"/>
    <w:rsid w:val="0085243B"/>
    <w:rsid w:val="00853D46"/>
    <w:rsid w:val="00856392"/>
    <w:rsid w:val="00857256"/>
    <w:rsid w:val="008614B7"/>
    <w:rsid w:val="00863E8B"/>
    <w:rsid w:val="00871FA1"/>
    <w:rsid w:val="00874A74"/>
    <w:rsid w:val="008845B1"/>
    <w:rsid w:val="00884840"/>
    <w:rsid w:val="00886332"/>
    <w:rsid w:val="00890C75"/>
    <w:rsid w:val="0089165B"/>
    <w:rsid w:val="008947B7"/>
    <w:rsid w:val="008A0792"/>
    <w:rsid w:val="008A110E"/>
    <w:rsid w:val="008A1AE8"/>
    <w:rsid w:val="008A344D"/>
    <w:rsid w:val="008A57D3"/>
    <w:rsid w:val="008A6C2E"/>
    <w:rsid w:val="008A75CF"/>
    <w:rsid w:val="008A7A72"/>
    <w:rsid w:val="008B0C55"/>
    <w:rsid w:val="008B48E6"/>
    <w:rsid w:val="008D18B7"/>
    <w:rsid w:val="008D77A7"/>
    <w:rsid w:val="008E2111"/>
    <w:rsid w:val="008E420D"/>
    <w:rsid w:val="008F715B"/>
    <w:rsid w:val="008F7E59"/>
    <w:rsid w:val="00910676"/>
    <w:rsid w:val="00910C74"/>
    <w:rsid w:val="00910F80"/>
    <w:rsid w:val="00913FC2"/>
    <w:rsid w:val="009224A2"/>
    <w:rsid w:val="00923D63"/>
    <w:rsid w:val="00925A42"/>
    <w:rsid w:val="009321DA"/>
    <w:rsid w:val="0093674F"/>
    <w:rsid w:val="009421D2"/>
    <w:rsid w:val="00946420"/>
    <w:rsid w:val="009506DB"/>
    <w:rsid w:val="009633ED"/>
    <w:rsid w:val="00964F69"/>
    <w:rsid w:val="009664FC"/>
    <w:rsid w:val="0098154E"/>
    <w:rsid w:val="00982C8F"/>
    <w:rsid w:val="00982C91"/>
    <w:rsid w:val="00984F14"/>
    <w:rsid w:val="00990F67"/>
    <w:rsid w:val="00994A25"/>
    <w:rsid w:val="009A00B5"/>
    <w:rsid w:val="009A44EB"/>
    <w:rsid w:val="009A4735"/>
    <w:rsid w:val="009B27CA"/>
    <w:rsid w:val="009B5EDC"/>
    <w:rsid w:val="009D46A9"/>
    <w:rsid w:val="009D6FCB"/>
    <w:rsid w:val="009E2A50"/>
    <w:rsid w:val="009E699C"/>
    <w:rsid w:val="009E6FC2"/>
    <w:rsid w:val="009E7211"/>
    <w:rsid w:val="009E7936"/>
    <w:rsid w:val="009F5AA1"/>
    <w:rsid w:val="009F65AE"/>
    <w:rsid w:val="009F6850"/>
    <w:rsid w:val="009F6CB3"/>
    <w:rsid w:val="00A01712"/>
    <w:rsid w:val="00A0386A"/>
    <w:rsid w:val="00A11AF3"/>
    <w:rsid w:val="00A16F0E"/>
    <w:rsid w:val="00A17C83"/>
    <w:rsid w:val="00A216C7"/>
    <w:rsid w:val="00A31ABF"/>
    <w:rsid w:val="00A3256A"/>
    <w:rsid w:val="00A36BD1"/>
    <w:rsid w:val="00A41191"/>
    <w:rsid w:val="00A461B9"/>
    <w:rsid w:val="00A62108"/>
    <w:rsid w:val="00A6243A"/>
    <w:rsid w:val="00A70A48"/>
    <w:rsid w:val="00A77783"/>
    <w:rsid w:val="00A8002F"/>
    <w:rsid w:val="00AA0F10"/>
    <w:rsid w:val="00AA5AD6"/>
    <w:rsid w:val="00AA7B20"/>
    <w:rsid w:val="00AB2ACE"/>
    <w:rsid w:val="00AB446A"/>
    <w:rsid w:val="00AB5A6F"/>
    <w:rsid w:val="00AB6087"/>
    <w:rsid w:val="00AC20B4"/>
    <w:rsid w:val="00AC4210"/>
    <w:rsid w:val="00AC4EED"/>
    <w:rsid w:val="00AE2E0F"/>
    <w:rsid w:val="00AE3A08"/>
    <w:rsid w:val="00AF0437"/>
    <w:rsid w:val="00AF0A31"/>
    <w:rsid w:val="00AF1C9D"/>
    <w:rsid w:val="00AF26FB"/>
    <w:rsid w:val="00AF42AC"/>
    <w:rsid w:val="00AF5DC7"/>
    <w:rsid w:val="00AF6613"/>
    <w:rsid w:val="00B011E9"/>
    <w:rsid w:val="00B15E97"/>
    <w:rsid w:val="00B25B15"/>
    <w:rsid w:val="00B40F6D"/>
    <w:rsid w:val="00B46009"/>
    <w:rsid w:val="00B5358C"/>
    <w:rsid w:val="00B53DD5"/>
    <w:rsid w:val="00B53EC9"/>
    <w:rsid w:val="00B541EE"/>
    <w:rsid w:val="00B5496E"/>
    <w:rsid w:val="00B57CD7"/>
    <w:rsid w:val="00B60389"/>
    <w:rsid w:val="00B64001"/>
    <w:rsid w:val="00B71B13"/>
    <w:rsid w:val="00B742F8"/>
    <w:rsid w:val="00B9406C"/>
    <w:rsid w:val="00BB6106"/>
    <w:rsid w:val="00BC0245"/>
    <w:rsid w:val="00BC7735"/>
    <w:rsid w:val="00BD25A8"/>
    <w:rsid w:val="00BD2E2C"/>
    <w:rsid w:val="00BE04E3"/>
    <w:rsid w:val="00BE0510"/>
    <w:rsid w:val="00BE0791"/>
    <w:rsid w:val="00BE0DEE"/>
    <w:rsid w:val="00BE32CB"/>
    <w:rsid w:val="00BF1056"/>
    <w:rsid w:val="00C00D49"/>
    <w:rsid w:val="00C01529"/>
    <w:rsid w:val="00C031E5"/>
    <w:rsid w:val="00C12D70"/>
    <w:rsid w:val="00C131C6"/>
    <w:rsid w:val="00C16F7D"/>
    <w:rsid w:val="00C20621"/>
    <w:rsid w:val="00C232DB"/>
    <w:rsid w:val="00C32101"/>
    <w:rsid w:val="00C33D36"/>
    <w:rsid w:val="00C35216"/>
    <w:rsid w:val="00C43AC2"/>
    <w:rsid w:val="00C62E19"/>
    <w:rsid w:val="00C64A39"/>
    <w:rsid w:val="00C661BC"/>
    <w:rsid w:val="00C67E0B"/>
    <w:rsid w:val="00C834F4"/>
    <w:rsid w:val="00C86B16"/>
    <w:rsid w:val="00C87625"/>
    <w:rsid w:val="00CB0797"/>
    <w:rsid w:val="00CC2C73"/>
    <w:rsid w:val="00CD4BF1"/>
    <w:rsid w:val="00CD4FC8"/>
    <w:rsid w:val="00CD53DF"/>
    <w:rsid w:val="00CF16BE"/>
    <w:rsid w:val="00CF4072"/>
    <w:rsid w:val="00D0047B"/>
    <w:rsid w:val="00D03B18"/>
    <w:rsid w:val="00D06F3D"/>
    <w:rsid w:val="00D11170"/>
    <w:rsid w:val="00D13948"/>
    <w:rsid w:val="00D276E0"/>
    <w:rsid w:val="00D341B8"/>
    <w:rsid w:val="00D377FC"/>
    <w:rsid w:val="00D45B53"/>
    <w:rsid w:val="00D45ECA"/>
    <w:rsid w:val="00D46C97"/>
    <w:rsid w:val="00D47FA8"/>
    <w:rsid w:val="00D5097E"/>
    <w:rsid w:val="00D50A0B"/>
    <w:rsid w:val="00D537AA"/>
    <w:rsid w:val="00D8596F"/>
    <w:rsid w:val="00DA4BEA"/>
    <w:rsid w:val="00DB001C"/>
    <w:rsid w:val="00DC2408"/>
    <w:rsid w:val="00DE002C"/>
    <w:rsid w:val="00DE2E15"/>
    <w:rsid w:val="00DE6056"/>
    <w:rsid w:val="00DF4413"/>
    <w:rsid w:val="00DF6C69"/>
    <w:rsid w:val="00E03E60"/>
    <w:rsid w:val="00E06FD8"/>
    <w:rsid w:val="00E10548"/>
    <w:rsid w:val="00E12E70"/>
    <w:rsid w:val="00E217CF"/>
    <w:rsid w:val="00E32913"/>
    <w:rsid w:val="00E35ADE"/>
    <w:rsid w:val="00E3690F"/>
    <w:rsid w:val="00E5372F"/>
    <w:rsid w:val="00E57DC1"/>
    <w:rsid w:val="00E66D14"/>
    <w:rsid w:val="00E91234"/>
    <w:rsid w:val="00EA6F0B"/>
    <w:rsid w:val="00EB284C"/>
    <w:rsid w:val="00EB2A18"/>
    <w:rsid w:val="00EB3243"/>
    <w:rsid w:val="00EB75CA"/>
    <w:rsid w:val="00EC076C"/>
    <w:rsid w:val="00EC0852"/>
    <w:rsid w:val="00EC750C"/>
    <w:rsid w:val="00EC7B29"/>
    <w:rsid w:val="00ED07BA"/>
    <w:rsid w:val="00ED1A7B"/>
    <w:rsid w:val="00ED6D13"/>
    <w:rsid w:val="00EE59C1"/>
    <w:rsid w:val="00F05EC2"/>
    <w:rsid w:val="00F066BA"/>
    <w:rsid w:val="00F0713E"/>
    <w:rsid w:val="00F076D4"/>
    <w:rsid w:val="00F11F38"/>
    <w:rsid w:val="00F21C7E"/>
    <w:rsid w:val="00F22741"/>
    <w:rsid w:val="00F26251"/>
    <w:rsid w:val="00F53604"/>
    <w:rsid w:val="00F605E6"/>
    <w:rsid w:val="00F612DE"/>
    <w:rsid w:val="00F6578C"/>
    <w:rsid w:val="00F66AFA"/>
    <w:rsid w:val="00F72286"/>
    <w:rsid w:val="00F75665"/>
    <w:rsid w:val="00F82E80"/>
    <w:rsid w:val="00F851EC"/>
    <w:rsid w:val="00F86903"/>
    <w:rsid w:val="00F96EF4"/>
    <w:rsid w:val="00FA1262"/>
    <w:rsid w:val="00FA209B"/>
    <w:rsid w:val="00FA2125"/>
    <w:rsid w:val="00FA2AE7"/>
    <w:rsid w:val="00FA70A1"/>
    <w:rsid w:val="00FB0C0B"/>
    <w:rsid w:val="00FB4415"/>
    <w:rsid w:val="00FB5EF4"/>
    <w:rsid w:val="00FC07C5"/>
    <w:rsid w:val="00FC3027"/>
    <w:rsid w:val="00FC44EA"/>
    <w:rsid w:val="00FD2D63"/>
    <w:rsid w:val="00FD70D0"/>
    <w:rsid w:val="00FE072C"/>
    <w:rsid w:val="00FE71D0"/>
    <w:rsid w:val="00FF4517"/>
    <w:rsid w:val="00FF52B2"/>
    <w:rsid w:val="00FF533E"/>
    <w:rsid w:val="04530D55"/>
    <w:rsid w:val="09466D22"/>
    <w:rsid w:val="0D4D041C"/>
    <w:rsid w:val="117674A8"/>
    <w:rsid w:val="11ED2D34"/>
    <w:rsid w:val="12DC7C27"/>
    <w:rsid w:val="226F7650"/>
    <w:rsid w:val="23BC326A"/>
    <w:rsid w:val="2A843334"/>
    <w:rsid w:val="30C05AB8"/>
    <w:rsid w:val="33402C46"/>
    <w:rsid w:val="351A4295"/>
    <w:rsid w:val="3A530A54"/>
    <w:rsid w:val="3DC7700A"/>
    <w:rsid w:val="45E17C69"/>
    <w:rsid w:val="50CB1199"/>
    <w:rsid w:val="57695434"/>
    <w:rsid w:val="62A43582"/>
    <w:rsid w:val="649708A2"/>
    <w:rsid w:val="681E6582"/>
    <w:rsid w:val="6DDF7007"/>
    <w:rsid w:val="72C412B6"/>
    <w:rsid w:val="75B46206"/>
    <w:rsid w:val="75B62901"/>
    <w:rsid w:val="7D7D3074"/>
    <w:rsid w:val="7E97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EA5498"/>
  <w15:docId w15:val="{29FBC281-90B8-46D6-80D6-F7B9B17C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60" w:afterLines="50" w:after="50" w:line="360" w:lineRule="auto"/>
      <w:outlineLvl w:val="0"/>
    </w:pPr>
    <w:rPr>
      <w:b/>
      <w:bCs/>
      <w:kern w:val="44"/>
      <w:sz w:val="30"/>
      <w:szCs w:val="44"/>
    </w:rPr>
  </w:style>
  <w:style w:type="paragraph" w:styleId="2">
    <w:name w:val="heading 2"/>
    <w:basedOn w:val="a"/>
    <w:next w:val="a"/>
    <w:link w:val="20"/>
    <w:uiPriority w:val="9"/>
    <w:unhideWhenUsed/>
    <w:qFormat/>
    <w:pPr>
      <w:keepNext/>
      <w:keepLines/>
      <w:spacing w:before="60" w:after="60" w:line="360" w:lineRule="auto"/>
      <w:outlineLvl w:val="1"/>
    </w:pPr>
    <w:rPr>
      <w:rFonts w:asciiTheme="majorHAnsi" w:hAnsiTheme="majorHAnsi" w:cstheme="majorBidi"/>
      <w:b/>
      <w:bCs/>
      <w:sz w:val="28"/>
      <w:szCs w:val="32"/>
    </w:rPr>
  </w:style>
  <w:style w:type="paragraph" w:styleId="3">
    <w:name w:val="heading 3"/>
    <w:basedOn w:val="a"/>
    <w:next w:val="a"/>
    <w:link w:val="30"/>
    <w:uiPriority w:val="9"/>
    <w:unhideWhenUsed/>
    <w:qFormat/>
    <w:pPr>
      <w:keepNext/>
      <w:keepLines/>
      <w:spacing w:before="60" w:after="60" w:line="360" w:lineRule="auto"/>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footnote text"/>
    <w:basedOn w:val="a"/>
    <w:link w:val="aa"/>
    <w:uiPriority w:val="99"/>
    <w:semiHidden/>
    <w:unhideWhenUsed/>
    <w:qFormat/>
    <w:pPr>
      <w:snapToGrid w:val="0"/>
      <w:jc w:val="left"/>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qFormat/>
    <w:rPr>
      <w:sz w:val="21"/>
      <w:szCs w:val="21"/>
    </w:rPr>
  </w:style>
  <w:style w:type="character" w:styleId="af">
    <w:name w:val="footnote reference"/>
    <w:basedOn w:val="a0"/>
    <w:uiPriority w:val="99"/>
    <w:semiHidden/>
    <w:unhideWhenUsed/>
    <w:qFormat/>
    <w:rPr>
      <w:vertAlign w:val="superscript"/>
    </w:rPr>
  </w:style>
  <w:style w:type="character" w:customStyle="1" w:styleId="a8">
    <w:name w:val="页眉 字符"/>
    <w:basedOn w:val="a0"/>
    <w:link w:val="a7"/>
    <w:uiPriority w:val="99"/>
    <w:qFormat/>
    <w:rPr>
      <w:kern w:val="2"/>
      <w:sz w:val="18"/>
      <w:szCs w:val="18"/>
    </w:rPr>
  </w:style>
  <w:style w:type="character" w:customStyle="1" w:styleId="a6">
    <w:name w:val="页脚 字符"/>
    <w:basedOn w:val="a0"/>
    <w:link w:val="a5"/>
    <w:uiPriority w:val="99"/>
    <w:qFormat/>
    <w:rPr>
      <w:kern w:val="2"/>
      <w:sz w:val="18"/>
      <w:szCs w:val="18"/>
    </w:rPr>
  </w:style>
  <w:style w:type="paragraph" w:styleId="af0">
    <w:name w:val="List Paragraph"/>
    <w:basedOn w:val="a"/>
    <w:uiPriority w:val="99"/>
    <w:unhideWhenUsed/>
    <w:qFormat/>
    <w:pPr>
      <w:ind w:firstLineChars="200" w:firstLine="420"/>
    </w:pPr>
  </w:style>
  <w:style w:type="paragraph" w:customStyle="1" w:styleId="11">
    <w:name w:val="修订1"/>
    <w:hidden/>
    <w:uiPriority w:val="99"/>
    <w:unhideWhenUsed/>
    <w:qFormat/>
    <w:rPr>
      <w:rFonts w:asciiTheme="minorHAnsi" w:eastAsiaTheme="minorEastAsia" w:hAnsiTheme="minorHAnsi" w:cstheme="minorBidi"/>
      <w:kern w:val="2"/>
      <w:sz w:val="21"/>
      <w:szCs w:val="22"/>
    </w:rPr>
  </w:style>
  <w:style w:type="character" w:customStyle="1" w:styleId="a4">
    <w:name w:val="批注文字 字符"/>
    <w:basedOn w:val="a0"/>
    <w:link w:val="a3"/>
    <w:uiPriority w:val="99"/>
    <w:qFormat/>
    <w:rPr>
      <w:kern w:val="2"/>
      <w:sz w:val="21"/>
      <w:szCs w:val="22"/>
    </w:rPr>
  </w:style>
  <w:style w:type="character" w:customStyle="1" w:styleId="ac">
    <w:name w:val="批注主题 字符"/>
    <w:basedOn w:val="a4"/>
    <w:link w:val="ab"/>
    <w:uiPriority w:val="99"/>
    <w:semiHidden/>
    <w:qFormat/>
    <w:rPr>
      <w:b/>
      <w:bCs/>
      <w:kern w:val="2"/>
      <w:sz w:val="21"/>
      <w:szCs w:val="22"/>
    </w:rPr>
  </w:style>
  <w:style w:type="paragraph" w:customStyle="1" w:styleId="21">
    <w:name w:val="修订2"/>
    <w:hidden/>
    <w:uiPriority w:val="99"/>
    <w:unhideWhenUsed/>
    <w:qFormat/>
    <w:rPr>
      <w:rFonts w:asciiTheme="minorHAnsi" w:eastAsiaTheme="minorEastAsia" w:hAnsiTheme="minorHAnsi" w:cstheme="minorBidi"/>
      <w:kern w:val="2"/>
      <w:sz w:val="21"/>
      <w:szCs w:val="22"/>
    </w:rPr>
  </w:style>
  <w:style w:type="character" w:customStyle="1" w:styleId="aa">
    <w:name w:val="脚注文本 字符"/>
    <w:basedOn w:val="a0"/>
    <w:link w:val="a9"/>
    <w:uiPriority w:val="99"/>
    <w:semiHidden/>
    <w:qFormat/>
    <w:rPr>
      <w:kern w:val="2"/>
      <w:sz w:val="18"/>
      <w:szCs w:val="18"/>
    </w:rPr>
  </w:style>
  <w:style w:type="paragraph" w:customStyle="1" w:styleId="31">
    <w:name w:val="修订3"/>
    <w:hidden/>
    <w:uiPriority w:val="99"/>
    <w:unhideWhenUsed/>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b/>
      <w:bCs/>
      <w:kern w:val="44"/>
      <w:sz w:val="30"/>
      <w:szCs w:val="44"/>
    </w:rPr>
  </w:style>
  <w:style w:type="character" w:customStyle="1" w:styleId="20">
    <w:name w:val="标题 2 字符"/>
    <w:basedOn w:val="a0"/>
    <w:link w:val="2"/>
    <w:uiPriority w:val="9"/>
    <w:qFormat/>
    <w:rPr>
      <w:rFonts w:asciiTheme="majorHAnsi" w:hAnsiTheme="majorHAnsi" w:cstheme="majorBidi"/>
      <w:b/>
      <w:bCs/>
      <w:kern w:val="2"/>
      <w:sz w:val="28"/>
      <w:szCs w:val="32"/>
    </w:rPr>
  </w:style>
  <w:style w:type="character" w:customStyle="1" w:styleId="30">
    <w:name w:val="标题 3 字符"/>
    <w:basedOn w:val="a0"/>
    <w:link w:val="3"/>
    <w:uiPriority w:val="9"/>
    <w:qFormat/>
    <w:rPr>
      <w:b/>
      <w:bCs/>
      <w:kern w:val="2"/>
      <w:sz w:val="24"/>
      <w:szCs w:val="32"/>
    </w:rPr>
  </w:style>
  <w:style w:type="paragraph" w:customStyle="1" w:styleId="12">
    <w:name w:val="样式1"/>
    <w:basedOn w:val="1"/>
    <w:qFormat/>
    <w:rPr>
      <w:rFonts w:eastAsia="宋体"/>
    </w:rPr>
  </w:style>
  <w:style w:type="paragraph" w:customStyle="1" w:styleId="4">
    <w:name w:val="修订4"/>
    <w:hidden/>
    <w:uiPriority w:val="99"/>
    <w:unhideWhenUsed/>
    <w:qFormat/>
    <w:rPr>
      <w:rFonts w:asciiTheme="minorHAnsi" w:eastAsiaTheme="minorEastAsia" w:hAnsiTheme="minorHAnsi" w:cstheme="minorBidi"/>
      <w:kern w:val="2"/>
      <w:sz w:val="21"/>
      <w:szCs w:val="22"/>
    </w:rPr>
  </w:style>
  <w:style w:type="paragraph" w:customStyle="1" w:styleId="5">
    <w:name w:val="修订5"/>
    <w:hidden/>
    <w:uiPriority w:val="99"/>
    <w:unhideWhenUsed/>
    <w:qFormat/>
    <w:rPr>
      <w:rFonts w:asciiTheme="minorHAnsi" w:eastAsiaTheme="minorEastAsia" w:hAnsiTheme="minorHAnsi" w:cstheme="minorBidi"/>
      <w:kern w:val="2"/>
      <w:sz w:val="21"/>
      <w:szCs w:val="22"/>
    </w:rPr>
  </w:style>
  <w:style w:type="paragraph" w:styleId="af1">
    <w:name w:val="Revision"/>
    <w:hidden/>
    <w:uiPriority w:val="99"/>
    <w:unhideWhenUsed/>
    <w:rsid w:val="00ED6D13"/>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5E369A9-04B2-412F-BFFD-6EB677C2489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550</Words>
  <Characters>3137</Characters>
  <Application>Microsoft Office Word</Application>
  <DocSecurity>0</DocSecurity>
  <Lines>26</Lines>
  <Paragraphs>7</Paragraphs>
  <ScaleCrop>false</ScaleCrop>
  <Company>HP Inc.</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xiaos@chinatelecom.cn</dc:creator>
  <cp:lastModifiedBy>李娟</cp:lastModifiedBy>
  <cp:revision>12</cp:revision>
  <dcterms:created xsi:type="dcterms:W3CDTF">2024-11-12T02:20:00Z</dcterms:created>
  <dcterms:modified xsi:type="dcterms:W3CDTF">2024-11-12T03:27:00Z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67F65AED879B4EA3A422F980B096C926_12</vt:lpwstr>
  </property>
</Properties>
</file>