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6D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6"/>
        </w:rPr>
      </w:pPr>
      <w:r>
        <w:rPr>
          <w:rFonts w:hint="eastAsia" w:ascii="宋体" w:hAnsi="宋体" w:eastAsia="宋体" w:cs="宋体"/>
          <w:b/>
          <w:bCs/>
          <w:sz w:val="32"/>
          <w:szCs w:val="36"/>
        </w:rPr>
        <w:t>抢抓回暖窗口期，推动产数业务发展转正的建议</w:t>
      </w:r>
    </w:p>
    <w:p w14:paraId="3B1A7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企业发展与战新业务研究中心</w:t>
      </w:r>
    </w:p>
    <w:p w14:paraId="73F5869B">
      <w:pPr>
        <w:spacing w:after="312" w:afterLines="100" w:line="360" w:lineRule="auto"/>
        <w:ind w:firstLine="566" w:firstLineChars="236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sz w:val="24"/>
          <w:szCs w:val="24"/>
        </w:rPr>
        <w:t>近年来，产数业务增速较快，成为营收增长的核心引擎，进入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2024年，中电信产数业务增速陡然下降，失去拉收关键动能，对大盘收入增幅保持带来极大压力。分析发现，产数发展难题除经济下行的客观因素外</w:t>
      </w:r>
      <w:r>
        <w:rPr>
          <w:rFonts w:hint="eastAsia" w:ascii="宋体" w:hAnsi="宋体" w:eastAsia="宋体"/>
          <w:sz w:val="24"/>
          <w:szCs w:val="24"/>
        </w:rPr>
        <w:t>，也暴露出新增市场抢占不利、传统业务优势渐失、新型能力提升不足等问题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。建议在政策宽松和市场预期增强的机遇期</w:t>
      </w:r>
      <w:r>
        <w:rPr>
          <w:rFonts w:hint="eastAsia" w:ascii="宋体" w:hAnsi="宋体" w:eastAsia="宋体"/>
          <w:sz w:val="24"/>
          <w:szCs w:val="24"/>
        </w:rPr>
        <w:t>，通过推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动能力的持续转型与增强、稳定优势产数业务等关键举措，实现产数高质量发展。</w:t>
      </w:r>
    </w:p>
    <w:p w14:paraId="2D39D448">
      <w:pPr>
        <w:pStyle w:val="30"/>
        <w:spacing w:after="156"/>
        <w:rPr>
          <w:sz w:val="28"/>
          <w:szCs w:val="40"/>
        </w:rPr>
      </w:pPr>
      <w:r>
        <w:rPr>
          <w:rFonts w:hint="eastAsia"/>
          <w:sz w:val="28"/>
          <w:szCs w:val="40"/>
        </w:rPr>
        <w:t>一、中电信产数业务陡然失速，业务发展面临挑战</w:t>
      </w:r>
    </w:p>
    <w:p w14:paraId="1E919E42">
      <w:pPr>
        <w:pStyle w:val="3"/>
        <w:rPr>
          <w:rFonts w:ascii="宋体" w:hAnsi="宋体" w:eastAsia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（一）产数整体增速明显下降，没有发挥决胜盘作用</w:t>
      </w:r>
    </w:p>
    <w:p w14:paraId="5371041F">
      <w:pPr>
        <w:spacing w:after="156" w:afterLines="50" w:line="360" w:lineRule="auto"/>
        <w:ind w:firstLine="424" w:firstLineChars="177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2021-2023年，产数业务增速较快，成为营收增长的关键动能，产数累计收入增速均达两位数，对增量收入的贡献率保持在50%以上；2023全年，产数业务整体占收比3成，但对增量收入的贡献率接近7成（68.4%）。</w:t>
      </w:r>
    </w:p>
    <w:p w14:paraId="31B7F14E">
      <w:pPr>
        <w:spacing w:line="360" w:lineRule="auto"/>
        <w:ind w:firstLine="426" w:firstLineChars="177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进入2024年，产数业务收入增速陡然下滑。</w:t>
      </w:r>
      <w:r>
        <w:rPr>
          <w:rFonts w:hint="eastAsia" w:ascii="宋体" w:hAnsi="宋体" w:eastAsia="宋体"/>
          <w:sz w:val="24"/>
          <w:szCs w:val="24"/>
        </w:rPr>
        <w:t>24年Q4累计收入增速同比下降13.17PP，收入拉动能力由去年底4.65%降至0.98%，对总体收入增速（3.14%）的贡献降至31%。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25年Q1仍延续下滑趋势。</w:t>
      </w:r>
    </w:p>
    <w:p w14:paraId="54D3C5B5">
      <w:pPr>
        <w:tabs>
          <w:tab w:val="left" w:pos="0"/>
        </w:tabs>
        <w:spacing w:line="360" w:lineRule="auto"/>
        <w:ind w:left="1" w:hanging="1"/>
        <w:jc w:val="center"/>
      </w:pPr>
      <w:r>
        <w:drawing>
          <wp:inline distT="0" distB="0" distL="114300" distR="114300">
            <wp:extent cx="5314950" cy="198882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B0EA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图1：产数收入增速及对总收入的拉动趋势图（注：季度累计收入同比）</w:t>
      </w:r>
    </w:p>
    <w:p w14:paraId="4BF7C651">
      <w:pPr>
        <w:pStyle w:val="3"/>
        <w:spacing w:before="120" w:after="156" w:afterLines="5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（二）业务结构上看，重点产数业务发展均不及预期</w:t>
      </w:r>
    </w:p>
    <w:p w14:paraId="7B7FEBF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从产数业务大类上看，组网专线收入增速从2023年的5.6%下降至2024年的-3.25%，下滑反转；更严重的是，被寄予厚望且收入占比最高的云及平台业务增速高位跳水，增速从37.65%陡降至4.24%；IDC业务虽有触底回升的倾向，但增速5.8%，但仍低于行业传统IDC业务增速（8.7%</w:t>
      </w:r>
      <w:r>
        <w:rPr>
          <w:rStyle w:val="17"/>
          <w:rFonts w:hint="eastAsia" w:ascii="宋体" w:hAnsi="宋体" w:eastAsia="宋体"/>
          <w:sz w:val="24"/>
          <w:szCs w:val="24"/>
        </w:rPr>
        <w:footnoteReference w:id="0"/>
      </w:r>
      <w:r>
        <w:rPr>
          <w:rFonts w:hint="eastAsia" w:ascii="宋体" w:hAnsi="宋体" w:eastAsia="宋体"/>
          <w:sz w:val="24"/>
          <w:szCs w:val="24"/>
        </w:rPr>
        <w:t>）。</w:t>
      </w:r>
    </w:p>
    <w:p w14:paraId="758B4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表1：核心产数业务增速对比</w:t>
      </w:r>
    </w:p>
    <w:p w14:paraId="7A2B325A">
      <w:pPr>
        <w:spacing w:line="360" w:lineRule="auto"/>
        <w:jc w:val="center"/>
      </w:pPr>
      <w:r>
        <w:drawing>
          <wp:inline distT="0" distB="0" distL="114300" distR="114300">
            <wp:extent cx="5152390" cy="1408430"/>
            <wp:effectExtent l="0" t="0" r="381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A5B2">
      <w:pPr>
        <w:pStyle w:val="3"/>
        <w:spacing w:before="120" w:after="156" w:afterLines="5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（三）地域结构上看，省公司产数业务增速全面下滑，9省出现收入负增长</w:t>
      </w:r>
    </w:p>
    <w:p w14:paraId="7FDC995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2024年底，全集团产数业务增速从16.78%下降至3.61%，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其中南方21省从18.84%下降至6.97%，北方10省从17.62%下降至5.58%。从增速同比看，除</w:t>
      </w:r>
      <w:r>
        <w:rPr>
          <w:rFonts w:hint="eastAsia" w:ascii="宋体" w:hAnsi="宋体" w:eastAsia="宋体"/>
          <w:sz w:val="24"/>
          <w:szCs w:val="24"/>
        </w:rPr>
        <w:t>内蒙古外，其它30个省分公司均出现同比下降，其中增速下降超过10PP的有9个省，下降超过20PP的有13个省。与此同时，有9个省公司产数收入出现负增长，南方省3个，包括福建、海南、青海；北方省6个，包括山东、河南等大省。</w:t>
      </w:r>
    </w:p>
    <w:p w14:paraId="4CF4A714">
      <w:pPr>
        <w:spacing w:line="360" w:lineRule="auto"/>
        <w:ind w:left="-2" w:leftChars="-1"/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92090" cy="1633855"/>
            <wp:effectExtent l="0" t="0" r="3810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94E3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图2：2024年与2023年产数收入增速同比变化（PP）</w:t>
      </w:r>
    </w:p>
    <w:p w14:paraId="70EEB482">
      <w:pPr>
        <w:pStyle w:val="30"/>
        <w:numPr>
          <w:ilvl w:val="0"/>
          <w:numId w:val="1"/>
        </w:numPr>
        <w:spacing w:before="120" w:after="156"/>
        <w:rPr>
          <w:sz w:val="28"/>
          <w:szCs w:val="40"/>
        </w:rPr>
      </w:pPr>
      <w:r>
        <w:rPr>
          <w:rFonts w:hint="eastAsia"/>
          <w:sz w:val="28"/>
          <w:szCs w:val="40"/>
        </w:rPr>
        <w:t>产数业务发展降速的原因分析</w:t>
      </w:r>
    </w:p>
    <w:p w14:paraId="108FDC9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产数业绩表现不佳，与中电信加速“战新”布局、拓展第二曲线的转型目标形成强烈反差。除了经济下行因素外，主要原因剖析如下：</w:t>
      </w:r>
    </w:p>
    <w:p w14:paraId="29AF5D53">
      <w:pPr>
        <w:numPr>
          <w:ilvl w:val="0"/>
          <w:numId w:val="2"/>
        </w:numPr>
        <w:spacing w:before="120" w:after="120"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新增严重不足，影响当年以及今后的持续收入，弃单是主因</w:t>
      </w:r>
    </w:p>
    <w:p w14:paraId="50270AE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产数市场竞争日趋激烈，同时存在项目周期长、回款慢等特点。如果按三年计，产数项目回款分为首年、次年和再下一年，对应收入统计分别为新增、存增和存存</w:t>
      </w:r>
      <w:r>
        <w:rPr>
          <w:rStyle w:val="17"/>
          <w:rFonts w:hint="eastAsia" w:ascii="宋体" w:hAnsi="宋体" w:eastAsia="宋体"/>
          <w:sz w:val="24"/>
          <w:szCs w:val="24"/>
        </w:rPr>
        <w:footnoteReference w:id="1"/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hint="eastAsia" w:ascii="宋体" w:hAnsi="宋体" w:eastAsia="宋体"/>
          <w:b/>
          <w:bCs/>
          <w:sz w:val="24"/>
          <w:szCs w:val="24"/>
        </w:rPr>
        <w:t>从某大省数据</w:t>
      </w:r>
      <w:r>
        <w:rPr>
          <w:rStyle w:val="17"/>
          <w:rFonts w:hint="eastAsia" w:ascii="宋体" w:hAnsi="宋体" w:eastAsia="宋体"/>
          <w:b/>
          <w:bCs/>
          <w:sz w:val="24"/>
          <w:szCs w:val="24"/>
        </w:rPr>
        <w:footnoteReference w:id="2"/>
      </w:r>
      <w:r>
        <w:rPr>
          <w:rFonts w:hint="eastAsia" w:ascii="宋体" w:hAnsi="宋体" w:eastAsia="宋体"/>
          <w:b/>
          <w:bCs/>
          <w:sz w:val="24"/>
          <w:szCs w:val="24"/>
        </w:rPr>
        <w:t>分析看，导致24年产数收入规模陡降的原因主要在新增，</w:t>
      </w:r>
      <w:r>
        <w:rPr>
          <w:rFonts w:hint="eastAsia" w:ascii="宋体" w:hAnsi="宋体" w:eastAsia="宋体"/>
          <w:sz w:val="24"/>
          <w:szCs w:val="24"/>
        </w:rPr>
        <w:t>新增收入从上期的正增长（约37%）直接掉落至负增长（约-17%），进而导致产数业务对总收入的拉动从5%下降至-3%，下降8pp；存增收入增速有所下降，从上期的44%下降至约37%，对总收入的拉动下降0.7pp。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从弃单情况看，该省</w:t>
      </w:r>
      <w:r>
        <w:rPr>
          <w:rFonts w:hint="eastAsia" w:ascii="宋体" w:hAnsi="宋体" w:eastAsia="宋体"/>
          <w:sz w:val="24"/>
          <w:szCs w:val="24"/>
        </w:rPr>
        <w:t>ICT项目弃标率近6个季度均值高于35%，其中，重大项目（&gt;300万元）弃标率近30%。</w:t>
      </w:r>
      <w:r>
        <w:rPr>
          <w:rFonts w:hint="eastAsia" w:ascii="宋体" w:hAnsi="宋体" w:eastAsia="宋体"/>
          <w:b/>
          <w:bCs/>
          <w:sz w:val="24"/>
          <w:szCs w:val="24"/>
        </w:rPr>
        <w:t>产数收入的新增对当年以及今后几年的收入稳定和增长影响很大，必须高度重视弃单行为，着力扭转新增不足的现状。</w:t>
      </w:r>
    </w:p>
    <w:p w14:paraId="2D4E0EB6">
      <w:pPr>
        <w:numPr>
          <w:ilvl w:val="0"/>
          <w:numId w:val="2"/>
        </w:numPr>
        <w:spacing w:before="120" w:after="120" w:line="360" w:lineRule="auto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bookmarkStart w:id="0" w:name="_Hlk181780586"/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业务上，传统业务优势不再，战新业务能力不足，根源在于自研能力弱</w:t>
      </w:r>
    </w:p>
    <w:bookmarkEnd w:id="0"/>
    <w:p w14:paraId="6CD97EC3">
      <w:pPr>
        <w:spacing w:line="360" w:lineRule="auto"/>
        <w:ind w:firstLine="426" w:firstLineChars="177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双线同质化严重，低价竞争加剧，导致增收困难。</w:t>
      </w:r>
      <w:r>
        <w:rPr>
          <w:rFonts w:hint="eastAsia" w:ascii="宋体" w:hAnsi="宋体" w:eastAsia="宋体"/>
          <w:sz w:val="24"/>
          <w:szCs w:val="24"/>
        </w:rPr>
        <w:t>调研发现，对于双线类业务，友商的低价竞争影响进一步扩大，不仅大面积推行较电信优惠1/3以上的低价策略，甚至在要客的国际专线抢夺中，推出不到电信1/10的价格。同质化价格内卷大幅压低了新客价值，对收入产生直接影响，以南方某大省为例，前三季度新客收入由从去年同期正增长（11%）直接掉落至负增长（-12%）。</w:t>
      </w:r>
    </w:p>
    <w:p w14:paraId="6EE0F706">
      <w:pPr>
        <w:spacing w:line="360" w:lineRule="auto"/>
        <w:ind w:firstLine="426" w:firstLineChars="177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IDC转型不达预期，未能在新型领域获取应有的份额红利。</w:t>
      </w:r>
      <w:r>
        <w:rPr>
          <w:rFonts w:hint="eastAsia" w:ascii="宋体" w:hAnsi="宋体" w:eastAsia="宋体"/>
          <w:sz w:val="24"/>
          <w:szCs w:val="24"/>
        </w:rPr>
        <w:t>中电信IDC业务受到资源老旧、环评无法满足监管要求等多方面因素制约，在IDC到AIDC的转型发展中，未能占据有利地位，面临新增发展不足，原有客户大量退租的困境，急需加强在智算中心的市场抢占。</w:t>
      </w:r>
    </w:p>
    <w:p w14:paraId="0FD26824">
      <w:pPr>
        <w:spacing w:line="360" w:lineRule="auto"/>
        <w:ind w:firstLine="482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战新拳头产品供给能力仍不足，未能有效促进产数的盈利能力。</w:t>
      </w:r>
      <w:r>
        <w:rPr>
          <w:rFonts w:hint="eastAsia" w:ascii="宋体" w:hAnsi="宋体" w:eastAsia="宋体"/>
          <w:sz w:val="24"/>
          <w:szCs w:val="24"/>
        </w:rPr>
        <w:t>以七融为代表的战新业务板块，对产数收入贡献较小。截至2024年末， 6个主要战新专业公司总收入占集团产数总收入比为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18.89</w:t>
      </w:r>
      <w:r>
        <w:rPr>
          <w:rFonts w:hint="eastAsia" w:ascii="宋体" w:hAnsi="宋体" w:eastAsia="宋体"/>
          <w:sz w:val="24"/>
          <w:szCs w:val="24"/>
        </w:rPr>
        <w:t>%，较上一年提升3.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szCs w:val="24"/>
        </w:rPr>
        <w:t>3PP。其核心原因在于缺乏有竞争力的拳头产品，导致自融率相对较低。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数据显示，</w:t>
      </w:r>
      <w:r>
        <w:rPr>
          <w:rFonts w:hint="eastAsia" w:ascii="宋体" w:hAnsi="宋体" w:eastAsia="宋体"/>
          <w:sz w:val="24"/>
          <w:szCs w:val="24"/>
        </w:rPr>
        <w:t>2024年8月全国七融率只有18%，落后考核要求4PP。</w:t>
      </w:r>
    </w:p>
    <w:p w14:paraId="6CD890B4">
      <w:pPr>
        <w:spacing w:line="360" w:lineRule="auto"/>
        <w:ind w:left="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9865" cy="2176145"/>
            <wp:effectExtent l="0" t="0" r="63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983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777E8BE7">
      <w:pPr>
        <w:numPr>
          <w:ilvl w:val="0"/>
          <w:numId w:val="2"/>
        </w:numPr>
        <w:spacing w:before="120" w:after="120" w:line="360" w:lineRule="auto"/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现有能力供给与客户需求有差距，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  <w:lang w:val="en-US" w:eastAsia="zh-CN"/>
        </w:rPr>
        <w:t>交付与运营短板严重影响打单能力</w:t>
      </w:r>
    </w:p>
    <w:p w14:paraId="03939139">
      <w:pPr>
        <w:spacing w:line="360" w:lineRule="auto"/>
        <w:ind w:left="-199" w:leftChars="-95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20995" cy="2092325"/>
            <wp:effectExtent l="0" t="0" r="1905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E591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客户为产数业务付费的本质需求不在集成，而是为能够产生高价值业务结果的“服务”付费。对复杂项目交付和运营的经验缺乏，再叠加对交付和运营能力建设的忽略，导致很多业务“堵”在</w:t>
      </w:r>
      <w:bookmarkStart w:id="1" w:name="_GoBack"/>
      <w:bookmarkEnd w:id="1"/>
      <w:r>
        <w:rPr>
          <w:rFonts w:hint="eastAsia" w:ascii="宋体" w:hAnsi="宋体" w:eastAsia="宋体"/>
          <w:sz w:val="24"/>
          <w:szCs w:val="24"/>
        </w:rPr>
        <w:t>交付阶段，“缺”在运营阶段，进而影响项目回款和利润。</w:t>
      </w:r>
    </w:p>
    <w:p w14:paraId="17629EEF">
      <w:pPr>
        <w:pStyle w:val="30"/>
        <w:numPr>
          <w:ilvl w:val="0"/>
          <w:numId w:val="1"/>
        </w:numPr>
        <w:spacing w:before="240" w:after="120" w:afterLines="0"/>
        <w:ind w:left="0" w:leftChars="0" w:firstLine="0" w:firstLineChars="0"/>
        <w:rPr>
          <w:rFonts w:hint="eastAsia"/>
          <w:sz w:val="28"/>
          <w:szCs w:val="40"/>
        </w:rPr>
      </w:pPr>
      <w:r>
        <w:rPr>
          <w:rFonts w:hint="eastAsia"/>
          <w:sz w:val="28"/>
          <w:szCs w:val="40"/>
        </w:rPr>
        <w:t>建议把握政策机遇，积极应对、多措并举做强产数业务</w:t>
      </w:r>
    </w:p>
    <w:p w14:paraId="02C37171">
      <w:pPr>
        <w:numPr>
          <w:ilvl w:val="0"/>
          <w:numId w:val="0"/>
        </w:numPr>
        <w:spacing w:after="156" w:afterLines="50" w:line="360" w:lineRule="auto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从2025年政策动态来看，国家聚焦于技术赋能、基础设施升级、产业链协同等方面，为产数市场提供了多维度的政策支持。2025年政府工作报告明确提出发展新质生产力，促进数字产业化与产业数字化，并扩大对5G、物联网、人工智能等技术的投入，通过财税优惠和营商环境优化，进一步释放市场潜力。根据IDC预测，2024-2028年中国企业级ICT市场将以11.5%的复合增长率扩张，2028年规模将达4150亿美元。</w:t>
      </w:r>
    </w:p>
    <w:p w14:paraId="566BE045">
      <w:pPr>
        <w:numPr>
          <w:ilvl w:val="0"/>
          <w:numId w:val="0"/>
        </w:numPr>
        <w:spacing w:after="156" w:afterLines="50"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从招投标市场规模的增长趋势来看，2025年政府项目招投标呈现出积极的态势。2024年全国招中标项目总数30.34万个，总金额12.23万亿元，预计2025年在政策推动和市场活跃的背景下，项目数量和金额会进一步增长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规模预计达15万亿元，年均增速约10%</w:t>
      </w:r>
      <w:r>
        <w:rPr>
          <w:rStyle w:val="17"/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footnoteReference w:id="3"/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，基建、公共服务是主要增长领域，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将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产数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市场带来广阔的业务空间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。</w:t>
      </w:r>
    </w:p>
    <w:p w14:paraId="0DCAD410">
      <w:pPr>
        <w:spacing w:line="360" w:lineRule="auto"/>
        <w:ind w:firstLine="424" w:firstLineChars="177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根据测算，电信产数市场份额如果从当前的6%提升到7%，可望拉动总收入增长超过5PP</w:t>
      </w:r>
      <w:r>
        <w:rPr>
          <w:rStyle w:val="17"/>
          <w:rFonts w:hint="eastAsia" w:ascii="宋体" w:hAnsi="宋体" w:eastAsia="宋体"/>
          <w:sz w:val="24"/>
          <w:szCs w:val="24"/>
        </w:rPr>
        <w:footnoteReference w:id="4"/>
      </w:r>
      <w:r>
        <w:rPr>
          <w:rFonts w:hint="eastAsia" w:ascii="宋体" w:hAnsi="宋体" w:eastAsia="宋体"/>
          <w:sz w:val="24"/>
          <w:szCs w:val="24"/>
        </w:rPr>
        <w:t>，产数的决胜盘作用显而易见。建议在政策宽松和市场预期增强的机遇下，进一步强化产数战略地位，增强省专公司的信念和信心，加快产数市场发展。</w:t>
      </w:r>
    </w:p>
    <w:p w14:paraId="3A8E1179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5352415" cy="1628775"/>
            <wp:effectExtent l="0" t="0" r="698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8303A">
      <w:pPr>
        <w:spacing w:line="360" w:lineRule="auto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561330" cy="2304415"/>
            <wp:effectExtent l="0" t="0" r="1270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F71D">
      <w:pPr>
        <w:spacing w:after="156" w:afterLines="50" w:line="360" w:lineRule="auto"/>
        <w:ind w:left="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302885" cy="2259330"/>
            <wp:effectExtent l="0" t="0" r="5715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123E">
      <w:pPr>
        <w:spacing w:after="156" w:afterLines="50" w:line="360" w:lineRule="auto"/>
        <w:ind w:firstLine="424" w:firstLineChars="177"/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>
      <w:r>
        <w:separator/>
      </w:r>
    </w:p>
  </w:footnote>
  <w:footnote w:type="continuationSeparator" w:id="11">
    <w:p>
      <w:r>
        <w:continuationSeparator/>
      </w:r>
    </w:p>
  </w:footnote>
  <w:footnote w:id="0">
    <w:p w14:paraId="63E387A9">
      <w:pPr>
        <w:pStyle w:val="9"/>
      </w:pPr>
      <w:r>
        <w:rPr>
          <w:rStyle w:val="17"/>
          <w:rFonts w:hint="eastAsia"/>
        </w:rPr>
        <w:footnoteRef/>
      </w:r>
      <w:r>
        <w:t>科智咨询发布《202</w:t>
      </w:r>
      <w:r>
        <w:rPr>
          <w:rFonts w:hint="eastAsia"/>
        </w:rPr>
        <w:t>4</w:t>
      </w:r>
      <w:r>
        <w:t>-202</w:t>
      </w:r>
      <w:r>
        <w:rPr>
          <w:rFonts w:hint="eastAsia"/>
        </w:rPr>
        <w:t>5</w:t>
      </w:r>
      <w:r>
        <w:t>年</w:t>
      </w:r>
      <w:r>
        <w:rPr>
          <w:rFonts w:hint="eastAsia"/>
        </w:rPr>
        <w:t>中</w:t>
      </w:r>
      <w:r>
        <w:t>国IDC行业发展研究报告》显示，202</w:t>
      </w:r>
      <w:r>
        <w:rPr>
          <w:rFonts w:hint="eastAsia"/>
        </w:rPr>
        <w:t>4</w:t>
      </w:r>
      <w:r>
        <w:t>年</w:t>
      </w:r>
      <w:r>
        <w:rPr>
          <w:rFonts w:hint="eastAsia"/>
        </w:rPr>
        <w:t>中</w:t>
      </w:r>
      <w:r>
        <w:t>国整体IDC业务市场规模为</w:t>
      </w:r>
      <w:r>
        <w:rPr>
          <w:rFonts w:hint="eastAsia"/>
        </w:rPr>
        <w:t>6411.6</w:t>
      </w:r>
      <w:r>
        <w:t>亿元</w:t>
      </w:r>
      <w:r>
        <w:rPr>
          <w:rFonts w:hint="eastAsia"/>
        </w:rPr>
        <w:t>，</w:t>
      </w:r>
      <w:r>
        <w:t>较202</w:t>
      </w:r>
      <w:r>
        <w:rPr>
          <w:rFonts w:hint="eastAsia"/>
        </w:rPr>
        <w:t>3</w:t>
      </w:r>
      <w:r>
        <w:t>年增长2</w:t>
      </w:r>
      <w:r>
        <w:rPr>
          <w:rFonts w:hint="eastAsia"/>
        </w:rPr>
        <w:t>6.3</w:t>
      </w:r>
      <w:r>
        <w:t>%</w:t>
      </w:r>
      <w:r>
        <w:rPr>
          <w:rFonts w:hint="eastAsia"/>
        </w:rPr>
        <w:t>。其中，传统IDC业务增长8.7%，智算中心算力租赁业务增长66.7%。</w:t>
      </w:r>
    </w:p>
  </w:footnote>
  <w:footnote w:id="1">
    <w:p w14:paraId="2AD855E8">
      <w:pPr>
        <w:pStyle w:val="9"/>
      </w:pPr>
      <w:r>
        <w:rPr>
          <w:rStyle w:val="17"/>
          <w:rFonts w:eastAsia="宋体" w:cs="Times New Roman"/>
        </w:rPr>
        <w:footnoteRef/>
      </w:r>
      <w:r>
        <w:rPr>
          <w:rStyle w:val="17"/>
          <w:rFonts w:eastAsia="宋体" w:cs="Times New Roman"/>
        </w:rPr>
        <w:t xml:space="preserve">  </w:t>
      </w:r>
      <w:r>
        <w:rPr>
          <w:rFonts w:hint="eastAsia"/>
        </w:rPr>
        <w:t>新增是指今年新入网的产数业务收入；</w:t>
      </w:r>
      <w:r>
        <w:t>存增是指上一年入网在今年产生的产数业务收入</w:t>
      </w:r>
      <w:r>
        <w:rPr>
          <w:rFonts w:hint="eastAsia"/>
        </w:rPr>
        <w:t>；</w:t>
      </w:r>
      <w:r>
        <w:t>存存是指上一年之前入网在今年产生的产数业务收入</w:t>
      </w:r>
    </w:p>
  </w:footnote>
  <w:footnote w:id="2">
    <w:p w14:paraId="48647441">
      <w:pPr>
        <w:pStyle w:val="9"/>
      </w:pPr>
      <w:r>
        <w:rPr>
          <w:rStyle w:val="17"/>
          <w:rFonts w:eastAsia="宋体" w:cs="Times New Roman"/>
        </w:rPr>
        <w:footnoteRef/>
      </w:r>
      <w:r>
        <w:rPr>
          <w:rStyle w:val="17"/>
          <w:rFonts w:eastAsia="宋体" w:cs="Times New Roman"/>
        </w:rPr>
        <w:t xml:space="preserve"> </w:t>
      </w:r>
      <w:r>
        <w:rPr>
          <w:rFonts w:hint="eastAsia" w:asciiTheme="minorEastAsia" w:hAnsiTheme="minorEastAsia" w:cstheme="minorEastAsia"/>
        </w:rPr>
        <w:t>该省数据是指23年Q3累计收入与24年Q3同期累计收入数据分析对比</w:t>
      </w:r>
    </w:p>
  </w:footnote>
  <w:footnote w:id="3">
    <w:p w14:paraId="32E9E8D4">
      <w:pPr>
        <w:pStyle w:val="9"/>
        <w:snapToGrid w:val="0"/>
      </w:pPr>
      <w:r>
        <w:rPr>
          <w:rStyle w:val="17"/>
        </w:rPr>
        <w:footnoteRef/>
      </w:r>
      <w:r>
        <w:rPr>
          <w:rFonts w:hint="eastAsia"/>
        </w:rPr>
        <w:t xml:space="preserve"> 中研普华产业研究院《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"https://www.chinairn.com/report/20250208/171823356.html?id=1915436&amp;name=XuYuWei" \t "https://www.chinairn.com/news/20250220/_blank" </w:instrText>
      </w:r>
      <w:r>
        <w:rPr>
          <w:rFonts w:hint="eastAsia"/>
        </w:rPr>
        <w:fldChar w:fldCharType="separate"/>
      </w:r>
      <w:r>
        <w:rPr>
          <w:rFonts w:hint="eastAsia"/>
        </w:rPr>
        <w:t>2025-2030年招投标市场深度分析及发展趋势研究咨询报告</w:t>
      </w:r>
      <w:r>
        <w:rPr>
          <w:rFonts w:hint="eastAsia"/>
        </w:rPr>
        <w:fldChar w:fldCharType="end"/>
      </w:r>
      <w:r>
        <w:rPr>
          <w:rFonts w:hint="eastAsia"/>
        </w:rPr>
        <w:t>》</w:t>
      </w:r>
    </w:p>
  </w:footnote>
  <w:footnote w:id="4">
    <w:p w14:paraId="48E5B756">
      <w:pPr>
        <w:pStyle w:val="9"/>
      </w:pPr>
      <w:r>
        <w:rPr>
          <w:rStyle w:val="17"/>
          <w:rFonts w:hint="eastAsia"/>
        </w:rPr>
        <w:footnoteRef/>
      </w:r>
      <w:r>
        <w:rPr>
          <w:rFonts w:hint="eastAsia"/>
        </w:rPr>
        <w:t xml:space="preserve"> 以中电信ICT业务占企业级ICT整体市场份额约为6%，中电信2024收入同比增幅3.1%为基础进行测算</w:t>
      </w:r>
    </w:p>
    <w:p w14:paraId="284BF963">
      <w:pPr>
        <w:pStyle w:val="9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DCFE5"/>
    <w:multiLevelType w:val="singleLevel"/>
    <w:tmpl w:val="A86DCFE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245FE5C9"/>
    <w:multiLevelType w:val="singleLevel"/>
    <w:tmpl w:val="245FE5C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0"/>
    <w:footnote w:id="1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Q4ODQwNThiYTg4YTBlNDhkZDRmNGNiNWM5NWE1YzAifQ=="/>
  </w:docVars>
  <w:rsids>
    <w:rsidRoot w:val="008A344D"/>
    <w:rsid w:val="00002404"/>
    <w:rsid w:val="00005A57"/>
    <w:rsid w:val="000071D6"/>
    <w:rsid w:val="00026798"/>
    <w:rsid w:val="000318A3"/>
    <w:rsid w:val="0004425A"/>
    <w:rsid w:val="00050E6E"/>
    <w:rsid w:val="00051A25"/>
    <w:rsid w:val="00052EE9"/>
    <w:rsid w:val="00055B1D"/>
    <w:rsid w:val="0005691F"/>
    <w:rsid w:val="00060D07"/>
    <w:rsid w:val="00065D15"/>
    <w:rsid w:val="00067E7B"/>
    <w:rsid w:val="0007390B"/>
    <w:rsid w:val="000778FA"/>
    <w:rsid w:val="00080BA5"/>
    <w:rsid w:val="00084A3E"/>
    <w:rsid w:val="00092C03"/>
    <w:rsid w:val="00092DEA"/>
    <w:rsid w:val="000950C5"/>
    <w:rsid w:val="00095408"/>
    <w:rsid w:val="000A3B9B"/>
    <w:rsid w:val="000C5B74"/>
    <w:rsid w:val="000C78EE"/>
    <w:rsid w:val="000D4F13"/>
    <w:rsid w:val="000E012F"/>
    <w:rsid w:val="000E5472"/>
    <w:rsid w:val="000F453F"/>
    <w:rsid w:val="000F7A59"/>
    <w:rsid w:val="001065B4"/>
    <w:rsid w:val="00107D6B"/>
    <w:rsid w:val="00111FE0"/>
    <w:rsid w:val="001179D1"/>
    <w:rsid w:val="00125A9B"/>
    <w:rsid w:val="00126342"/>
    <w:rsid w:val="00132E4E"/>
    <w:rsid w:val="001336F8"/>
    <w:rsid w:val="00143E60"/>
    <w:rsid w:val="001508EC"/>
    <w:rsid w:val="00152781"/>
    <w:rsid w:val="00164E91"/>
    <w:rsid w:val="001672E1"/>
    <w:rsid w:val="0017223F"/>
    <w:rsid w:val="001900DD"/>
    <w:rsid w:val="00194DDF"/>
    <w:rsid w:val="001A4E1F"/>
    <w:rsid w:val="001B5EE8"/>
    <w:rsid w:val="001C0E2F"/>
    <w:rsid w:val="001C21FE"/>
    <w:rsid w:val="001F4AD2"/>
    <w:rsid w:val="001F7539"/>
    <w:rsid w:val="002000F5"/>
    <w:rsid w:val="00201D35"/>
    <w:rsid w:val="002054AC"/>
    <w:rsid w:val="0020568F"/>
    <w:rsid w:val="00207818"/>
    <w:rsid w:val="0021009D"/>
    <w:rsid w:val="00211B2B"/>
    <w:rsid w:val="00211B32"/>
    <w:rsid w:val="002147AA"/>
    <w:rsid w:val="00216DF7"/>
    <w:rsid w:val="00220A5B"/>
    <w:rsid w:val="00220E80"/>
    <w:rsid w:val="0022183F"/>
    <w:rsid w:val="00225825"/>
    <w:rsid w:val="00231531"/>
    <w:rsid w:val="002329A2"/>
    <w:rsid w:val="002449C6"/>
    <w:rsid w:val="002458AF"/>
    <w:rsid w:val="002472B8"/>
    <w:rsid w:val="00251B91"/>
    <w:rsid w:val="0025343A"/>
    <w:rsid w:val="00257B86"/>
    <w:rsid w:val="00261FBB"/>
    <w:rsid w:val="002635E0"/>
    <w:rsid w:val="00265A2C"/>
    <w:rsid w:val="00270F1F"/>
    <w:rsid w:val="00273F1B"/>
    <w:rsid w:val="00275FDC"/>
    <w:rsid w:val="0027656C"/>
    <w:rsid w:val="00284000"/>
    <w:rsid w:val="00296625"/>
    <w:rsid w:val="002979E5"/>
    <w:rsid w:val="002A7F42"/>
    <w:rsid w:val="002B1A65"/>
    <w:rsid w:val="002B2007"/>
    <w:rsid w:val="002B34BE"/>
    <w:rsid w:val="002B576B"/>
    <w:rsid w:val="002C0726"/>
    <w:rsid w:val="002C2858"/>
    <w:rsid w:val="002C557D"/>
    <w:rsid w:val="002C579E"/>
    <w:rsid w:val="002D3784"/>
    <w:rsid w:val="002D3C8D"/>
    <w:rsid w:val="002E0875"/>
    <w:rsid w:val="002E1AB1"/>
    <w:rsid w:val="002F1EE0"/>
    <w:rsid w:val="002F4CBE"/>
    <w:rsid w:val="003030D1"/>
    <w:rsid w:val="00305750"/>
    <w:rsid w:val="00313EA2"/>
    <w:rsid w:val="00314F18"/>
    <w:rsid w:val="003279A5"/>
    <w:rsid w:val="00334312"/>
    <w:rsid w:val="003345CD"/>
    <w:rsid w:val="003350B8"/>
    <w:rsid w:val="00337ABB"/>
    <w:rsid w:val="00344C02"/>
    <w:rsid w:val="003454EE"/>
    <w:rsid w:val="00346AB9"/>
    <w:rsid w:val="00347B95"/>
    <w:rsid w:val="00351A29"/>
    <w:rsid w:val="0035350F"/>
    <w:rsid w:val="00353EDA"/>
    <w:rsid w:val="003559BA"/>
    <w:rsid w:val="00361622"/>
    <w:rsid w:val="00364775"/>
    <w:rsid w:val="00370494"/>
    <w:rsid w:val="00375F78"/>
    <w:rsid w:val="00387145"/>
    <w:rsid w:val="00387FCE"/>
    <w:rsid w:val="00391BF3"/>
    <w:rsid w:val="00397D03"/>
    <w:rsid w:val="003A181C"/>
    <w:rsid w:val="003A6632"/>
    <w:rsid w:val="003A6DD6"/>
    <w:rsid w:val="003A6FF4"/>
    <w:rsid w:val="003B2DE9"/>
    <w:rsid w:val="003B44EF"/>
    <w:rsid w:val="003C21B9"/>
    <w:rsid w:val="003D3F7B"/>
    <w:rsid w:val="003D5FAB"/>
    <w:rsid w:val="003D6965"/>
    <w:rsid w:val="003E28B5"/>
    <w:rsid w:val="003E5164"/>
    <w:rsid w:val="003E5627"/>
    <w:rsid w:val="003F2023"/>
    <w:rsid w:val="003F2709"/>
    <w:rsid w:val="00400A4C"/>
    <w:rsid w:val="004014BE"/>
    <w:rsid w:val="00402F4E"/>
    <w:rsid w:val="00404983"/>
    <w:rsid w:val="00407689"/>
    <w:rsid w:val="004220AF"/>
    <w:rsid w:val="0042487B"/>
    <w:rsid w:val="0043115D"/>
    <w:rsid w:val="00432724"/>
    <w:rsid w:val="00432755"/>
    <w:rsid w:val="00437078"/>
    <w:rsid w:val="004511E8"/>
    <w:rsid w:val="0045165C"/>
    <w:rsid w:val="0045405B"/>
    <w:rsid w:val="00461D3F"/>
    <w:rsid w:val="004719E7"/>
    <w:rsid w:val="004776F0"/>
    <w:rsid w:val="004833E4"/>
    <w:rsid w:val="00487B2F"/>
    <w:rsid w:val="00491909"/>
    <w:rsid w:val="00493D8C"/>
    <w:rsid w:val="004A3734"/>
    <w:rsid w:val="004A6DB8"/>
    <w:rsid w:val="004B51DB"/>
    <w:rsid w:val="004C3365"/>
    <w:rsid w:val="004C695F"/>
    <w:rsid w:val="004E5B57"/>
    <w:rsid w:val="004F3097"/>
    <w:rsid w:val="0051425F"/>
    <w:rsid w:val="00522111"/>
    <w:rsid w:val="00522FFB"/>
    <w:rsid w:val="00525A0B"/>
    <w:rsid w:val="00526C14"/>
    <w:rsid w:val="005305FC"/>
    <w:rsid w:val="00533CB5"/>
    <w:rsid w:val="0053597C"/>
    <w:rsid w:val="00536D37"/>
    <w:rsid w:val="005531EA"/>
    <w:rsid w:val="00557F1B"/>
    <w:rsid w:val="0056095A"/>
    <w:rsid w:val="00563429"/>
    <w:rsid w:val="00563FAC"/>
    <w:rsid w:val="005665CB"/>
    <w:rsid w:val="005716C8"/>
    <w:rsid w:val="00572A97"/>
    <w:rsid w:val="00576093"/>
    <w:rsid w:val="005841F2"/>
    <w:rsid w:val="00591B68"/>
    <w:rsid w:val="005A0314"/>
    <w:rsid w:val="005A14F9"/>
    <w:rsid w:val="005B5D17"/>
    <w:rsid w:val="005C04D5"/>
    <w:rsid w:val="005C181D"/>
    <w:rsid w:val="005C2A1E"/>
    <w:rsid w:val="005C6B74"/>
    <w:rsid w:val="005D419A"/>
    <w:rsid w:val="005D4F6D"/>
    <w:rsid w:val="005D6FCD"/>
    <w:rsid w:val="005E38EF"/>
    <w:rsid w:val="005E4FC5"/>
    <w:rsid w:val="005F57EB"/>
    <w:rsid w:val="0061249B"/>
    <w:rsid w:val="00613640"/>
    <w:rsid w:val="00614883"/>
    <w:rsid w:val="00620E6B"/>
    <w:rsid w:val="00625493"/>
    <w:rsid w:val="0062672E"/>
    <w:rsid w:val="00633862"/>
    <w:rsid w:val="00635A8E"/>
    <w:rsid w:val="00642991"/>
    <w:rsid w:val="006436A8"/>
    <w:rsid w:val="0064370C"/>
    <w:rsid w:val="00652453"/>
    <w:rsid w:val="00652CDC"/>
    <w:rsid w:val="00654117"/>
    <w:rsid w:val="00672861"/>
    <w:rsid w:val="00675AD5"/>
    <w:rsid w:val="006777AB"/>
    <w:rsid w:val="006A1676"/>
    <w:rsid w:val="006A34B0"/>
    <w:rsid w:val="006A35B4"/>
    <w:rsid w:val="006A6AD6"/>
    <w:rsid w:val="006A7A2B"/>
    <w:rsid w:val="006B0A53"/>
    <w:rsid w:val="006B1056"/>
    <w:rsid w:val="006B25B4"/>
    <w:rsid w:val="006B25D5"/>
    <w:rsid w:val="006B2D4C"/>
    <w:rsid w:val="006B3147"/>
    <w:rsid w:val="006B739B"/>
    <w:rsid w:val="006B74EA"/>
    <w:rsid w:val="006B7D2A"/>
    <w:rsid w:val="006D1DEE"/>
    <w:rsid w:val="006E31CB"/>
    <w:rsid w:val="006E5794"/>
    <w:rsid w:val="007051E2"/>
    <w:rsid w:val="00707496"/>
    <w:rsid w:val="0071050D"/>
    <w:rsid w:val="007138E3"/>
    <w:rsid w:val="00715994"/>
    <w:rsid w:val="00717838"/>
    <w:rsid w:val="00720CB8"/>
    <w:rsid w:val="00721E2F"/>
    <w:rsid w:val="007240EA"/>
    <w:rsid w:val="00724F2B"/>
    <w:rsid w:val="00727D2D"/>
    <w:rsid w:val="007313D6"/>
    <w:rsid w:val="00735595"/>
    <w:rsid w:val="0074069E"/>
    <w:rsid w:val="0074176E"/>
    <w:rsid w:val="00741F8D"/>
    <w:rsid w:val="0074319E"/>
    <w:rsid w:val="0074394A"/>
    <w:rsid w:val="00750AAC"/>
    <w:rsid w:val="00754804"/>
    <w:rsid w:val="00755B99"/>
    <w:rsid w:val="00763F69"/>
    <w:rsid w:val="00765374"/>
    <w:rsid w:val="00767120"/>
    <w:rsid w:val="007747AA"/>
    <w:rsid w:val="00774944"/>
    <w:rsid w:val="00784BF7"/>
    <w:rsid w:val="00784E5D"/>
    <w:rsid w:val="00786746"/>
    <w:rsid w:val="0079137A"/>
    <w:rsid w:val="00791BE1"/>
    <w:rsid w:val="00792192"/>
    <w:rsid w:val="0079388A"/>
    <w:rsid w:val="007A0739"/>
    <w:rsid w:val="007A7588"/>
    <w:rsid w:val="007A7F9E"/>
    <w:rsid w:val="007B2BCA"/>
    <w:rsid w:val="007B60AE"/>
    <w:rsid w:val="007C66D9"/>
    <w:rsid w:val="007D0A0C"/>
    <w:rsid w:val="007D51AB"/>
    <w:rsid w:val="007D6710"/>
    <w:rsid w:val="007E1FDD"/>
    <w:rsid w:val="007E2383"/>
    <w:rsid w:val="007E66D9"/>
    <w:rsid w:val="007E75A2"/>
    <w:rsid w:val="007F70D0"/>
    <w:rsid w:val="007F7332"/>
    <w:rsid w:val="00803F27"/>
    <w:rsid w:val="00804193"/>
    <w:rsid w:val="00812BDF"/>
    <w:rsid w:val="00816345"/>
    <w:rsid w:val="00826F35"/>
    <w:rsid w:val="00834334"/>
    <w:rsid w:val="00834928"/>
    <w:rsid w:val="00834BC1"/>
    <w:rsid w:val="00836EC7"/>
    <w:rsid w:val="008419BF"/>
    <w:rsid w:val="0085243B"/>
    <w:rsid w:val="00853D46"/>
    <w:rsid w:val="00856392"/>
    <w:rsid w:val="00857256"/>
    <w:rsid w:val="008614B7"/>
    <w:rsid w:val="00863E8B"/>
    <w:rsid w:val="00871FA1"/>
    <w:rsid w:val="00874A74"/>
    <w:rsid w:val="00884840"/>
    <w:rsid w:val="00886332"/>
    <w:rsid w:val="00890C75"/>
    <w:rsid w:val="0089165B"/>
    <w:rsid w:val="008947B7"/>
    <w:rsid w:val="008A0792"/>
    <w:rsid w:val="008A110E"/>
    <w:rsid w:val="008A1AE8"/>
    <w:rsid w:val="008A344D"/>
    <w:rsid w:val="008A57D3"/>
    <w:rsid w:val="008A6C2E"/>
    <w:rsid w:val="008A75CF"/>
    <w:rsid w:val="008A7A72"/>
    <w:rsid w:val="008B0C55"/>
    <w:rsid w:val="008B48E6"/>
    <w:rsid w:val="008D18B7"/>
    <w:rsid w:val="008D77A7"/>
    <w:rsid w:val="008E2111"/>
    <w:rsid w:val="008E420D"/>
    <w:rsid w:val="008F715B"/>
    <w:rsid w:val="008F7E59"/>
    <w:rsid w:val="00903E71"/>
    <w:rsid w:val="00910676"/>
    <w:rsid w:val="00910C74"/>
    <w:rsid w:val="00910F80"/>
    <w:rsid w:val="00913FC2"/>
    <w:rsid w:val="009224A2"/>
    <w:rsid w:val="00923D63"/>
    <w:rsid w:val="00925A42"/>
    <w:rsid w:val="009321DA"/>
    <w:rsid w:val="0093674F"/>
    <w:rsid w:val="009421D2"/>
    <w:rsid w:val="00946420"/>
    <w:rsid w:val="009506DB"/>
    <w:rsid w:val="009633ED"/>
    <w:rsid w:val="00964F69"/>
    <w:rsid w:val="009664FC"/>
    <w:rsid w:val="0098154E"/>
    <w:rsid w:val="00982C8F"/>
    <w:rsid w:val="00982C91"/>
    <w:rsid w:val="00984F14"/>
    <w:rsid w:val="00990F67"/>
    <w:rsid w:val="00994A25"/>
    <w:rsid w:val="009A00B5"/>
    <w:rsid w:val="009A44EB"/>
    <w:rsid w:val="009A4735"/>
    <w:rsid w:val="009B25FE"/>
    <w:rsid w:val="009B27CA"/>
    <w:rsid w:val="009B5EDC"/>
    <w:rsid w:val="009D46A9"/>
    <w:rsid w:val="009D6FCB"/>
    <w:rsid w:val="009E2A50"/>
    <w:rsid w:val="009E4361"/>
    <w:rsid w:val="009E699C"/>
    <w:rsid w:val="009E6FC2"/>
    <w:rsid w:val="009E7211"/>
    <w:rsid w:val="009E7936"/>
    <w:rsid w:val="009F5AA1"/>
    <w:rsid w:val="009F65AE"/>
    <w:rsid w:val="009F6850"/>
    <w:rsid w:val="009F6CB3"/>
    <w:rsid w:val="00A01712"/>
    <w:rsid w:val="00A0386A"/>
    <w:rsid w:val="00A11AF3"/>
    <w:rsid w:val="00A16F0E"/>
    <w:rsid w:val="00A17C83"/>
    <w:rsid w:val="00A216C7"/>
    <w:rsid w:val="00A31ABF"/>
    <w:rsid w:val="00A3256A"/>
    <w:rsid w:val="00A36BD1"/>
    <w:rsid w:val="00A41191"/>
    <w:rsid w:val="00A461B9"/>
    <w:rsid w:val="00A62108"/>
    <w:rsid w:val="00A6243A"/>
    <w:rsid w:val="00A70A48"/>
    <w:rsid w:val="00A77783"/>
    <w:rsid w:val="00A8002F"/>
    <w:rsid w:val="00AA0F10"/>
    <w:rsid w:val="00AA5AD6"/>
    <w:rsid w:val="00AA7B20"/>
    <w:rsid w:val="00AB2ACE"/>
    <w:rsid w:val="00AB446A"/>
    <w:rsid w:val="00AB5A6F"/>
    <w:rsid w:val="00AB6087"/>
    <w:rsid w:val="00AC20B4"/>
    <w:rsid w:val="00AC4210"/>
    <w:rsid w:val="00AC4EED"/>
    <w:rsid w:val="00AE2E0F"/>
    <w:rsid w:val="00AE3A08"/>
    <w:rsid w:val="00AF0437"/>
    <w:rsid w:val="00AF0A31"/>
    <w:rsid w:val="00AF26FB"/>
    <w:rsid w:val="00AF42AC"/>
    <w:rsid w:val="00AF5DC7"/>
    <w:rsid w:val="00AF6613"/>
    <w:rsid w:val="00B011E9"/>
    <w:rsid w:val="00B15E97"/>
    <w:rsid w:val="00B25B15"/>
    <w:rsid w:val="00B40F6D"/>
    <w:rsid w:val="00B46009"/>
    <w:rsid w:val="00B5358C"/>
    <w:rsid w:val="00B53DD5"/>
    <w:rsid w:val="00B53EC9"/>
    <w:rsid w:val="00B541EE"/>
    <w:rsid w:val="00B5496E"/>
    <w:rsid w:val="00B57CD7"/>
    <w:rsid w:val="00B60389"/>
    <w:rsid w:val="00B64001"/>
    <w:rsid w:val="00B71B13"/>
    <w:rsid w:val="00B742F8"/>
    <w:rsid w:val="00B9406C"/>
    <w:rsid w:val="00BB6106"/>
    <w:rsid w:val="00BC0245"/>
    <w:rsid w:val="00BC7735"/>
    <w:rsid w:val="00BD25A8"/>
    <w:rsid w:val="00BD2E2C"/>
    <w:rsid w:val="00BE04E3"/>
    <w:rsid w:val="00BE0510"/>
    <w:rsid w:val="00BE0791"/>
    <w:rsid w:val="00BE0DEE"/>
    <w:rsid w:val="00BE32CB"/>
    <w:rsid w:val="00BF1056"/>
    <w:rsid w:val="00C00D49"/>
    <w:rsid w:val="00C01529"/>
    <w:rsid w:val="00C031E5"/>
    <w:rsid w:val="00C12D70"/>
    <w:rsid w:val="00C131C6"/>
    <w:rsid w:val="00C16F7D"/>
    <w:rsid w:val="00C20621"/>
    <w:rsid w:val="00C232DB"/>
    <w:rsid w:val="00C32101"/>
    <w:rsid w:val="00C33D36"/>
    <w:rsid w:val="00C35216"/>
    <w:rsid w:val="00C43AC2"/>
    <w:rsid w:val="00C62E19"/>
    <w:rsid w:val="00C64A39"/>
    <w:rsid w:val="00C661BC"/>
    <w:rsid w:val="00C67E0B"/>
    <w:rsid w:val="00C70B01"/>
    <w:rsid w:val="00C834F4"/>
    <w:rsid w:val="00C86B16"/>
    <w:rsid w:val="00C87625"/>
    <w:rsid w:val="00CB0797"/>
    <w:rsid w:val="00CC2C73"/>
    <w:rsid w:val="00CC5EA7"/>
    <w:rsid w:val="00CD4BF1"/>
    <w:rsid w:val="00CD4FC8"/>
    <w:rsid w:val="00CD53DF"/>
    <w:rsid w:val="00CE0B1A"/>
    <w:rsid w:val="00CF16BE"/>
    <w:rsid w:val="00CF4072"/>
    <w:rsid w:val="00D0047B"/>
    <w:rsid w:val="00D03B18"/>
    <w:rsid w:val="00D06F3D"/>
    <w:rsid w:val="00D11170"/>
    <w:rsid w:val="00D13948"/>
    <w:rsid w:val="00D276E0"/>
    <w:rsid w:val="00D341B8"/>
    <w:rsid w:val="00D377FC"/>
    <w:rsid w:val="00D45B53"/>
    <w:rsid w:val="00D45ECA"/>
    <w:rsid w:val="00D4647A"/>
    <w:rsid w:val="00D46C97"/>
    <w:rsid w:val="00D5097E"/>
    <w:rsid w:val="00D50A0B"/>
    <w:rsid w:val="00D537AA"/>
    <w:rsid w:val="00D8596F"/>
    <w:rsid w:val="00DA4BEA"/>
    <w:rsid w:val="00DB001C"/>
    <w:rsid w:val="00DC2408"/>
    <w:rsid w:val="00DE002C"/>
    <w:rsid w:val="00DE2E15"/>
    <w:rsid w:val="00DE6056"/>
    <w:rsid w:val="00DF4413"/>
    <w:rsid w:val="00DF6C69"/>
    <w:rsid w:val="00E03E60"/>
    <w:rsid w:val="00E06FD8"/>
    <w:rsid w:val="00E10548"/>
    <w:rsid w:val="00E12E70"/>
    <w:rsid w:val="00E217CF"/>
    <w:rsid w:val="00E32913"/>
    <w:rsid w:val="00E35ADE"/>
    <w:rsid w:val="00E3690F"/>
    <w:rsid w:val="00E5372F"/>
    <w:rsid w:val="00E57DC1"/>
    <w:rsid w:val="00E66D14"/>
    <w:rsid w:val="00E91234"/>
    <w:rsid w:val="00EA6F0B"/>
    <w:rsid w:val="00EB284C"/>
    <w:rsid w:val="00EB2A18"/>
    <w:rsid w:val="00EB3243"/>
    <w:rsid w:val="00EB75CA"/>
    <w:rsid w:val="00EC076C"/>
    <w:rsid w:val="00EC0852"/>
    <w:rsid w:val="00EC750C"/>
    <w:rsid w:val="00EC7B29"/>
    <w:rsid w:val="00ED07BA"/>
    <w:rsid w:val="00ED6D13"/>
    <w:rsid w:val="00EE59C1"/>
    <w:rsid w:val="00F0221E"/>
    <w:rsid w:val="00F05EC2"/>
    <w:rsid w:val="00F066BA"/>
    <w:rsid w:val="00F0713E"/>
    <w:rsid w:val="00F076D4"/>
    <w:rsid w:val="00F11F38"/>
    <w:rsid w:val="00F21C7E"/>
    <w:rsid w:val="00F22741"/>
    <w:rsid w:val="00F26251"/>
    <w:rsid w:val="00F53604"/>
    <w:rsid w:val="00F605E6"/>
    <w:rsid w:val="00F612DE"/>
    <w:rsid w:val="00F6578C"/>
    <w:rsid w:val="00F66AFA"/>
    <w:rsid w:val="00F72286"/>
    <w:rsid w:val="00F75665"/>
    <w:rsid w:val="00F82E80"/>
    <w:rsid w:val="00F851EC"/>
    <w:rsid w:val="00F86903"/>
    <w:rsid w:val="00F96EF4"/>
    <w:rsid w:val="00FA1262"/>
    <w:rsid w:val="00FA209B"/>
    <w:rsid w:val="00FA2125"/>
    <w:rsid w:val="00FA2AE7"/>
    <w:rsid w:val="00FA70A1"/>
    <w:rsid w:val="00FB0C0B"/>
    <w:rsid w:val="00FB4415"/>
    <w:rsid w:val="00FB5EF4"/>
    <w:rsid w:val="00FC07C5"/>
    <w:rsid w:val="00FC3027"/>
    <w:rsid w:val="00FC44EA"/>
    <w:rsid w:val="00FD2D63"/>
    <w:rsid w:val="00FD70D0"/>
    <w:rsid w:val="00FE072C"/>
    <w:rsid w:val="00FE71D0"/>
    <w:rsid w:val="00FF4517"/>
    <w:rsid w:val="00FF52B2"/>
    <w:rsid w:val="00FF533E"/>
    <w:rsid w:val="01710365"/>
    <w:rsid w:val="01BD7A4F"/>
    <w:rsid w:val="01E05D16"/>
    <w:rsid w:val="03C96A26"/>
    <w:rsid w:val="04530D55"/>
    <w:rsid w:val="0528691B"/>
    <w:rsid w:val="05B15E1B"/>
    <w:rsid w:val="06402A9F"/>
    <w:rsid w:val="09466D22"/>
    <w:rsid w:val="095C5C98"/>
    <w:rsid w:val="0D4D041C"/>
    <w:rsid w:val="0D9E0F0A"/>
    <w:rsid w:val="0E19425F"/>
    <w:rsid w:val="0E1D3459"/>
    <w:rsid w:val="0E3F3599"/>
    <w:rsid w:val="0F024CF3"/>
    <w:rsid w:val="0F0F11BE"/>
    <w:rsid w:val="117674A8"/>
    <w:rsid w:val="11C876F1"/>
    <w:rsid w:val="11ED2D34"/>
    <w:rsid w:val="11F809AE"/>
    <w:rsid w:val="12DC7C27"/>
    <w:rsid w:val="13A154CE"/>
    <w:rsid w:val="13A47767"/>
    <w:rsid w:val="14627FE2"/>
    <w:rsid w:val="14E72AA1"/>
    <w:rsid w:val="15FE56CD"/>
    <w:rsid w:val="1749510D"/>
    <w:rsid w:val="176F3141"/>
    <w:rsid w:val="18732D45"/>
    <w:rsid w:val="18770318"/>
    <w:rsid w:val="190478B9"/>
    <w:rsid w:val="19AC26D8"/>
    <w:rsid w:val="1AA7320E"/>
    <w:rsid w:val="1D691D0A"/>
    <w:rsid w:val="1DBC4C07"/>
    <w:rsid w:val="1DEA3522"/>
    <w:rsid w:val="1DF74DA4"/>
    <w:rsid w:val="1E334B11"/>
    <w:rsid w:val="1F8B4890"/>
    <w:rsid w:val="1FCF3A92"/>
    <w:rsid w:val="226F7650"/>
    <w:rsid w:val="23314E51"/>
    <w:rsid w:val="23BC326A"/>
    <w:rsid w:val="24DD1AE7"/>
    <w:rsid w:val="2A843334"/>
    <w:rsid w:val="2AAB07FB"/>
    <w:rsid w:val="2BDA5760"/>
    <w:rsid w:val="2D5F7F38"/>
    <w:rsid w:val="2E57519A"/>
    <w:rsid w:val="2F0C5A8C"/>
    <w:rsid w:val="2F7470EF"/>
    <w:rsid w:val="2F8860C3"/>
    <w:rsid w:val="3003549E"/>
    <w:rsid w:val="30C05AB8"/>
    <w:rsid w:val="311D6E6E"/>
    <w:rsid w:val="32747E9F"/>
    <w:rsid w:val="33402C46"/>
    <w:rsid w:val="351A4295"/>
    <w:rsid w:val="35571211"/>
    <w:rsid w:val="35E96DDF"/>
    <w:rsid w:val="371812F8"/>
    <w:rsid w:val="38591578"/>
    <w:rsid w:val="38BC48FF"/>
    <w:rsid w:val="397523E2"/>
    <w:rsid w:val="3A530A54"/>
    <w:rsid w:val="3A8C79E3"/>
    <w:rsid w:val="3BAD2863"/>
    <w:rsid w:val="3C193856"/>
    <w:rsid w:val="3C3F2833"/>
    <w:rsid w:val="3CA2271E"/>
    <w:rsid w:val="3DC7700A"/>
    <w:rsid w:val="3E10575D"/>
    <w:rsid w:val="3F0C56D5"/>
    <w:rsid w:val="3F3917BB"/>
    <w:rsid w:val="3FBE71E5"/>
    <w:rsid w:val="405C48AF"/>
    <w:rsid w:val="40A5396E"/>
    <w:rsid w:val="42E456E3"/>
    <w:rsid w:val="42F46ED8"/>
    <w:rsid w:val="440211B4"/>
    <w:rsid w:val="44650FF8"/>
    <w:rsid w:val="45B61DB8"/>
    <w:rsid w:val="45B76A76"/>
    <w:rsid w:val="45E17C69"/>
    <w:rsid w:val="47A947AD"/>
    <w:rsid w:val="48CC18F2"/>
    <w:rsid w:val="4E9F7895"/>
    <w:rsid w:val="50CB1199"/>
    <w:rsid w:val="516C77CE"/>
    <w:rsid w:val="51E93BF9"/>
    <w:rsid w:val="52855B3E"/>
    <w:rsid w:val="52EE6437"/>
    <w:rsid w:val="53797E8D"/>
    <w:rsid w:val="539F5A31"/>
    <w:rsid w:val="53D208B7"/>
    <w:rsid w:val="54C1018E"/>
    <w:rsid w:val="57695434"/>
    <w:rsid w:val="5AD3240B"/>
    <w:rsid w:val="5B180A49"/>
    <w:rsid w:val="5D771C11"/>
    <w:rsid w:val="5D905BB6"/>
    <w:rsid w:val="6078165F"/>
    <w:rsid w:val="6091109A"/>
    <w:rsid w:val="61106345"/>
    <w:rsid w:val="61820747"/>
    <w:rsid w:val="61983944"/>
    <w:rsid w:val="62A43582"/>
    <w:rsid w:val="640F1698"/>
    <w:rsid w:val="649708A2"/>
    <w:rsid w:val="65501489"/>
    <w:rsid w:val="655841EC"/>
    <w:rsid w:val="655D5658"/>
    <w:rsid w:val="66AF249C"/>
    <w:rsid w:val="681E6582"/>
    <w:rsid w:val="6A3957D8"/>
    <w:rsid w:val="6A3F7D1E"/>
    <w:rsid w:val="6ABA7BB2"/>
    <w:rsid w:val="6B6C0DA2"/>
    <w:rsid w:val="6CF748E0"/>
    <w:rsid w:val="6DDF7007"/>
    <w:rsid w:val="6E22598D"/>
    <w:rsid w:val="6E7855AD"/>
    <w:rsid w:val="6F1C062E"/>
    <w:rsid w:val="70F57389"/>
    <w:rsid w:val="715366E2"/>
    <w:rsid w:val="726F63D5"/>
    <w:rsid w:val="72C412B6"/>
    <w:rsid w:val="72EF2C13"/>
    <w:rsid w:val="740528B6"/>
    <w:rsid w:val="74055AED"/>
    <w:rsid w:val="74B8340E"/>
    <w:rsid w:val="74EC6B15"/>
    <w:rsid w:val="74F759F2"/>
    <w:rsid w:val="75B46206"/>
    <w:rsid w:val="75B62901"/>
    <w:rsid w:val="763E126C"/>
    <w:rsid w:val="76B37405"/>
    <w:rsid w:val="784D3606"/>
    <w:rsid w:val="79323309"/>
    <w:rsid w:val="7B376D4D"/>
    <w:rsid w:val="7CEF7382"/>
    <w:rsid w:val="7D7D3074"/>
    <w:rsid w:val="7E651284"/>
    <w:rsid w:val="7E97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60" w:after="50" w:afterLines="50" w:line="360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60" w:after="60" w:line="360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60" w:after="60" w:line="360" w:lineRule="auto"/>
      <w:outlineLvl w:val="2"/>
    </w:pPr>
    <w:rPr>
      <w:b/>
      <w:bCs/>
      <w:sz w:val="24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2"/>
    <w:unhideWhenUsed/>
    <w:qFormat/>
    <w:uiPriority w:val="99"/>
    <w:pPr>
      <w:jc w:val="left"/>
    </w:pPr>
  </w:style>
  <w:style w:type="paragraph" w:styleId="6">
    <w:name w:val="Balloon Text"/>
    <w:basedOn w:val="1"/>
    <w:link w:val="34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link w:val="2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0">
    <w:name w:val="annotation subject"/>
    <w:basedOn w:val="5"/>
    <w:next w:val="5"/>
    <w:link w:val="23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semiHidden/>
    <w:unhideWhenUsed/>
    <w:qFormat/>
    <w:uiPriority w:val="99"/>
    <w:rPr>
      <w:color w:val="0000FF"/>
      <w:u w:val="single"/>
    </w:rPr>
  </w:style>
  <w:style w:type="character" w:styleId="16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styleId="17">
    <w:name w:val="footnote reference"/>
    <w:basedOn w:val="13"/>
    <w:semiHidden/>
    <w:unhideWhenUsed/>
    <w:qFormat/>
    <w:uiPriority w:val="99"/>
    <w:rPr>
      <w:vertAlign w:val="superscript"/>
    </w:rPr>
  </w:style>
  <w:style w:type="character" w:customStyle="1" w:styleId="18">
    <w:name w:val="页眉 字符"/>
    <w:basedOn w:val="13"/>
    <w:link w:val="8"/>
    <w:qFormat/>
    <w:uiPriority w:val="99"/>
    <w:rPr>
      <w:kern w:val="2"/>
      <w:sz w:val="18"/>
      <w:szCs w:val="18"/>
    </w:rPr>
  </w:style>
  <w:style w:type="character" w:customStyle="1" w:styleId="19">
    <w:name w:val="页脚 字符"/>
    <w:basedOn w:val="13"/>
    <w:link w:val="7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21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2">
    <w:name w:val="批注文字 字符"/>
    <w:basedOn w:val="13"/>
    <w:link w:val="5"/>
    <w:qFormat/>
    <w:uiPriority w:val="99"/>
    <w:rPr>
      <w:kern w:val="2"/>
      <w:sz w:val="21"/>
      <w:szCs w:val="22"/>
    </w:rPr>
  </w:style>
  <w:style w:type="character" w:customStyle="1" w:styleId="23">
    <w:name w:val="批注主题 字符"/>
    <w:basedOn w:val="22"/>
    <w:link w:val="10"/>
    <w:semiHidden/>
    <w:qFormat/>
    <w:uiPriority w:val="99"/>
    <w:rPr>
      <w:b/>
      <w:bCs/>
      <w:kern w:val="2"/>
      <w:sz w:val="21"/>
      <w:szCs w:val="22"/>
    </w:rPr>
  </w:style>
  <w:style w:type="paragraph" w:customStyle="1" w:styleId="24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5">
    <w:name w:val="脚注文本 字符"/>
    <w:basedOn w:val="13"/>
    <w:link w:val="9"/>
    <w:semiHidden/>
    <w:qFormat/>
    <w:uiPriority w:val="99"/>
    <w:rPr>
      <w:kern w:val="2"/>
      <w:sz w:val="18"/>
      <w:szCs w:val="18"/>
    </w:rPr>
  </w:style>
  <w:style w:type="paragraph" w:customStyle="1" w:styleId="26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7">
    <w:name w:val="标题 1 字符"/>
    <w:basedOn w:val="13"/>
    <w:link w:val="2"/>
    <w:qFormat/>
    <w:uiPriority w:val="9"/>
    <w:rPr>
      <w:b/>
      <w:bCs/>
      <w:kern w:val="44"/>
      <w:sz w:val="30"/>
      <w:szCs w:val="44"/>
    </w:rPr>
  </w:style>
  <w:style w:type="character" w:customStyle="1" w:styleId="28">
    <w:name w:val="标题 2 字符"/>
    <w:basedOn w:val="13"/>
    <w:link w:val="3"/>
    <w:qFormat/>
    <w:uiPriority w:val="9"/>
    <w:rPr>
      <w:rFonts w:asciiTheme="majorHAnsi" w:hAnsiTheme="majorHAnsi" w:cstheme="majorBidi"/>
      <w:b/>
      <w:bCs/>
      <w:kern w:val="2"/>
      <w:sz w:val="28"/>
      <w:szCs w:val="32"/>
    </w:rPr>
  </w:style>
  <w:style w:type="character" w:customStyle="1" w:styleId="29">
    <w:name w:val="标题 3 字符"/>
    <w:basedOn w:val="13"/>
    <w:link w:val="4"/>
    <w:qFormat/>
    <w:uiPriority w:val="9"/>
    <w:rPr>
      <w:b/>
      <w:bCs/>
      <w:kern w:val="2"/>
      <w:sz w:val="24"/>
      <w:szCs w:val="32"/>
    </w:rPr>
  </w:style>
  <w:style w:type="paragraph" w:customStyle="1" w:styleId="30">
    <w:name w:val="样式1"/>
    <w:basedOn w:val="2"/>
    <w:qFormat/>
    <w:uiPriority w:val="0"/>
    <w:rPr>
      <w:rFonts w:eastAsia="宋体"/>
    </w:rPr>
  </w:style>
  <w:style w:type="paragraph" w:customStyle="1" w:styleId="31">
    <w:name w:val="修订4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2">
    <w:name w:val="修订5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3">
    <w:name w:val="修订6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34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5">
    <w:name w:val="ref_content_circle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A2E46-8478-42E3-89E6-C7D85F1C73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6</Pages>
  <Words>3024</Words>
  <Characters>3287</Characters>
  <Lines>23</Lines>
  <Paragraphs>6</Paragraphs>
  <TotalTime>3</TotalTime>
  <ScaleCrop>false</ScaleCrop>
  <LinksUpToDate>false</LinksUpToDate>
  <CharactersWithSpaces>3289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2025-04-24T03:02:00Z</dcterms:created>
  <dc:creator>xiaos@chinatelecom.cn</dc:creator>
  <cp:lastModifiedBy>郭丽芳</cp:lastModifiedBy>
  <dcterms:modified xsi:type="dcterms:W3CDTF">2025-07-15T09:59:15Z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2BBEFBB948A64525A9F62C96DCD50678_13</vt:lpwstr>
  </property>
  <property fmtid="{D5CDD505-2E9C-101B-9397-08002B2CF9AE}" pid="4" name="KSOTemplateDocerSaveRecord">
    <vt:lpwstr>eyJoZGlkIjoiMTkwNzljODJjODc5OWQyODIxYTEyYmYwMDRjNDNjNzEiLCJ1c2VySWQiOiI2MzExNjgzOTQifQ==</vt:lpwstr>
  </property>
</Properties>
</file>