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22"/>
        <w:spacing w:before="212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教育行业数字化发展分析与中国电信业务</w:t>
      </w:r>
    </w:p>
    <w:p>
      <w:pPr>
        <w:ind w:left="3294"/>
        <w:spacing w:before="96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7"/>
        </w:rPr>
        <w:t>拓展建议</w:t>
      </w:r>
    </w:p>
    <w:p>
      <w:pPr>
        <w:ind w:left="2178"/>
        <w:spacing w:before="330" w:line="205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8"/>
        </w:rPr>
        <w:t>张秀凤</w:t>
      </w:r>
      <w:r>
        <w:rPr>
          <w:rFonts w:ascii="STKaiti" w:hAnsi="STKaiti" w:eastAsia="STKaiti" w:cs="STKaiti"/>
          <w:sz w:val="30"/>
          <w:szCs w:val="30"/>
          <w:spacing w:val="21"/>
          <w:w w:val="10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张云霞</w:t>
      </w:r>
      <w:r>
        <w:rPr>
          <w:rFonts w:ascii="STKaiti" w:hAnsi="STKaiti" w:eastAsia="STKaiti" w:cs="STKaiti"/>
          <w:sz w:val="30"/>
          <w:szCs w:val="30"/>
          <w:spacing w:val="18"/>
          <w:w w:val="10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邓丽华  周晓凌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33" w:right="2" w:firstLine="600"/>
        <w:spacing w:before="97" w:line="333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5"/>
        </w:rPr>
        <w:t>近两年，我国教育数字化进程加速，其关键动力在于国家政</w:t>
      </w:r>
      <w:r>
        <w:rPr>
          <w:rFonts w:ascii="FangSong" w:hAnsi="FangSong" w:eastAsia="FangSong" w:cs="FangSong"/>
          <w:sz w:val="30"/>
          <w:szCs w:val="30"/>
          <w:spacing w:val="-9"/>
        </w:rPr>
        <w:t>策驱动以及大数据、人工智能等新兴技术发展，</w:t>
      </w:r>
      <w:r>
        <w:rPr>
          <w:rFonts w:ascii="FangSong" w:hAnsi="FangSong" w:eastAsia="FangSong" w:cs="FangSong"/>
          <w:sz w:val="30"/>
          <w:szCs w:val="30"/>
          <w:spacing w:val="-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未来</w:t>
      </w:r>
      <w:r>
        <w:rPr>
          <w:rFonts w:ascii="FangSong" w:hAnsi="FangSong" w:eastAsia="FangSong" w:cs="FangSong"/>
          <w:sz w:val="30"/>
          <w:szCs w:val="30"/>
          <w:spacing w:val="-10"/>
        </w:rPr>
        <w:t>市场前景乐</w:t>
      </w:r>
      <w:r>
        <w:rPr>
          <w:rFonts w:ascii="FangSong" w:hAnsi="FangSong" w:eastAsia="FangSong" w:cs="FangSong"/>
          <w:sz w:val="30"/>
          <w:szCs w:val="30"/>
          <w:spacing w:val="-8"/>
        </w:rPr>
        <w:t>观。当前教育数字化市场集中度低，</w:t>
      </w:r>
      <w:r>
        <w:rPr>
          <w:rFonts w:ascii="FangSong" w:hAnsi="FangSong" w:eastAsia="FangSong" w:cs="FangSong"/>
          <w:sz w:val="30"/>
          <w:szCs w:val="30"/>
          <w:spacing w:val="-3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8"/>
        </w:rPr>
        <w:t>运营商凭</w:t>
      </w:r>
      <w:r>
        <w:rPr>
          <w:rFonts w:ascii="FangSong" w:hAnsi="FangSong" w:eastAsia="FangSong" w:cs="FangSong"/>
          <w:sz w:val="30"/>
          <w:szCs w:val="30"/>
          <w:spacing w:val="-9"/>
        </w:rPr>
        <w:t>新基建优势居市场</w:t>
      </w:r>
      <w:r>
        <w:rPr>
          <w:rFonts w:ascii="FangSong" w:hAnsi="FangSong" w:eastAsia="FangSong" w:cs="FangSong"/>
          <w:sz w:val="30"/>
          <w:szCs w:val="30"/>
          <w:spacing w:val="-11"/>
        </w:rPr>
        <w:t>前列。中国电信在市场拓展中存在专业人员不够、内部协同不畅、</w:t>
      </w:r>
      <w:r>
        <w:rPr>
          <w:rFonts w:ascii="FangSong" w:hAnsi="FangSong" w:eastAsia="FangSong" w:cs="FangSong"/>
          <w:sz w:val="30"/>
          <w:szCs w:val="30"/>
          <w:spacing w:val="-4"/>
        </w:rPr>
        <w:t>自研产品能力不足等问题，建议中国电信扬长补短，一方面</w:t>
      </w:r>
      <w:r>
        <w:rPr>
          <w:rFonts w:ascii="FangSong" w:hAnsi="FangSong" w:eastAsia="FangSong" w:cs="FangSong"/>
          <w:sz w:val="30"/>
          <w:szCs w:val="30"/>
          <w:spacing w:val="-5"/>
        </w:rPr>
        <w:t>，以</w:t>
      </w:r>
      <w:r>
        <w:rPr>
          <w:rFonts w:ascii="FangSong" w:hAnsi="FangSong" w:eastAsia="FangSong" w:cs="FangSong"/>
          <w:sz w:val="30"/>
          <w:szCs w:val="30"/>
          <w:spacing w:val="-4"/>
        </w:rPr>
        <w:t>新基建优势快速切入市场；另一方面，借助教育子公司、合</w:t>
      </w:r>
      <w:r>
        <w:rPr>
          <w:rFonts w:ascii="FangSong" w:hAnsi="FangSong" w:eastAsia="FangSong" w:cs="FangSong"/>
          <w:sz w:val="30"/>
          <w:szCs w:val="30"/>
          <w:spacing w:val="-5"/>
        </w:rPr>
        <w:t>作伙</w:t>
      </w:r>
      <w:r>
        <w:rPr>
          <w:rFonts w:ascii="FangSong" w:hAnsi="FangSong" w:eastAsia="FangSong" w:cs="FangSong"/>
          <w:sz w:val="30"/>
          <w:szCs w:val="30"/>
          <w:spacing w:val="-4"/>
        </w:rPr>
        <w:t>伴提高市场拓展能力和产品专业能力。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675"/>
        <w:spacing w:before="102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一、教育行业数字化发展前景与需求分析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27" w:right="125" w:firstLine="609"/>
        <w:spacing w:before="97" w:line="277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．受到国家政策和资金大力支持，教育行业在产数市场居</w:t>
      </w:r>
      <w:r>
        <w:rPr>
          <w:b/>
          <w:bCs/>
          <w:spacing w:val="-6"/>
        </w:rPr>
        <w:t>重要地位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20" w:firstLine="608"/>
        <w:spacing w:before="98" w:line="332" w:lineRule="auto"/>
        <w:jc w:val="both"/>
        <w:rPr/>
      </w:pPr>
      <w:r>
        <w:rPr>
          <w:spacing w:val="7"/>
        </w:rPr>
        <w:t>教育数字化是在数字中国背景下提出的一个重要概念和战</w:t>
      </w:r>
      <w:r>
        <w:rPr>
          <w:spacing w:val="-10"/>
        </w:rPr>
        <w:t>略任务，是教育信息化的高级发展阶段，受到党和国</w:t>
      </w:r>
      <w:r>
        <w:rPr>
          <w:spacing w:val="-11"/>
        </w:rPr>
        <w:t>家高度重视。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1"/>
        </w:rPr>
        <w:t>2022  </w:t>
      </w:r>
      <w:r>
        <w:rPr>
          <w:spacing w:val="1"/>
        </w:rPr>
        <w:t>年我国开启了教育数字化的新发展阶段：党的二十大</w:t>
      </w:r>
      <w:r>
        <w:rPr/>
        <w:t>报告</w:t>
      </w:r>
      <w:r>
        <w:rPr>
          <w:spacing w:val="-11"/>
        </w:rPr>
        <w:t>首次写入“推进教育数字化”；《教育部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2022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-11"/>
        </w:rPr>
        <w:t>年工作要点》强调</w:t>
      </w:r>
      <w:r>
        <w:rPr>
          <w:spacing w:val="-4"/>
        </w:rPr>
        <w:t>实施教育数字化战略行动；除每年持续、稳增的国家教育信息化</w:t>
      </w:r>
      <w:r>
        <w:rPr>
          <w:spacing w:val="-2"/>
        </w:rPr>
        <w:t>经费投入外，</w:t>
      </w:r>
      <w:r>
        <w:rPr>
          <w:rFonts w:ascii="Times New Roman" w:hAnsi="Times New Roman" w:eastAsia="Times New Roman" w:cs="Times New Roman"/>
          <w:spacing w:val="-2"/>
        </w:rPr>
        <w:t>2022</w:t>
      </w:r>
      <w:r>
        <w:rPr>
          <w:rFonts w:ascii="Times New Roman" w:hAnsi="Times New Roman" w:eastAsia="Times New Roman" w:cs="Times New Roman"/>
          <w:spacing w:val="57"/>
          <w:w w:val="101"/>
        </w:rPr>
        <w:t xml:space="preserve"> </w:t>
      </w:r>
      <w:r>
        <w:rPr>
          <w:spacing w:val="-2"/>
        </w:rPr>
        <w:t>年 </w:t>
      </w:r>
      <w:r>
        <w:rPr>
          <w:rFonts w:ascii="Times New Roman" w:hAnsi="Times New Roman" w:eastAsia="Times New Roman" w:cs="Times New Roman"/>
          <w:spacing w:val="-2"/>
        </w:rPr>
        <w:t>9</w:t>
      </w:r>
      <w:r>
        <w:rPr>
          <w:rFonts w:ascii="Times New Roman" w:hAnsi="Times New Roman" w:eastAsia="Times New Roman" w:cs="Times New Roman"/>
          <w:spacing w:val="62"/>
          <w:w w:val="101"/>
        </w:rPr>
        <w:t xml:space="preserve"> </w:t>
      </w:r>
      <w:r>
        <w:rPr>
          <w:spacing w:val="-2"/>
        </w:rPr>
        <w:t>月国家通过政策</w:t>
      </w:r>
      <w:r>
        <w:rPr>
          <w:spacing w:val="-3"/>
        </w:rPr>
        <w:t>贴息、专项再贷款等方</w:t>
      </w:r>
      <w:r>
        <w:rPr>
          <w:spacing w:val="-2"/>
        </w:rPr>
        <w:t>式支持高校、职业院校等学校开展数字化建设。</w:t>
      </w:r>
    </w:p>
    <w:p>
      <w:pPr>
        <w:spacing w:line="332" w:lineRule="auto"/>
        <w:sectPr>
          <w:pgSz w:w="11907" w:h="16839"/>
          <w:pgMar w:top="1431" w:right="1694" w:bottom="0" w:left="1785" w:header="0" w:footer="0" w:gutter="0"/>
        </w:sectPr>
        <w:rPr/>
      </w:pPr>
    </w:p>
    <w:p>
      <w:pPr>
        <w:pStyle w:val="BodyText"/>
        <w:ind w:left="26" w:firstLine="599"/>
        <w:spacing w:before="182" w:line="330" w:lineRule="auto"/>
        <w:jc w:val="both"/>
        <w:rPr/>
      </w:pPr>
      <w:r>
        <w:rPr>
          <w:spacing w:val="-3"/>
        </w:rPr>
        <w:t>根据公开产数项目中标数据</w:t>
      </w:r>
      <w:r>
        <w:rPr>
          <w:rFonts w:ascii="Times New Roman" w:hAnsi="Times New Roman" w:eastAsia="Times New Roman" w:cs="Times New Roman"/>
          <w:sz w:val="18"/>
          <w:szCs w:val="18"/>
          <w:spacing w:val="-3"/>
          <w:position w:val="10"/>
        </w:rPr>
        <w:t>1</w:t>
      </w:r>
      <w:r>
        <w:rPr>
          <w:spacing w:val="-3"/>
        </w:rPr>
        <w:t>，教育行业产数</w:t>
      </w:r>
      <w:r>
        <w:rPr>
          <w:spacing w:val="-4"/>
        </w:rPr>
        <w:t>项目中标金额、</w:t>
      </w:r>
      <w:r>
        <w:rPr>
          <w:spacing w:val="-10"/>
        </w:rPr>
        <w:t>数量仅次于政务，排名第二。其中，</w:t>
      </w:r>
      <w:r>
        <w:rPr>
          <w:rFonts w:ascii="Times New Roman" w:hAnsi="Times New Roman" w:eastAsia="Times New Roman" w:cs="Times New Roman"/>
          <w:spacing w:val="-10"/>
        </w:rPr>
        <w:t>2022 </w:t>
      </w:r>
      <w:r>
        <w:rPr>
          <w:spacing w:val="-10"/>
        </w:rPr>
        <w:t>年</w:t>
      </w:r>
      <w:r>
        <w:rPr>
          <w:spacing w:val="-11"/>
        </w:rPr>
        <w:t>中标金额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1139 </w:t>
      </w:r>
      <w:r>
        <w:rPr>
          <w:spacing w:val="-11"/>
        </w:rPr>
        <w:t>亿元，</w:t>
      </w:r>
      <w:r>
        <w:rPr>
          <w:spacing w:val="-5"/>
        </w:rPr>
        <w:t>项目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6.9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5"/>
        </w:rPr>
        <w:t>万个；</w:t>
      </w:r>
      <w:r>
        <w:rPr>
          <w:rFonts w:ascii="Times New Roman" w:hAnsi="Times New Roman" w:eastAsia="Times New Roman" w:cs="Times New Roman"/>
          <w:spacing w:val="-5"/>
        </w:rPr>
        <w:t>2023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-5"/>
        </w:rPr>
        <w:t>年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1~10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5"/>
        </w:rPr>
        <w:t>月中标金额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862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-6"/>
        </w:rPr>
        <w:t>亿元，项目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5.4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6"/>
        </w:rPr>
        <w:t>万</w:t>
      </w:r>
      <w:r>
        <w:rPr>
          <w:spacing w:val="-8"/>
        </w:rPr>
        <w:t>个，同比分别增长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18%</w:t>
      </w:r>
      <w:r>
        <w:rPr>
          <w:spacing w:val="-8"/>
        </w:rPr>
        <w:t>和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13%</w:t>
      </w:r>
      <w:r>
        <w:rPr>
          <w:spacing w:val="-8"/>
        </w:rPr>
        <w:t>。虽然国家实施的教育行业贴息贷</w:t>
      </w:r>
      <w:r>
        <w:rPr>
          <w:spacing w:val="-1"/>
        </w:rPr>
        <w:t>款政策于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2022 </w:t>
      </w:r>
      <w:r>
        <w:rPr>
          <w:spacing w:val="-1"/>
        </w:rPr>
        <w:t>年底结束，但是</w:t>
      </w:r>
      <w:r>
        <w:rPr>
          <w:rFonts w:ascii="Times New Roman" w:hAnsi="Times New Roman" w:eastAsia="Times New Roman" w:cs="Times New Roman"/>
          <w:spacing w:val="-1"/>
        </w:rPr>
        <w:t>2023 </w:t>
      </w:r>
      <w:r>
        <w:rPr>
          <w:spacing w:val="-1"/>
        </w:rPr>
        <w:t>年教育数字化市场依</w:t>
      </w:r>
      <w:r>
        <w:rPr>
          <w:spacing w:val="-2"/>
        </w:rPr>
        <w:t>然保持</w:t>
      </w:r>
      <w:r>
        <w:rPr>
          <w:spacing w:val="-8"/>
        </w:rPr>
        <w:t>较高速增长。</w:t>
      </w:r>
    </w:p>
    <w:p>
      <w:pPr>
        <w:ind w:firstLine="340"/>
        <w:spacing w:before="52" w:line="3948" w:lineRule="exact"/>
        <w:rPr/>
      </w:pPr>
      <w:r>
        <w:rPr>
          <w:position w:val="-78"/>
        </w:rPr>
        <w:drawing>
          <wp:inline distT="0" distB="0" distL="0" distR="0">
            <wp:extent cx="4860035" cy="250697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0035" cy="250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52"/>
        <w:spacing w:before="230" w:line="229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    </w:t>
      </w:r>
      <w:r>
        <w:rPr>
          <w:rFonts w:ascii="KaiTi" w:hAnsi="KaiTi" w:eastAsia="KaiTi" w:cs="KaiTi"/>
          <w:sz w:val="30"/>
          <w:szCs w:val="30"/>
          <w:spacing w:val="-4"/>
        </w:rPr>
        <w:t>教育行业公开产数项目的中标金额及其占比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．技术进步助力教育数字化转型，市场发展</w:t>
      </w:r>
      <w:r>
        <w:rPr>
          <w:b/>
          <w:bCs/>
          <w:spacing w:val="-3"/>
        </w:rPr>
        <w:t>前景乐观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26" w:right="108" w:firstLine="598"/>
        <w:spacing w:before="97" w:line="332" w:lineRule="auto"/>
        <w:jc w:val="both"/>
        <w:rPr/>
      </w:pPr>
      <w:r>
        <w:rPr>
          <w:spacing w:val="-11"/>
        </w:rPr>
        <w:t>近年来，</w:t>
      </w:r>
      <w:r>
        <w:rPr>
          <w:rFonts w:ascii="Times New Roman" w:hAnsi="Times New Roman" w:eastAsia="Times New Roman" w:cs="Times New Roman"/>
          <w:spacing w:val="-11"/>
        </w:rPr>
        <w:t>5G</w:t>
      </w:r>
      <w:r>
        <w:rPr>
          <w:spacing w:val="-11"/>
        </w:rPr>
        <w:t>、大数据、云计算、 </w:t>
      </w:r>
      <w:r>
        <w:rPr>
          <w:rFonts w:ascii="Times New Roman" w:hAnsi="Times New Roman" w:eastAsia="Times New Roman" w:cs="Times New Roman"/>
          <w:spacing w:val="-11"/>
        </w:rPr>
        <w:t>AR/VR</w:t>
      </w:r>
      <w:r>
        <w:rPr>
          <w:spacing w:val="-12"/>
        </w:rPr>
        <w:t>、大模型、数字人等</w:t>
      </w:r>
      <w:r>
        <w:rPr>
          <w:spacing w:val="-4"/>
        </w:rPr>
        <w:t>信息技术迅速发展，进一步提升了信息资源的汇聚、分析、运用</w:t>
      </w:r>
      <w:r>
        <w:rPr>
          <w:spacing w:val="-4"/>
        </w:rPr>
        <w:t>能力，催生了多种新型教育模式和智慧教育应用场景，扩大了教</w:t>
      </w:r>
      <w:r>
        <w:rPr>
          <w:spacing w:val="-2"/>
        </w:rPr>
        <w:t>育数字化发展空间，为教育生态参与者带来新一轮商机。</w:t>
      </w:r>
    </w:p>
    <w:p>
      <w:pPr>
        <w:pStyle w:val="BodyText"/>
        <w:ind w:left="28" w:right="106" w:firstLine="592"/>
        <w:spacing w:before="280" w:line="335" w:lineRule="auto"/>
        <w:rPr/>
      </w:pPr>
      <w:r>
        <w:rPr>
          <w:rFonts w:ascii="Times New Roman" w:hAnsi="Times New Roman" w:eastAsia="Times New Roman" w:cs="Times New Roman"/>
          <w:spacing w:val="-1"/>
        </w:rPr>
        <w:t>2013~2021 </w:t>
      </w:r>
      <w:r>
        <w:rPr>
          <w:spacing w:val="-1"/>
        </w:rPr>
        <w:t>年，我国教育信息化市场规模由</w:t>
      </w:r>
      <w:r>
        <w:rPr>
          <w:rFonts w:ascii="Times New Roman" w:hAnsi="Times New Roman" w:eastAsia="Times New Roman" w:cs="Times New Roman"/>
          <w:spacing w:val="-1"/>
        </w:rPr>
        <w:t>2692.8 </w:t>
      </w:r>
      <w:r>
        <w:rPr>
          <w:spacing w:val="-1"/>
        </w:rPr>
        <w:t>亿元</w:t>
      </w:r>
      <w:r>
        <w:rPr>
          <w:spacing w:val="-2"/>
        </w:rPr>
        <w:t>增长</w:t>
      </w:r>
      <w:r>
        <w:rPr>
          <w:spacing w:val="-8"/>
        </w:rPr>
        <w:t>至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5086.8 </w:t>
      </w:r>
      <w:r>
        <w:rPr>
          <w:spacing w:val="-8"/>
        </w:rPr>
        <w:t>亿元，年复合增长率约为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8.28%</w:t>
      </w:r>
      <w:r>
        <w:rPr>
          <w:spacing w:val="-8"/>
        </w:rPr>
        <w:t>。</w:t>
      </w:r>
      <w:r>
        <w:rPr>
          <w:rFonts w:ascii="Times New Roman" w:hAnsi="Times New Roman" w:eastAsia="Times New Roman" w:cs="Times New Roman"/>
          <w:spacing w:val="-8"/>
        </w:rPr>
        <w:t>2022 </w:t>
      </w:r>
      <w:r>
        <w:rPr>
          <w:spacing w:val="-8"/>
        </w:rPr>
        <w:t>年下半年以来，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>
        <w:pict>
          <v:shape id="_x0000_s2" style="position:absolute;margin-left:0.72599pt;margin-top:10.5292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/>
    </w:p>
    <w:p>
      <w:pPr>
        <w:pStyle w:val="BodyText"/>
        <w:ind w:left="22" w:right="265"/>
        <w:spacing w:before="68" w:line="246" w:lineRule="auto"/>
        <w:rPr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position w:val="10"/>
        </w:rPr>
        <w:t>1</w:t>
      </w:r>
      <w:r>
        <w:rPr>
          <w:rFonts w:ascii="DengXian" w:hAnsi="DengXian" w:eastAsia="DengXian" w:cs="DengXian"/>
          <w:sz w:val="11"/>
          <w:szCs w:val="11"/>
          <w:spacing w:val="8"/>
          <w:position w:val="10"/>
        </w:rPr>
        <w:t xml:space="preserve">   </w:t>
      </w:r>
      <w:r>
        <w:rPr>
          <w:sz w:val="21"/>
          <w:szCs w:val="21"/>
        </w:rPr>
        <w:t>本文提及的公开产数项目的来源：全国公共资源交易平台</w:t>
      </w:r>
      <w:r>
        <w:rPr>
          <w:sz w:val="21"/>
          <w:szCs w:val="21"/>
          <w:spacing w:val="-1"/>
        </w:rPr>
        <w:t>、中国政府采购网、必联网电</w:t>
      </w:r>
      <w:r>
        <w:rPr>
          <w:sz w:val="21"/>
          <w:szCs w:val="21"/>
          <w:spacing w:val="-1"/>
        </w:rPr>
        <w:t>子招标投标平台公告的中标/成交产数项目。</w:t>
      </w:r>
    </w:p>
    <w:p>
      <w:pPr>
        <w:spacing w:line="246" w:lineRule="auto"/>
        <w:sectPr>
          <w:pgSz w:w="11907" w:h="16839"/>
          <w:pgMar w:top="1431" w:right="1691" w:bottom="0" w:left="1785" w:header="0" w:footer="0" w:gutter="0"/>
        </w:sectPr>
        <w:rPr>
          <w:sz w:val="21"/>
          <w:szCs w:val="21"/>
        </w:rPr>
      </w:pPr>
    </w:p>
    <w:p>
      <w:pPr>
        <w:pStyle w:val="BodyText"/>
        <w:ind w:left="25" w:right="117" w:firstLine="17"/>
        <w:spacing w:before="184" w:line="343" w:lineRule="auto"/>
        <w:rPr/>
      </w:pPr>
      <w:r>
        <w:rPr>
          <w:spacing w:val="-5"/>
        </w:rPr>
        <w:t>随着国家不断加大政策和资金扶持力度，教育行业数字化需求被</w:t>
      </w:r>
      <w:r>
        <w:rPr>
          <w:spacing w:val="1"/>
        </w:rPr>
        <w:t>激发，市场规模进一步上升，预计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2025 </w:t>
      </w:r>
      <w:r>
        <w:rPr>
          <w:spacing w:val="1"/>
        </w:rPr>
        <w:t>年将达到</w:t>
      </w:r>
      <w:r>
        <w:rPr>
          <w:rFonts w:ascii="Times New Roman" w:hAnsi="Times New Roman" w:eastAsia="Times New Roman" w:cs="Times New Roman"/>
          <w:spacing w:val="1"/>
        </w:rPr>
        <w:t>6842 </w:t>
      </w:r>
      <w:r>
        <w:rPr>
          <w:spacing w:val="1"/>
        </w:rPr>
        <w:t>亿元。</w:t>
      </w:r>
    </w:p>
    <w:p>
      <w:pPr>
        <w:ind w:firstLine="410"/>
        <w:spacing w:before="51" w:line="3845" w:lineRule="exact"/>
        <w:rPr/>
      </w:pPr>
      <w:r>
        <w:rPr>
          <w:position w:val="-76"/>
        </w:rPr>
        <w:drawing>
          <wp:inline distT="0" distB="0" distL="0" distR="0">
            <wp:extent cx="4770120" cy="244144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0120" cy="244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105"/>
        <w:spacing w:before="276" w:line="229" w:lineRule="auto"/>
        <w:outlineLvl w:val="3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    </w:t>
      </w:r>
      <w:r>
        <w:rPr>
          <w:rFonts w:ascii="KaiTi" w:hAnsi="KaiTi" w:eastAsia="KaiTi" w:cs="KaiTi"/>
          <w:sz w:val="30"/>
          <w:szCs w:val="30"/>
          <w:spacing w:val="-3"/>
        </w:rPr>
        <w:t>我国教育信息化市场规模</w:t>
      </w:r>
      <w:r>
        <w:rPr>
          <w:rFonts w:ascii="Times New Roman" w:hAnsi="Times New Roman" w:eastAsia="Times New Roman" w:cs="Times New Roman"/>
          <w:sz w:val="18"/>
          <w:szCs w:val="18"/>
          <w:spacing w:val="-3"/>
          <w:position w:val="10"/>
        </w:rPr>
        <w:t>2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621"/>
        <w:spacing w:before="97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．教育行业数字化需求聚焦于平台、数据和</w:t>
      </w:r>
      <w:r>
        <w:rPr>
          <w:b/>
          <w:bCs/>
          <w:spacing w:val="-3"/>
        </w:rPr>
        <w:t>数字技术应用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26" w:firstLine="603"/>
        <w:spacing w:before="98" w:line="333" w:lineRule="auto"/>
        <w:jc w:val="both"/>
        <w:rPr/>
      </w:pPr>
      <w:r>
        <w:rPr>
          <w:spacing w:val="-5"/>
        </w:rPr>
        <w:t>综合国家相关政策、教育数字化战略行动计划、公开产数项</w:t>
      </w:r>
      <w:r>
        <w:rPr>
          <w:spacing w:val="-4"/>
        </w:rPr>
        <w:t>目等信息，教育数字化转型更强调数字技术与教学教研全方位的</w:t>
      </w:r>
      <w:r>
        <w:rPr>
          <w:spacing w:val="-11"/>
        </w:rPr>
        <w:t>深度融合与创新，其需求主要围绕数字平台建设、数据汇聚利用、</w:t>
      </w:r>
      <w:r>
        <w:rPr>
          <w:spacing w:val="-8"/>
        </w:rPr>
        <w:t>数字技术应用、网络安全等方面，</w:t>
      </w:r>
      <w:r>
        <w:rPr>
          <w:spacing w:val="-35"/>
        </w:rPr>
        <w:t xml:space="preserve"> </w:t>
      </w:r>
      <w:r>
        <w:rPr>
          <w:spacing w:val="-8"/>
        </w:rPr>
        <w:t>如建设国家教育数字化大数据</w:t>
      </w:r>
      <w:r>
        <w:rPr>
          <w:spacing w:val="-7"/>
        </w:rPr>
        <w:t>中心、建成全国性和区域性信息化标杆学校、加快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AI</w:t>
      </w:r>
      <w:r>
        <w:rPr>
          <w:spacing w:val="-7"/>
        </w:rPr>
        <w:t>、安全等数</w:t>
      </w:r>
      <w:r>
        <w:rPr>
          <w:spacing w:val="-6"/>
        </w:rPr>
        <w:t>字技术创新应用等。</w:t>
      </w:r>
    </w:p>
    <w:p>
      <w:pPr>
        <w:ind w:left="2062"/>
        <w:spacing w:before="161" w:line="229" w:lineRule="auto"/>
        <w:outlineLvl w:val="3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KaiTi" w:hAnsi="KaiTi" w:eastAsia="KaiTi" w:cs="KaiTi"/>
          <w:sz w:val="30"/>
          <w:szCs w:val="30"/>
          <w:spacing w:val="-2"/>
        </w:rPr>
        <w:t>表</w:t>
      </w:r>
      <w:r>
        <w:rPr>
          <w:rFonts w:ascii="KaiTi" w:hAnsi="KaiTi" w:eastAsia="KaiTi" w:cs="KaiTi"/>
          <w:sz w:val="30"/>
          <w:szCs w:val="3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    </w:t>
      </w:r>
      <w:r>
        <w:rPr>
          <w:rFonts w:ascii="KaiTi" w:hAnsi="KaiTi" w:eastAsia="KaiTi" w:cs="KaiTi"/>
          <w:sz w:val="30"/>
          <w:szCs w:val="30"/>
          <w:spacing w:val="-2"/>
        </w:rPr>
        <w:t>教育行业数字化发展需求</w:t>
      </w:r>
      <w:r>
        <w:rPr>
          <w:rFonts w:ascii="Times New Roman" w:hAnsi="Times New Roman" w:eastAsia="Times New Roman" w:cs="Times New Roman"/>
          <w:sz w:val="18"/>
          <w:szCs w:val="18"/>
          <w:spacing w:val="-2"/>
          <w:position w:val="10"/>
        </w:rPr>
        <w:t>3</w:t>
      </w:r>
    </w:p>
    <w:p>
      <w:pPr>
        <w:spacing w:line="75" w:lineRule="exact"/>
        <w:rPr/>
      </w:pPr>
      <w:r/>
    </w:p>
    <w:tbl>
      <w:tblPr>
        <w:tblStyle w:val="TableNormal"/>
        <w:tblW w:w="808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700"/>
        <w:gridCol w:w="6382"/>
      </w:tblGrid>
      <w:tr>
        <w:trPr>
          <w:trHeight w:val="330" w:hRule="atLeast"/>
        </w:trPr>
        <w:tc>
          <w:tcPr>
            <w:tcW w:w="1700" w:type="dxa"/>
            <w:vAlign w:val="top"/>
          </w:tcPr>
          <w:p>
            <w:pPr>
              <w:ind w:left="230"/>
              <w:spacing w:before="19" w:line="198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b/>
                <w:bCs/>
                <w:spacing w:val="-5"/>
              </w:rPr>
              <w:t>部门/学校</w:t>
            </w:r>
          </w:p>
        </w:tc>
        <w:tc>
          <w:tcPr>
            <w:tcW w:w="6382" w:type="dxa"/>
            <w:vAlign w:val="top"/>
          </w:tcPr>
          <w:p>
            <w:pPr>
              <w:ind w:left="1936"/>
              <w:spacing w:before="19" w:line="198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b/>
                <w:bCs/>
                <w:spacing w:val="-4"/>
              </w:rPr>
              <w:t>教育行业数字化需求</w:t>
            </w:r>
          </w:p>
        </w:tc>
      </w:tr>
      <w:tr>
        <w:trPr>
          <w:trHeight w:val="965" w:hRule="atLeast"/>
        </w:trPr>
        <w:tc>
          <w:tcPr>
            <w:tcW w:w="1700" w:type="dxa"/>
            <w:vAlign w:val="top"/>
          </w:tcPr>
          <w:p>
            <w:pPr>
              <w:ind w:left="582" w:right="284" w:hanging="280"/>
              <w:spacing w:before="174" w:line="216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-3"/>
              </w:rPr>
              <w:t>教育主管</w:t>
            </w:r>
            <w:r>
              <w:rPr>
                <w:rFonts w:ascii="SimSun" w:hAnsi="SimSun" w:eastAsia="SimSun" w:cs="SimSun"/>
                <w:sz w:val="28"/>
                <w:szCs w:val="28"/>
                <w:spacing w:val="-4"/>
              </w:rPr>
              <w:t>部门</w:t>
            </w:r>
          </w:p>
        </w:tc>
        <w:tc>
          <w:tcPr>
            <w:tcW w:w="6382" w:type="dxa"/>
            <w:vAlign w:val="top"/>
          </w:tcPr>
          <w:p>
            <w:pPr>
              <w:ind w:left="119" w:right="263" w:firstLine="16"/>
              <w:spacing w:before="17" w:line="210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-2"/>
              </w:rPr>
              <w:t>1、（国家、省、市）各级各类平台及基础设施建</w:t>
            </w:r>
            <w:r>
              <w:rPr>
                <w:rFonts w:ascii="SimSun" w:hAnsi="SimSun" w:eastAsia="SimSun" w:cs="SimSun"/>
                <w:sz w:val="28"/>
                <w:szCs w:val="28"/>
                <w:spacing w:val="-3"/>
              </w:rPr>
              <w:t>设与完善；</w:t>
            </w:r>
          </w:p>
          <w:p>
            <w:pPr>
              <w:ind w:left="118"/>
              <w:spacing w:before="1" w:line="197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-3"/>
              </w:rPr>
              <w:t>2、各级教育数据资源库、大数据中心建设；</w:t>
            </w:r>
          </w:p>
        </w:tc>
      </w:tr>
    </w:tbl>
    <w:p>
      <w:pPr>
        <w:spacing w:line="271" w:lineRule="auto"/>
        <w:rPr>
          <w:rFonts w:ascii="Arial"/>
          <w:sz w:val="21"/>
        </w:rPr>
      </w:pPr>
      <w:r>
        <w:pict>
          <v:shape id="_x0000_s4" style="position:absolute;margin-left:0.72599pt;margin-top:9.95581pt;mso-position-vertical-relative:text;mso-position-horizontal-relative:text;width:144.05pt;height:0.5pt;z-index:251659264;" fillcolor="#000000" filled="true" stroked="false" coordsize="2881,10" coordorigin="0,0" path="m0,9l2880,9l2880,0l0,0l0,9xe"/>
        </w:pict>
      </w:r>
      <w:r/>
    </w:p>
    <w:p>
      <w:pPr>
        <w:pStyle w:val="BodyText"/>
        <w:ind w:left="21" w:right="374" w:hanging="1"/>
        <w:spacing w:before="69"/>
        <w:rPr>
          <w:sz w:val="21"/>
          <w:szCs w:val="21"/>
        </w:rPr>
      </w:pPr>
      <w:r>
        <w:rPr>
          <w:sz w:val="11"/>
          <w:szCs w:val="11"/>
          <w:spacing w:val="-3"/>
          <w:position w:val="10"/>
        </w:rPr>
        <w:t>2  </w:t>
      </w:r>
      <w:r>
        <w:rPr>
          <w:sz w:val="21"/>
          <w:szCs w:val="21"/>
          <w:spacing w:val="-3"/>
        </w:rPr>
        <w:t>数据来源：华经产业研究院（2013</w:t>
      </w:r>
      <w:r>
        <w:rPr>
          <w:sz w:val="21"/>
          <w:szCs w:val="21"/>
          <w:spacing w:val="-46"/>
        </w:rPr>
        <w:t xml:space="preserve"> </w:t>
      </w:r>
      <w:r>
        <w:rPr>
          <w:sz w:val="21"/>
          <w:szCs w:val="21"/>
          <w:spacing w:val="-3"/>
        </w:rPr>
        <w:t>年-2016</w:t>
      </w:r>
      <w:r>
        <w:rPr>
          <w:sz w:val="21"/>
          <w:szCs w:val="21"/>
          <w:spacing w:val="-43"/>
        </w:rPr>
        <w:t xml:space="preserve"> </w:t>
      </w:r>
      <w:r>
        <w:rPr>
          <w:sz w:val="21"/>
          <w:szCs w:val="21"/>
          <w:spacing w:val="-3"/>
        </w:rPr>
        <w:t>年数据）、观研报告网（2017</w:t>
      </w:r>
      <w:r>
        <w:rPr>
          <w:sz w:val="21"/>
          <w:szCs w:val="21"/>
          <w:spacing w:val="-43"/>
        </w:rPr>
        <w:t xml:space="preserve"> </w:t>
      </w:r>
      <w:r>
        <w:rPr>
          <w:sz w:val="21"/>
          <w:szCs w:val="21"/>
          <w:spacing w:val="-3"/>
        </w:rPr>
        <w:t>年-202</w:t>
      </w:r>
      <w:r>
        <w:rPr>
          <w:sz w:val="21"/>
          <w:szCs w:val="21"/>
          <w:spacing w:val="-4"/>
        </w:rPr>
        <w:t>1</w:t>
      </w:r>
      <w:r>
        <w:rPr>
          <w:sz w:val="21"/>
          <w:szCs w:val="21"/>
          <w:spacing w:val="-43"/>
        </w:rPr>
        <w:t xml:space="preserve"> </w:t>
      </w:r>
      <w:r>
        <w:rPr>
          <w:sz w:val="21"/>
          <w:szCs w:val="21"/>
          <w:spacing w:val="-4"/>
        </w:rPr>
        <w:t>年数</w:t>
      </w:r>
      <w:r>
        <w:rPr>
          <w:sz w:val="21"/>
          <w:szCs w:val="21"/>
          <w:spacing w:val="-4"/>
        </w:rPr>
        <w:t>据）</w:t>
      </w:r>
    </w:p>
    <w:p>
      <w:pPr>
        <w:pStyle w:val="BodyText"/>
        <w:ind w:left="39" w:right="156" w:hanging="20"/>
        <w:spacing w:before="4" w:line="247" w:lineRule="auto"/>
        <w:rPr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7"/>
          <w:position w:val="10"/>
        </w:rPr>
        <w:t>3    </w:t>
      </w:r>
      <w:r>
        <w:rPr>
          <w:sz w:val="21"/>
          <w:szCs w:val="21"/>
          <w:spacing w:val="-7"/>
        </w:rPr>
        <w:t>资料来源：《数字中国建设整体布局规划》、《关于构建</w:t>
      </w:r>
      <w:r>
        <w:rPr>
          <w:sz w:val="21"/>
          <w:szCs w:val="21"/>
          <w:spacing w:val="-8"/>
        </w:rPr>
        <w:t>优质均衡的基本公共教育服务体系</w:t>
      </w:r>
      <w:r>
        <w:rPr>
          <w:sz w:val="21"/>
          <w:szCs w:val="21"/>
          <w:spacing w:val="-11"/>
        </w:rPr>
        <w:t>的意见》、《关于加快推进现代职业教育体系建设改革重点任务的通知》、“权威部门话开</w:t>
      </w:r>
    </w:p>
    <w:p>
      <w:pPr>
        <w:pStyle w:val="BodyText"/>
        <w:ind w:left="25"/>
        <w:spacing w:before="21" w:line="220" w:lineRule="auto"/>
        <w:rPr>
          <w:sz w:val="21"/>
          <w:szCs w:val="21"/>
        </w:rPr>
      </w:pPr>
      <w:r>
        <w:rPr>
          <w:sz w:val="21"/>
          <w:szCs w:val="21"/>
          <w:spacing w:val="-5"/>
        </w:rPr>
        <w:t>局</w:t>
      </w:r>
      <w:r>
        <w:rPr>
          <w:sz w:val="21"/>
          <w:szCs w:val="21"/>
          <w:spacing w:val="-72"/>
        </w:rPr>
        <w:t xml:space="preserve"> </w:t>
      </w:r>
      <w:r>
        <w:rPr>
          <w:sz w:val="21"/>
          <w:szCs w:val="21"/>
          <w:spacing w:val="-5"/>
        </w:rPr>
        <w:t>”主题新闻发布会(2023</w:t>
      </w:r>
      <w:r>
        <w:rPr>
          <w:sz w:val="21"/>
          <w:szCs w:val="21"/>
          <w:spacing w:val="-42"/>
        </w:rPr>
        <w:t xml:space="preserve"> </w:t>
      </w:r>
      <w:r>
        <w:rPr>
          <w:sz w:val="21"/>
          <w:szCs w:val="21"/>
          <w:spacing w:val="-5"/>
        </w:rPr>
        <w:t>年</w:t>
      </w:r>
      <w:r>
        <w:rPr>
          <w:sz w:val="21"/>
          <w:szCs w:val="21"/>
          <w:spacing w:val="-39"/>
        </w:rPr>
        <w:t xml:space="preserve"> </w:t>
      </w:r>
      <w:r>
        <w:rPr>
          <w:sz w:val="21"/>
          <w:szCs w:val="21"/>
          <w:spacing w:val="-5"/>
        </w:rPr>
        <w:t>7</w:t>
      </w:r>
      <w:r>
        <w:rPr>
          <w:sz w:val="21"/>
          <w:szCs w:val="21"/>
          <w:spacing w:val="-41"/>
        </w:rPr>
        <w:t xml:space="preserve"> </w:t>
      </w:r>
      <w:r>
        <w:rPr>
          <w:sz w:val="21"/>
          <w:szCs w:val="21"/>
          <w:spacing w:val="-5"/>
        </w:rPr>
        <w:t>月 教育部）、中国电信部分省公司调研等。</w:t>
      </w:r>
    </w:p>
    <w:p>
      <w:pPr>
        <w:spacing w:line="220" w:lineRule="auto"/>
        <w:sectPr>
          <w:pgSz w:w="11907" w:h="16839"/>
          <w:pgMar w:top="1431" w:right="1694" w:bottom="0" w:left="1785" w:header="0" w:footer="0" w:gutter="0"/>
        </w:sectPr>
        <w:rPr>
          <w:sz w:val="21"/>
          <w:szCs w:val="21"/>
        </w:rPr>
      </w:pPr>
    </w:p>
    <w:p>
      <w:pPr>
        <w:spacing w:line="9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08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700"/>
        <w:gridCol w:w="6382"/>
      </w:tblGrid>
      <w:tr>
        <w:trPr>
          <w:trHeight w:val="725" w:hRule="atLeast"/>
        </w:trPr>
        <w:tc>
          <w:tcPr>
            <w:tcW w:w="1700" w:type="dxa"/>
            <w:vAlign w:val="top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82" w:type="dxa"/>
            <w:vAlign w:val="top"/>
            <w:tcBorders>
              <w:top w:val="nil"/>
            </w:tcBorders>
          </w:tcPr>
          <w:p>
            <w:pPr>
              <w:pStyle w:val="TableText"/>
              <w:ind w:left="121"/>
              <w:spacing w:before="16" w:line="220" w:lineRule="auto"/>
              <w:rPr/>
            </w:pPr>
            <w:r>
              <w:rPr>
                <w:spacing w:val="-3"/>
              </w:rPr>
              <w:t>3、数字技术创新应用，赋能教育教学。</w:t>
            </w:r>
          </w:p>
        </w:tc>
      </w:tr>
      <w:tr>
        <w:trPr>
          <w:trHeight w:val="1285" w:hRule="atLeast"/>
        </w:trPr>
        <w:tc>
          <w:tcPr>
            <w:tcW w:w="1700" w:type="dxa"/>
            <w:vAlign w:val="top"/>
          </w:tcPr>
          <w:p>
            <w:pPr>
              <w:spacing w:line="4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6"/>
              <w:spacing w:before="91" w:line="220" w:lineRule="auto"/>
              <w:rPr/>
            </w:pPr>
            <w:r>
              <w:rPr>
                <w:spacing w:val="-3"/>
              </w:rPr>
              <w:t>高等学校</w:t>
            </w:r>
          </w:p>
        </w:tc>
        <w:tc>
          <w:tcPr>
            <w:tcW w:w="6382" w:type="dxa"/>
            <w:vAlign w:val="top"/>
          </w:tcPr>
          <w:p>
            <w:pPr>
              <w:pStyle w:val="TableText"/>
              <w:ind w:left="115" w:right="390" w:firstLine="20"/>
              <w:spacing w:before="16" w:line="211" w:lineRule="auto"/>
              <w:rPr/>
            </w:pPr>
            <w:r>
              <w:rPr>
                <w:spacing w:val="-2"/>
              </w:rPr>
              <w:t>1、教学科研数字化转型相关，如大数据、VR/AR</w:t>
            </w:r>
            <w:r>
              <w:rPr>
                <w:spacing w:val="-4"/>
              </w:rPr>
              <w:t>类、院校上云、科研实训平台等；</w:t>
            </w:r>
          </w:p>
          <w:p>
            <w:pPr>
              <w:pStyle w:val="TableText"/>
              <w:ind w:left="118"/>
              <w:spacing w:line="210" w:lineRule="auto"/>
              <w:rPr/>
            </w:pPr>
            <w:r>
              <w:rPr>
                <w:spacing w:val="-7"/>
              </w:rPr>
              <w:t>2、智慧教室建设；</w:t>
            </w:r>
          </w:p>
          <w:p>
            <w:pPr>
              <w:pStyle w:val="TableText"/>
              <w:ind w:left="121"/>
              <w:spacing w:line="197" w:lineRule="auto"/>
              <w:rPr/>
            </w:pPr>
            <w:r>
              <w:rPr>
                <w:spacing w:val="-4"/>
              </w:rPr>
              <w:t>3、其他多种个性化需求。</w:t>
            </w:r>
          </w:p>
        </w:tc>
      </w:tr>
      <w:tr>
        <w:trPr>
          <w:trHeight w:val="1602" w:hRule="atLeast"/>
        </w:trPr>
        <w:tc>
          <w:tcPr>
            <w:tcW w:w="1700" w:type="dxa"/>
            <w:vAlign w:val="top"/>
          </w:tcPr>
          <w:p>
            <w:pPr>
              <w:spacing w:line="4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85" w:right="284" w:hanging="260"/>
              <w:spacing w:before="91" w:line="216" w:lineRule="auto"/>
              <w:rPr/>
            </w:pPr>
            <w:r>
              <w:rPr>
                <w:spacing w:val="-9"/>
              </w:rPr>
              <w:t>中等职业</w:t>
            </w:r>
            <w:r>
              <w:rPr>
                <w:spacing w:val="-4"/>
              </w:rPr>
              <w:t>学校</w:t>
            </w:r>
          </w:p>
        </w:tc>
        <w:tc>
          <w:tcPr>
            <w:tcW w:w="6382" w:type="dxa"/>
            <w:vAlign w:val="top"/>
          </w:tcPr>
          <w:p>
            <w:pPr>
              <w:pStyle w:val="TableText"/>
              <w:ind w:left="117" w:right="318" w:firstLine="18"/>
              <w:spacing w:before="18" w:line="210" w:lineRule="auto"/>
              <w:rPr/>
            </w:pPr>
            <w:r>
              <w:rPr>
                <w:spacing w:val="-5"/>
              </w:rPr>
              <w:t>1、到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2025</w:t>
            </w:r>
            <w:r>
              <w:rPr>
                <w:spacing w:val="-57"/>
              </w:rPr>
              <w:t xml:space="preserve"> </w:t>
            </w:r>
            <w:r>
              <w:rPr>
                <w:spacing w:val="-5"/>
              </w:rPr>
              <w:t>年，建成</w:t>
            </w:r>
            <w:r>
              <w:rPr>
                <w:spacing w:val="-54"/>
              </w:rPr>
              <w:t xml:space="preserve"> </w:t>
            </w:r>
            <w:r>
              <w:rPr>
                <w:spacing w:val="-5"/>
              </w:rPr>
              <w:t>300</w:t>
            </w:r>
            <w:r>
              <w:rPr>
                <w:spacing w:val="-57"/>
              </w:rPr>
              <w:t xml:space="preserve"> </w:t>
            </w:r>
            <w:r>
              <w:rPr>
                <w:spacing w:val="-5"/>
              </w:rPr>
              <w:t>所左右全国性、1000</w:t>
            </w:r>
            <w:r>
              <w:rPr>
                <w:spacing w:val="-58"/>
              </w:rPr>
              <w:t xml:space="preserve"> </w:t>
            </w:r>
            <w:r>
              <w:rPr>
                <w:spacing w:val="-5"/>
              </w:rPr>
              <w:t>所</w:t>
            </w:r>
            <w:r>
              <w:rPr>
                <w:spacing w:val="-1"/>
              </w:rPr>
              <w:t>左右区域性信息化标杆学校；</w:t>
            </w:r>
          </w:p>
          <w:p>
            <w:pPr>
              <w:pStyle w:val="TableText"/>
              <w:ind w:left="118"/>
              <w:spacing w:line="212" w:lineRule="auto"/>
              <w:rPr/>
            </w:pPr>
            <w:r>
              <w:rPr>
                <w:spacing w:val="-1"/>
              </w:rPr>
              <w:t>2、建设一批全国性跨区域行业产教融合共同体，</w:t>
            </w:r>
          </w:p>
          <w:p>
            <w:pPr>
              <w:pStyle w:val="TableText"/>
              <w:ind w:left="115" w:right="111"/>
              <w:spacing w:before="2" w:line="202" w:lineRule="auto"/>
              <w:rPr/>
            </w:pPr>
            <w:r>
              <w:rPr>
                <w:spacing w:val="-1"/>
              </w:rPr>
              <w:t>包括全国性/省级/市级实践中心、示范性虚拟仿真</w:t>
            </w:r>
            <w:r>
              <w:rPr>
                <w:spacing w:val="-10"/>
              </w:rPr>
              <w:t>基地等。</w:t>
            </w:r>
          </w:p>
        </w:tc>
      </w:tr>
      <w:tr>
        <w:trPr>
          <w:trHeight w:val="966" w:hRule="atLeast"/>
        </w:trPr>
        <w:tc>
          <w:tcPr>
            <w:tcW w:w="1700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4"/>
              <w:spacing w:before="91" w:line="221" w:lineRule="auto"/>
              <w:rPr/>
            </w:pPr>
            <w:r>
              <w:rPr>
                <w:spacing w:val="-8"/>
              </w:rPr>
              <w:t>中小学</w:t>
            </w:r>
          </w:p>
        </w:tc>
        <w:tc>
          <w:tcPr>
            <w:tcW w:w="6382" w:type="dxa"/>
            <w:vAlign w:val="top"/>
          </w:tcPr>
          <w:p>
            <w:pPr>
              <w:pStyle w:val="TableText"/>
              <w:ind w:left="117" w:right="266" w:firstLine="18"/>
              <w:spacing w:before="22" w:line="210" w:lineRule="auto"/>
              <w:rPr/>
            </w:pPr>
            <w:r>
              <w:rPr>
                <w:spacing w:val="-2"/>
              </w:rPr>
              <w:t>1、智慧校园标准化建设：数字化基础环境</w:t>
            </w:r>
            <w:r>
              <w:rPr>
                <w:spacing w:val="-3"/>
              </w:rPr>
              <w:t>等办学</w:t>
            </w:r>
            <w:r>
              <w:rPr>
                <w:spacing w:val="-2"/>
              </w:rPr>
              <w:t>条件达到规定标准；</w:t>
            </w:r>
          </w:p>
          <w:p>
            <w:pPr>
              <w:pStyle w:val="TableText"/>
              <w:ind w:left="118"/>
              <w:spacing w:line="195" w:lineRule="auto"/>
              <w:rPr/>
            </w:pPr>
            <w:r>
              <w:rPr>
                <w:spacing w:val="-2"/>
              </w:rPr>
              <w:t>2、精准教学平台等；</w:t>
            </w:r>
          </w:p>
        </w:tc>
      </w:tr>
      <w:tr>
        <w:trPr>
          <w:trHeight w:val="642" w:hRule="atLeast"/>
        </w:trPr>
        <w:tc>
          <w:tcPr>
            <w:tcW w:w="1700" w:type="dxa"/>
            <w:vAlign w:val="top"/>
          </w:tcPr>
          <w:p>
            <w:pPr>
              <w:pStyle w:val="TableText"/>
              <w:ind w:left="440"/>
              <w:spacing w:before="177" w:line="220" w:lineRule="auto"/>
              <w:rPr/>
            </w:pPr>
            <w:r>
              <w:rPr>
                <w:spacing w:val="-3"/>
              </w:rPr>
              <w:t>幼儿园</w:t>
            </w:r>
          </w:p>
        </w:tc>
        <w:tc>
          <w:tcPr>
            <w:tcW w:w="6382" w:type="dxa"/>
            <w:vAlign w:val="top"/>
          </w:tcPr>
          <w:p>
            <w:pPr>
              <w:pStyle w:val="TableText"/>
              <w:ind w:left="136"/>
              <w:spacing w:before="20" w:line="210" w:lineRule="auto"/>
              <w:rPr/>
            </w:pPr>
            <w:r>
              <w:rPr>
                <w:spacing w:val="-9"/>
              </w:rPr>
              <w:t>1、安全监控平台；</w:t>
            </w:r>
          </w:p>
          <w:p>
            <w:pPr>
              <w:pStyle w:val="TableText"/>
              <w:ind w:left="118"/>
              <w:spacing w:line="193" w:lineRule="auto"/>
              <w:rPr/>
            </w:pPr>
            <w:r>
              <w:rPr>
                <w:spacing w:val="-1"/>
              </w:rPr>
              <w:t>2、幼教云、园区数字化管理等</w:t>
            </w:r>
          </w:p>
        </w:tc>
      </w:tr>
      <w:tr>
        <w:trPr>
          <w:trHeight w:val="650" w:hRule="atLeast"/>
        </w:trPr>
        <w:tc>
          <w:tcPr>
            <w:tcW w:w="1700" w:type="dxa"/>
            <w:vAlign w:val="top"/>
          </w:tcPr>
          <w:p>
            <w:pPr>
              <w:pStyle w:val="TableText"/>
              <w:ind w:left="302"/>
              <w:spacing w:before="181" w:line="220" w:lineRule="auto"/>
              <w:rPr/>
            </w:pPr>
            <w:r>
              <w:rPr>
                <w:spacing w:val="-3"/>
              </w:rPr>
              <w:t>教育培训</w:t>
            </w:r>
          </w:p>
        </w:tc>
        <w:tc>
          <w:tcPr>
            <w:tcW w:w="6382" w:type="dxa"/>
            <w:vAlign w:val="top"/>
          </w:tcPr>
          <w:p>
            <w:pPr>
              <w:pStyle w:val="TableText"/>
              <w:ind w:left="136"/>
              <w:spacing w:before="23" w:line="210" w:lineRule="auto"/>
              <w:rPr/>
            </w:pPr>
            <w:r>
              <w:rPr>
                <w:spacing w:val="-6"/>
              </w:rPr>
              <w:t>1、组网+混合云平台；</w:t>
            </w:r>
          </w:p>
          <w:p>
            <w:pPr>
              <w:pStyle w:val="TableText"/>
              <w:ind w:left="118"/>
              <w:spacing w:line="196" w:lineRule="auto"/>
              <w:rPr/>
            </w:pPr>
            <w:r>
              <w:rPr>
                <w:spacing w:val="-1"/>
              </w:rPr>
              <w:t>2、教学、内部数字化管理等。</w:t>
            </w:r>
          </w:p>
        </w:tc>
      </w:tr>
    </w:tbl>
    <w:p>
      <w:pPr>
        <w:spacing w:line="261" w:lineRule="auto"/>
        <w:rPr>
          <w:rFonts w:ascii="Arial"/>
          <w:sz w:val="21"/>
        </w:rPr>
      </w:pPr>
      <w:r/>
    </w:p>
    <w:p>
      <w:pPr>
        <w:ind w:firstLine="14"/>
        <w:spacing w:line="3835" w:lineRule="exact"/>
        <w:rPr/>
      </w:pPr>
      <w:r>
        <w:rPr>
          <w:position w:val="-76"/>
        </w:rPr>
        <w:drawing>
          <wp:inline distT="0" distB="0" distL="0" distR="0">
            <wp:extent cx="5126735" cy="2435352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6735" cy="243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01"/>
        <w:spacing w:before="284" w:line="229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3    </w:t>
      </w:r>
      <w:r>
        <w:rPr>
          <w:rFonts w:ascii="KaiTi" w:hAnsi="KaiTi" w:eastAsia="KaiTi" w:cs="KaiTi"/>
          <w:sz w:val="30"/>
          <w:szCs w:val="30"/>
          <w:spacing w:val="-3"/>
        </w:rPr>
        <w:t>教育行业公开产数中标项目产品类型占比（中标金</w:t>
      </w:r>
      <w:r>
        <w:rPr>
          <w:rFonts w:ascii="KaiTi" w:hAnsi="KaiTi" w:eastAsia="KaiTi" w:cs="KaiTi"/>
          <w:sz w:val="30"/>
          <w:szCs w:val="30"/>
          <w:spacing w:val="-4"/>
        </w:rPr>
        <w:t>额）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675"/>
        <w:spacing w:before="100" w:line="225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二、中国电信面临主要形势分析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7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．中国电信等运营商份额居市场前列，有望成为牵头企业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33" w:firstLine="595"/>
        <w:spacing w:before="98" w:line="336" w:lineRule="auto"/>
        <w:rPr/>
      </w:pPr>
      <w:r>
        <w:rPr>
          <w:spacing w:val="-4"/>
        </w:rPr>
        <w:t>我国教育行业产数市场参与者众多，但尚未形成</w:t>
      </w:r>
      <w:r>
        <w:rPr>
          <w:spacing w:val="-5"/>
        </w:rPr>
        <w:t>具有绝对优</w:t>
      </w:r>
      <w:r>
        <w:rPr/>
        <w:t>势的龙头企业，整个行业具有集中度低、地域特征明</w:t>
      </w:r>
      <w:r>
        <w:rPr>
          <w:spacing w:val="-1"/>
        </w:rPr>
        <w:t>显等特点。</w:t>
      </w:r>
    </w:p>
    <w:p>
      <w:pPr>
        <w:spacing w:line="336" w:lineRule="auto"/>
        <w:sectPr>
          <w:pgSz w:w="11907" w:h="16839"/>
          <w:pgMar w:top="1431" w:right="1690" w:bottom="0" w:left="1785" w:header="0" w:footer="0" w:gutter="0"/>
        </w:sectPr>
        <w:rPr/>
      </w:pPr>
    </w:p>
    <w:p>
      <w:pPr>
        <w:pStyle w:val="BodyText"/>
        <w:ind w:left="34" w:right="108" w:hanging="8"/>
        <w:spacing w:before="184" w:line="334" w:lineRule="auto"/>
        <w:rPr/>
      </w:pPr>
      <w:r>
        <w:rPr>
          <w:spacing w:val="-4"/>
        </w:rPr>
        <w:t>三家运营商尽管市场份额不高，但已处于领先地位；其他供应商</w:t>
      </w:r>
      <w:r>
        <w:rPr>
          <w:spacing w:val="-4"/>
        </w:rPr>
        <w:t>市场份额相当低，尚不具备规模优势。</w:t>
      </w:r>
    </w:p>
    <w:p>
      <w:pPr>
        <w:pStyle w:val="BodyText"/>
        <w:ind w:left="25" w:right="106" w:firstLine="601"/>
        <w:spacing w:before="269" w:line="325" w:lineRule="auto"/>
        <w:jc w:val="both"/>
        <w:rPr/>
      </w:pPr>
      <w:r>
        <w:rPr>
          <w:spacing w:val="-4"/>
        </w:rPr>
        <w:t>运营商作为当地数字化建设主力军之一，与当地政府</w:t>
      </w:r>
      <w:r>
        <w:rPr>
          <w:spacing w:val="-5"/>
        </w:rPr>
        <w:t>、学校</w:t>
      </w:r>
      <w:r>
        <w:rPr>
          <w:spacing w:val="-4"/>
        </w:rPr>
        <w:t>拥有良好的合作关系，具有联合产业链伙伴集成多种数字技术与</w:t>
      </w:r>
      <w:r>
        <w:rPr>
          <w:spacing w:val="-4"/>
        </w:rPr>
        <w:t>智能技术的专业能力，有希望成为教育行业数字化转型的牵头企</w:t>
      </w:r>
      <w:r>
        <w:rPr>
          <w:spacing w:val="-5"/>
        </w:rPr>
        <w:t>业，获得更多话语权。</w:t>
      </w:r>
    </w:p>
    <w:p>
      <w:pPr>
        <w:ind w:firstLine="102"/>
        <w:spacing w:line="3804" w:lineRule="exact"/>
        <w:rPr/>
      </w:pPr>
      <w:r>
        <w:rPr>
          <w:position w:val="-76"/>
        </w:rPr>
        <w:drawing>
          <wp:inline distT="0" distB="0" distL="0" distR="0">
            <wp:extent cx="5158740" cy="241554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874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01"/>
        <w:spacing w:before="300" w:line="229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4    </w:t>
      </w:r>
      <w:r>
        <w:rPr>
          <w:rFonts w:ascii="KaiTi" w:hAnsi="KaiTi" w:eastAsia="KaiTi" w:cs="KaiTi"/>
          <w:sz w:val="30"/>
          <w:szCs w:val="30"/>
          <w:spacing w:val="-3"/>
        </w:rPr>
        <w:t>教育行业公开产数项目市场参与主体份额（中标金额）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27" w:right="126" w:firstLine="596"/>
        <w:spacing w:before="97" w:line="278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．大模型将成为教育行业数字化转型新引擎，百模大</w:t>
      </w:r>
      <w:r>
        <w:rPr>
          <w:b/>
          <w:bCs/>
          <w:spacing w:val="-3"/>
        </w:rPr>
        <w:t>战正</w:t>
      </w:r>
      <w:r>
        <w:rPr>
          <w:b/>
          <w:bCs/>
          <w:spacing w:val="-4"/>
        </w:rPr>
        <w:t>酣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20" w:firstLine="604"/>
        <w:spacing w:before="98" w:line="333" w:lineRule="auto"/>
        <w:jc w:val="both"/>
        <w:rPr/>
      </w:pPr>
      <w:r>
        <w:rPr>
          <w:spacing w:val="-4"/>
        </w:rPr>
        <w:t>在教育领域，大模型与教育数字化转型目标天然契合，</w:t>
      </w:r>
      <w:r>
        <w:rPr>
          <w:spacing w:val="-5"/>
        </w:rPr>
        <w:t>譬如</w:t>
      </w:r>
      <w:r>
        <w:rPr>
          <w:spacing w:val="-8"/>
        </w:rPr>
        <w:t>针对教师实现教学资源共享、课件优化设计等；</w:t>
      </w:r>
      <w:r>
        <w:rPr>
          <w:spacing w:val="-30"/>
        </w:rPr>
        <w:t xml:space="preserve"> </w:t>
      </w:r>
      <w:r>
        <w:rPr>
          <w:spacing w:val="-8"/>
        </w:rPr>
        <w:t>针对学生做到因</w:t>
      </w:r>
      <w:r>
        <w:rPr>
          <w:spacing w:val="-10"/>
        </w:rPr>
        <w:t>材施教、个性化分析指导和引导式学习等，具有广阔的</w:t>
      </w:r>
      <w:r>
        <w:rPr>
          <w:spacing w:val="-11"/>
        </w:rPr>
        <w:t>发展前景。</w:t>
      </w:r>
      <w:r>
        <w:rPr>
          <w:spacing w:val="-6"/>
        </w:rPr>
        <w:t>许多公司因此下场训练大模型，如好未来的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MathGPT</w:t>
      </w:r>
      <w:r>
        <w:rPr>
          <w:spacing w:val="-6"/>
        </w:rPr>
        <w:t>、华师大的</w:t>
      </w:r>
      <w:r>
        <w:rPr>
          <w:rFonts w:ascii="Times New Roman" w:hAnsi="Times New Roman" w:eastAsia="Times New Roman" w:cs="Times New Roman"/>
        </w:rPr>
        <w:t>EmoGPT</w:t>
      </w:r>
      <w:r>
        <w:rPr>
          <w:rFonts w:ascii="Times New Roman" w:hAnsi="Times New Roman" w:eastAsia="Times New Roman" w:cs="Times New Roman"/>
          <w:spacing w:val="1"/>
        </w:rPr>
        <w:t>/</w:t>
      </w:r>
      <w:r>
        <w:rPr>
          <w:rFonts w:ascii="Times New Roman" w:hAnsi="Times New Roman" w:eastAsia="Times New Roman" w:cs="Times New Roman"/>
        </w:rPr>
        <w:t>EduChat</w:t>
      </w:r>
      <w:r>
        <w:rPr>
          <w:spacing w:val="1"/>
        </w:rPr>
        <w:t>、网易有道的子曰、作业帮的银河、视源股份</w:t>
      </w:r>
      <w:r>
        <w:rPr/>
        <w:t>的希沃教学大模型等，还有不少通用大模型涉及教育行业应用，</w:t>
      </w:r>
      <w:r>
        <w:rPr>
          <w:spacing w:val="-4"/>
        </w:rPr>
        <w:t>如科大讯飞的星火、中国电信的星辰教育大模型等。目前教育大</w:t>
      </w:r>
    </w:p>
    <w:p>
      <w:pPr>
        <w:spacing w:line="333" w:lineRule="auto"/>
        <w:sectPr>
          <w:pgSz w:w="11907" w:h="16839"/>
          <w:pgMar w:top="1431" w:right="1693" w:bottom="0" w:left="1785" w:header="0" w:footer="0" w:gutter="0"/>
        </w:sectPr>
        <w:rPr/>
      </w:pPr>
    </w:p>
    <w:p>
      <w:pPr>
        <w:pStyle w:val="BodyText"/>
        <w:ind w:left="26" w:right="83" w:hanging="1"/>
        <w:spacing w:before="181" w:line="334" w:lineRule="auto"/>
        <w:jc w:val="both"/>
        <w:rPr/>
      </w:pPr>
      <w:r>
        <w:rPr>
          <w:spacing w:val="-4"/>
        </w:rPr>
        <w:t>模型还处在早期阶段，未来行业机会将从基础设施逐渐过渡到上</w:t>
      </w:r>
      <w:r>
        <w:rPr>
          <w:spacing w:val="-4"/>
        </w:rPr>
        <w:t>层应用，最终留存者将是有效融合教育行业应用与大模型技术的</w:t>
      </w:r>
      <w:r>
        <w:rPr>
          <w:spacing w:val="-13"/>
        </w:rPr>
        <w:t>产品。</w:t>
      </w:r>
    </w:p>
    <w:p>
      <w:pPr>
        <w:pStyle w:val="BodyText"/>
        <w:ind w:left="27" w:right="92" w:firstLine="594"/>
        <w:spacing w:before="271" w:line="277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．中国电信新基建类业务占优，但行业应用类产品略占下</w:t>
      </w:r>
      <w:r>
        <w:rPr>
          <w:b/>
          <w:bCs/>
          <w:spacing w:val="-4"/>
        </w:rPr>
        <w:t>风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25" w:firstLine="602"/>
        <w:spacing w:before="98" w:line="328" w:lineRule="auto"/>
        <w:rPr/>
      </w:pPr>
      <w:r>
        <w:rPr>
          <w:spacing w:val="-4"/>
        </w:rPr>
        <w:t>整体而言，运营商在教育行业的产品优势不明</w:t>
      </w:r>
      <w:r>
        <w:rPr>
          <w:spacing w:val="-5"/>
        </w:rPr>
        <w:t>显。运营商市</w:t>
      </w:r>
      <w:r>
        <w:rPr>
          <w:spacing w:val="-1"/>
        </w:rPr>
        <w:t>场份额超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20%</w:t>
      </w:r>
      <w:r>
        <w:rPr>
          <w:spacing w:val="-1"/>
        </w:rPr>
        <w:t>的产品主要有专线接入、</w:t>
      </w:r>
      <w:r>
        <w:rPr>
          <w:rFonts w:ascii="Times New Roman" w:hAnsi="Times New Roman" w:eastAsia="Times New Roman" w:cs="Times New Roman"/>
          <w:spacing w:val="-1"/>
        </w:rPr>
        <w:t>5G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-1"/>
        </w:rPr>
        <w:t>定制网、电路出租、</w:t>
      </w:r>
      <w:r>
        <w:rPr>
          <w:spacing w:val="-4"/>
        </w:rPr>
        <w:t>云业务等，以网络接入类为主，这些业务中标金额仅占教育行业</w:t>
      </w:r>
      <w:r>
        <w:rPr>
          <w:spacing w:val="-15"/>
        </w:rPr>
        <w:t>的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15"/>
        </w:rPr>
        <w:t>7.6%</w:t>
      </w:r>
      <w:r>
        <w:rPr>
          <w:spacing w:val="-15"/>
        </w:rPr>
        <w:t>。相较于整个产数市场， 除专线接入、</w:t>
      </w:r>
      <w:r>
        <w:rPr>
          <w:spacing w:val="-16"/>
        </w:rPr>
        <w:t>卫星产品外，</w:t>
      </w:r>
      <w:r>
        <w:rPr>
          <w:spacing w:val="-41"/>
        </w:rPr>
        <w:t xml:space="preserve"> </w:t>
      </w:r>
      <w:r>
        <w:rPr>
          <w:spacing w:val="-16"/>
        </w:rPr>
        <w:t>运营</w:t>
      </w:r>
      <w:r>
        <w:rPr>
          <w:spacing w:val="-1"/>
        </w:rPr>
        <w:t>商在大多数产品的中标金额占比都低于其在产数市场的平均值，</w:t>
      </w:r>
      <w:r>
        <w:rPr>
          <w:spacing w:val="-4"/>
        </w:rPr>
        <w:t>尤其在教育数字化发展需求较大的数字平台、</w:t>
      </w:r>
      <w:r>
        <w:rPr>
          <w:rFonts w:ascii="Times New Roman" w:hAnsi="Times New Roman" w:eastAsia="Times New Roman" w:cs="Times New Roman"/>
          <w:spacing w:val="-4"/>
        </w:rPr>
        <w:t>AI</w:t>
      </w:r>
      <w:r>
        <w:rPr>
          <w:spacing w:val="-4"/>
        </w:rPr>
        <w:t>、安</w:t>
      </w:r>
      <w:r>
        <w:rPr>
          <w:spacing w:val="-5"/>
        </w:rPr>
        <w:t>全等产品方</w:t>
      </w:r>
      <w:r>
        <w:rPr>
          <w:spacing w:val="-5"/>
        </w:rPr>
        <w:t>面，运营商份额偏低。</w:t>
      </w:r>
    </w:p>
    <w:p>
      <w:pPr>
        <w:ind w:firstLine="381"/>
        <w:spacing w:line="3189" w:lineRule="exact"/>
        <w:rPr/>
      </w:pPr>
      <w:r>
        <w:rPr>
          <w:position w:val="-63"/>
        </w:rPr>
        <w:drawing>
          <wp:inline distT="0" distB="0" distL="0" distR="0">
            <wp:extent cx="4806695" cy="202539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6695" cy="20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01"/>
        <w:spacing w:before="291" w:line="229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5    </w:t>
      </w:r>
      <w:r>
        <w:rPr>
          <w:rFonts w:ascii="KaiTi" w:hAnsi="KaiTi" w:eastAsia="KaiTi" w:cs="KaiTi"/>
          <w:sz w:val="30"/>
          <w:szCs w:val="30"/>
          <w:spacing w:val="-3"/>
        </w:rPr>
        <w:t>分产品运营商产数项目中标金额占比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25" w:right="83" w:firstLine="604"/>
        <w:spacing w:before="99" w:line="331" w:lineRule="auto"/>
        <w:jc w:val="both"/>
        <w:rPr/>
      </w:pPr>
      <w:r>
        <w:rPr>
          <w:spacing w:val="-5"/>
        </w:rPr>
        <w:t>分运营商看，电信与友商产品优势稍有差异。中国电信网络</w:t>
      </w:r>
      <w:r>
        <w:rPr>
          <w:spacing w:val="-9"/>
        </w:rPr>
        <w:t>接入类业务较强，如专线接入、电路出租等份额较高； 中国移动</w:t>
      </w:r>
      <w:r>
        <w:rPr>
          <w:rFonts w:ascii="Times New Roman" w:hAnsi="Times New Roman" w:eastAsia="Times New Roman" w:cs="Times New Roman"/>
          <w:spacing w:val="-3"/>
        </w:rPr>
        <w:t>5G</w:t>
      </w:r>
      <w:r>
        <w:rPr>
          <w:rFonts w:ascii="Times New Roman" w:hAnsi="Times New Roman" w:eastAsia="Times New Roman" w:cs="Times New Roman"/>
          <w:spacing w:val="66"/>
        </w:rPr>
        <w:t xml:space="preserve"> </w:t>
      </w:r>
      <w:r>
        <w:rPr>
          <w:spacing w:val="-3"/>
        </w:rPr>
        <w:t>定制网、</w:t>
      </w:r>
      <w:r>
        <w:rPr>
          <w:rFonts w:ascii="Times New Roman" w:hAnsi="Times New Roman" w:eastAsia="Times New Roman" w:cs="Times New Roman"/>
          <w:spacing w:val="-3"/>
        </w:rPr>
        <w:t>AI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spacing w:val="-3"/>
        </w:rPr>
        <w:t>略胜一筹。从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2023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-3"/>
        </w:rPr>
        <w:t>年初运营商与教育部开展的</w:t>
      </w:r>
      <w:r>
        <w:rPr>
          <w:spacing w:val="-2"/>
        </w:rPr>
        <w:t>战略合作内容也可以看出端倪：中国移动利用 </w:t>
      </w:r>
      <w:r>
        <w:rPr>
          <w:rFonts w:ascii="Times New Roman" w:hAnsi="Times New Roman" w:eastAsia="Times New Roman" w:cs="Times New Roman"/>
          <w:spacing w:val="-2"/>
        </w:rPr>
        <w:t>5G</w:t>
      </w:r>
      <w:r>
        <w:rPr>
          <w:spacing w:val="-2"/>
        </w:rPr>
        <w:t>、人工智能、</w:t>
      </w:r>
    </w:p>
    <w:p>
      <w:pPr>
        <w:spacing w:line="331" w:lineRule="auto"/>
        <w:sectPr>
          <w:pgSz w:w="11907" w:h="16839"/>
          <w:pgMar w:top="1431" w:right="1715" w:bottom="0" w:left="1785" w:header="0" w:footer="0" w:gutter="0"/>
        </w:sectPr>
        <w:rPr/>
      </w:pPr>
    </w:p>
    <w:p>
      <w:pPr>
        <w:pStyle w:val="BodyText"/>
        <w:ind w:left="26" w:right="106" w:firstLine="8"/>
        <w:spacing w:before="182" w:line="326" w:lineRule="auto"/>
        <w:rPr/>
      </w:pPr>
      <w:r>
        <w:rPr>
          <w:spacing w:val="-4"/>
        </w:rPr>
        <w:t>云计算等信息技术构建教育体系；中国电信侧重于推进教</w:t>
      </w:r>
      <w:r>
        <w:rPr>
          <w:spacing w:val="-5"/>
        </w:rPr>
        <w:t>育新型</w:t>
      </w:r>
      <w:r>
        <w:rPr>
          <w:spacing w:val="-7"/>
        </w:rPr>
        <w:t>基础设施建设（如教育专网、教育行业云、校园网络升级等）。</w:t>
      </w:r>
    </w:p>
    <w:p>
      <w:pPr>
        <w:ind w:firstLine="573"/>
        <w:spacing w:line="4060" w:lineRule="exact"/>
        <w:rPr/>
      </w:pPr>
      <w:r>
        <w:rPr>
          <w:position w:val="-81"/>
        </w:rPr>
        <w:drawing>
          <wp:inline distT="0" distB="0" distL="0" distR="0">
            <wp:extent cx="4585715" cy="2578607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5715" cy="257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01"/>
        <w:spacing w:before="324" w:line="229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6    </w:t>
      </w:r>
      <w:r>
        <w:rPr>
          <w:rFonts w:ascii="KaiTi" w:hAnsi="KaiTi" w:eastAsia="KaiTi" w:cs="KaiTi"/>
          <w:sz w:val="30"/>
          <w:szCs w:val="30"/>
          <w:spacing w:val="-3"/>
        </w:rPr>
        <w:t>教育行业产数项目运营商分产品市场份额（中标</w:t>
      </w:r>
      <w:r>
        <w:rPr>
          <w:rFonts w:ascii="KaiTi" w:hAnsi="KaiTi" w:eastAsia="KaiTi" w:cs="KaiTi"/>
          <w:sz w:val="30"/>
          <w:szCs w:val="30"/>
          <w:spacing w:val="-4"/>
        </w:rPr>
        <w:t>金额）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4</w:t>
      </w:r>
      <w:r>
        <w:rPr>
          <w:b/>
          <w:bCs/>
          <w:spacing w:val="-3"/>
        </w:rPr>
        <w:t>．中国电信市场拓展过程中存在问题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26" w:firstLine="602"/>
        <w:spacing w:before="98" w:line="333" w:lineRule="auto"/>
        <w:rPr/>
      </w:pPr>
      <w:r>
        <w:rPr>
          <w:spacing w:val="-5"/>
        </w:rPr>
        <w:t>调研发现，中国电信在市场拓展方面存在不足。一是专业人</w:t>
      </w:r>
      <w:r>
        <w:rPr>
          <w:spacing w:val="-9"/>
        </w:rPr>
        <w:t>员不够。尽管集团设有专门的教育行业事业部， 但省、市层面真</w:t>
      </w:r>
      <w:r>
        <w:rPr>
          <w:spacing w:val="-9"/>
        </w:rPr>
        <w:t>正全职从事教育行业售前、售中、售后的专业人员较少， 一线单</w:t>
      </w:r>
      <w:r>
        <w:rPr>
          <w:spacing w:val="-4"/>
        </w:rPr>
        <w:t>元缺乏专职行业经理；大都数兼职人员缺乏对教育行业数字化转</w:t>
      </w:r>
      <w:r>
        <w:rPr>
          <w:spacing w:val="-2"/>
        </w:rPr>
        <w:t>型需求的深刻了解与把握；运营商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2B </w:t>
      </w:r>
      <w:r>
        <w:rPr>
          <w:spacing w:val="-2"/>
        </w:rPr>
        <w:t>业务还主要在效率优化、</w:t>
      </w:r>
      <w:r>
        <w:rPr>
          <w:spacing w:val="-4"/>
        </w:rPr>
        <w:t>集成功能等辅助层面发挥作用。二是内部协同不畅。教育行业的</w:t>
      </w:r>
      <w:r>
        <w:rPr>
          <w:spacing w:val="-9"/>
        </w:rPr>
        <w:t>综合解决方案需要各专业公司（如物联网、云公司等） 及实业的</w:t>
      </w:r>
      <w:r>
        <w:rPr>
          <w:spacing w:val="-4"/>
        </w:rPr>
        <w:t>配合与协同，但部门之间协作不畅，同时缺乏属地化交付与支撑</w:t>
      </w:r>
      <w:r>
        <w:rPr>
          <w:spacing w:val="-11"/>
        </w:rPr>
        <w:t>能力，不利于业务推进与实施。三是教育行业自研产品能力不足。</w:t>
      </w:r>
      <w:r>
        <w:rPr>
          <w:spacing w:val="-9"/>
        </w:rPr>
        <w:t>客户需求多样化、专业化， 需借助产业合作伙伴的力量，从教育</w:t>
      </w:r>
      <w:r>
        <w:rPr>
          <w:spacing w:val="-4"/>
        </w:rPr>
        <w:t>行业外围走进教育行业内圈的核心环节，参与教学内容、教学模</w:t>
      </w:r>
      <w:r>
        <w:rPr>
          <w:spacing w:val="-4"/>
        </w:rPr>
        <w:t>式及其延伸范畴的制作流程，对优质网络连接、大数据、人工智</w:t>
      </w:r>
    </w:p>
    <w:p>
      <w:pPr>
        <w:spacing w:line="333" w:lineRule="auto"/>
        <w:sectPr>
          <w:pgSz w:w="11907" w:h="16839"/>
          <w:pgMar w:top="1431" w:right="1693" w:bottom="0" w:left="1785" w:header="0" w:footer="0" w:gutter="0"/>
        </w:sectPr>
        <w:rPr/>
      </w:pPr>
    </w:p>
    <w:p>
      <w:pPr>
        <w:pStyle w:val="BodyText"/>
        <w:ind w:left="37"/>
        <w:spacing w:before="183" w:line="219" w:lineRule="auto"/>
        <w:rPr/>
      </w:pPr>
      <w:r>
        <w:rPr>
          <w:spacing w:val="-1"/>
        </w:rPr>
        <w:t>能、云计算、虚拟现实等全面信息技术能够融合创新。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ind w:left="676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三、中国电信业务拓展建议</w:t>
      </w:r>
    </w:p>
    <w:p>
      <w:pPr>
        <w:spacing w:line="396" w:lineRule="auto"/>
        <w:rPr>
          <w:rFonts w:ascii="Arial"/>
          <w:sz w:val="21"/>
        </w:rPr>
      </w:pPr>
      <w:r/>
    </w:p>
    <w:p>
      <w:pPr>
        <w:pStyle w:val="BodyText"/>
        <w:ind w:left="27" w:right="257" w:firstLine="602"/>
        <w:spacing w:before="97" w:line="333" w:lineRule="auto"/>
        <w:jc w:val="both"/>
        <w:rPr/>
      </w:pPr>
      <w:r>
        <w:rPr>
          <w:spacing w:val="-4"/>
        </w:rPr>
        <w:t>建议中国电信扬长补短，把握此次教育行业数</w:t>
      </w:r>
      <w:r>
        <w:rPr>
          <w:spacing w:val="-5"/>
        </w:rPr>
        <w:t>字化全面转型</w:t>
      </w:r>
      <w:r>
        <w:rPr>
          <w:spacing w:val="-4"/>
        </w:rPr>
        <w:t>契机。一方面，以优势业务为切入点，做好承载教育数字化转型</w:t>
      </w:r>
      <w:r>
        <w:rPr>
          <w:spacing w:val="-9"/>
        </w:rPr>
        <w:t>的新基建建设、完善产品体系； 另一方面，借助教育子公司、合</w:t>
      </w:r>
      <w:r>
        <w:rPr>
          <w:spacing w:val="-3"/>
        </w:rPr>
        <w:t>作伙伴提高市场拓展能力和产品专业能力。</w:t>
      </w:r>
    </w:p>
    <w:p>
      <w:pPr>
        <w:pStyle w:val="BodyText"/>
        <w:ind w:left="636"/>
        <w:spacing w:before="271" w:line="219" w:lineRule="auto"/>
        <w:outlineLvl w:val="3"/>
        <w:rPr/>
      </w:pPr>
      <w:r>
        <w:rPr>
          <w:b/>
          <w:bCs/>
          <w:spacing w:val="-3"/>
        </w:rPr>
        <w:t>（一）优化升级数字基础设施，提供高质量多形态产品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7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．积极推进教育新基建建设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26" w:firstLine="598"/>
        <w:spacing w:before="98" w:line="332" w:lineRule="auto"/>
        <w:jc w:val="both"/>
        <w:rPr/>
      </w:pPr>
      <w:r>
        <w:rPr>
          <w:spacing w:val="-2"/>
        </w:rPr>
        <w:t>在全国各级各类学校互联网接入率已达 </w:t>
      </w:r>
      <w:r>
        <w:rPr>
          <w:rFonts w:ascii="Times New Roman" w:hAnsi="Times New Roman" w:eastAsia="Times New Roman" w:cs="Times New Roman"/>
          <w:spacing w:val="-2"/>
        </w:rPr>
        <w:t>100%</w:t>
      </w:r>
      <w:r>
        <w:rPr>
          <w:spacing w:val="-2"/>
        </w:rPr>
        <w:t>基础上，积极</w:t>
      </w:r>
      <w:r>
        <w:rPr>
          <w:spacing w:val="-1"/>
        </w:rPr>
        <w:t>布局教育专网建设，推动千兆</w:t>
      </w:r>
      <w:r>
        <w:rPr>
          <w:rFonts w:ascii="Times New Roman" w:hAnsi="Times New Roman" w:eastAsia="Times New Roman" w:cs="Times New Roman"/>
          <w:spacing w:val="-1"/>
        </w:rPr>
        <w:t>/</w:t>
      </w:r>
      <w:r>
        <w:rPr>
          <w:spacing w:val="-1"/>
        </w:rPr>
        <w:t>百兆光网、</w:t>
      </w:r>
      <w:r>
        <w:rPr>
          <w:rFonts w:ascii="Times New Roman" w:hAnsi="Times New Roman" w:eastAsia="Times New Roman" w:cs="Times New Roman"/>
          <w:spacing w:val="-1"/>
        </w:rPr>
        <w:t>5G </w:t>
      </w:r>
      <w:r>
        <w:rPr>
          <w:spacing w:val="-1"/>
        </w:rPr>
        <w:t>等网络技术落地应</w:t>
      </w:r>
      <w:r>
        <w:rPr>
          <w:spacing w:val="-4"/>
        </w:rPr>
        <w:t>用；在有条件的学校加快建设智能交互教室、虚拟仿真实验室等</w:t>
      </w:r>
      <w:r>
        <w:rPr>
          <w:spacing w:val="-4"/>
        </w:rPr>
        <w:t>教学环境；积极参与义务教育学校标准化建设、职业学校区域性</w:t>
      </w:r>
      <w:r>
        <w:rPr>
          <w:spacing w:val="-5"/>
        </w:rPr>
        <w:t>信息化标杆学校建设等。在新基建建设过程中尤其要重</w:t>
      </w:r>
      <w:r>
        <w:rPr>
          <w:spacing w:val="-6"/>
        </w:rPr>
        <w:t>视云业务、</w:t>
      </w:r>
      <w:r>
        <w:rPr>
          <w:spacing w:val="-3"/>
        </w:rPr>
        <w:t>数据中心的推广与应用，强调云网融合、智能运营。</w:t>
      </w:r>
    </w:p>
    <w:p>
      <w:pPr>
        <w:pStyle w:val="BodyText"/>
        <w:ind w:left="624"/>
        <w:spacing w:before="28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．提升多层次产品体系能力建设，提供多场景应用产品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26" w:right="147" w:firstLine="604"/>
        <w:spacing w:before="97" w:line="336" w:lineRule="auto"/>
        <w:jc w:val="both"/>
        <w:rPr/>
      </w:pPr>
      <w:r>
        <w:rPr>
          <w:spacing w:val="-1"/>
        </w:rPr>
        <w:t>首先，强化存量产品的迭代升级能力。聚焦教育主管部门，</w:t>
      </w:r>
      <w:r>
        <w:rPr/>
        <w:t>高校、中小学等细分客户差异化需求，深入应用场景，从平台、</w:t>
      </w:r>
      <w:r>
        <w:rPr>
          <w:spacing w:val="-9"/>
        </w:rPr>
        <w:t>产品、应用等维度进行优化。其次， 完善产品体系。集团层面做</w:t>
      </w:r>
      <w:r>
        <w:rPr>
          <w:spacing w:val="-9"/>
        </w:rPr>
        <w:t>好产品建设、重点应用能力的规划集约， 同时把握好自主掌控与</w:t>
      </w:r>
      <w:r>
        <w:rPr>
          <w:spacing w:val="1"/>
        </w:rPr>
        <w:t>生态合作之间的关系，构建集团级</w:t>
      </w:r>
      <w:r>
        <w:rPr>
          <w:rFonts w:ascii="Times New Roman" w:hAnsi="Times New Roman" w:eastAsia="Times New Roman" w:cs="Times New Roman"/>
          <w:spacing w:val="1"/>
        </w:rPr>
        <w:t>/</w:t>
      </w:r>
      <w:r>
        <w:rPr>
          <w:spacing w:val="1"/>
        </w:rPr>
        <w:t>省级、标品</w:t>
      </w:r>
      <w:r>
        <w:rPr>
          <w:rFonts w:ascii="Times New Roman" w:hAnsi="Times New Roman" w:eastAsia="Times New Roman" w:cs="Times New Roman"/>
          <w:spacing w:val="1"/>
        </w:rPr>
        <w:t>/</w:t>
      </w:r>
      <w:r>
        <w:rPr>
          <w:spacing w:val="1"/>
        </w:rPr>
        <w:t>定制类多层</w:t>
      </w:r>
      <w:r>
        <w:rPr/>
        <w:t>级产</w:t>
      </w:r>
      <w:r>
        <w:rPr>
          <w:spacing w:val="-11"/>
        </w:rPr>
        <w:t>品体系（见表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2</w:t>
      </w:r>
      <w:r>
        <w:rPr>
          <w:spacing w:val="-80"/>
        </w:rPr>
        <w:t>），</w:t>
      </w:r>
      <w:r>
        <w:rPr>
          <w:spacing w:val="-11"/>
        </w:rPr>
        <w:t>并保持一定的持续性。最后， 储备新产品，引</w:t>
      </w:r>
    </w:p>
    <w:p>
      <w:pPr>
        <w:spacing w:line="336" w:lineRule="auto"/>
        <w:sectPr>
          <w:pgSz w:w="11907" w:h="16839"/>
          <w:pgMar w:top="1431" w:right="1542" w:bottom="0" w:left="1785" w:header="0" w:footer="0" w:gutter="0"/>
        </w:sectPr>
        <w:rPr/>
      </w:pPr>
    </w:p>
    <w:p>
      <w:pPr>
        <w:pStyle w:val="BodyText"/>
        <w:ind w:left="25" w:right="110" w:firstLine="9"/>
        <w:spacing w:before="184" w:line="333" w:lineRule="auto"/>
        <w:jc w:val="both"/>
        <w:rPr/>
      </w:pPr>
      <w:r>
        <w:rPr>
          <w:spacing w:val="-4"/>
        </w:rPr>
        <w:t>导教育新应用。发力高效智能计算、云边融合的连接部署</w:t>
      </w:r>
      <w:r>
        <w:rPr>
          <w:spacing w:val="-5"/>
        </w:rPr>
        <w:t>、融合</w:t>
      </w:r>
      <w:r>
        <w:rPr>
          <w:spacing w:val="-1"/>
        </w:rPr>
        <w:t>新技术开拓丰富的场景化解决方案；利用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AIGC</w:t>
      </w:r>
      <w:r>
        <w:rPr>
          <w:spacing w:val="-1"/>
        </w:rPr>
        <w:t>、数字人、智能</w:t>
      </w:r>
      <w:r>
        <w:rPr>
          <w:spacing w:val="-4"/>
        </w:rPr>
        <w:t>视觉等新技术，开发与部署教育行业大模型，抓住人工智能引领</w:t>
      </w:r>
      <w:r>
        <w:rPr>
          <w:spacing w:val="-4"/>
        </w:rPr>
        <w:t>下的行业应用先机，卡位新赛道。</w:t>
      </w:r>
    </w:p>
    <w:p>
      <w:pPr>
        <w:ind w:left="2710"/>
        <w:spacing w:before="162" w:line="229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表</w:t>
      </w:r>
      <w:r>
        <w:rPr>
          <w:rFonts w:ascii="KaiTi" w:hAnsi="KaiTi" w:eastAsia="KaiTi" w:cs="KaiTi"/>
          <w:sz w:val="30"/>
          <w:szCs w:val="30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</w:t>
      </w:r>
      <w:r>
        <w:rPr>
          <w:rFonts w:ascii="Times New Roman" w:hAnsi="Times New Roman" w:eastAsia="Times New Roman" w:cs="Times New Roman"/>
          <w:sz w:val="30"/>
          <w:szCs w:val="30"/>
          <w:spacing w:val="6"/>
        </w:rPr>
        <w:t xml:space="preserve">    </w:t>
      </w:r>
      <w:r>
        <w:rPr>
          <w:rFonts w:ascii="KaiTi" w:hAnsi="KaiTi" w:eastAsia="KaiTi" w:cs="KaiTi"/>
          <w:sz w:val="30"/>
          <w:szCs w:val="30"/>
          <w:spacing w:val="-4"/>
        </w:rPr>
        <w:t>多层级产品体系</w:t>
      </w:r>
    </w:p>
    <w:p>
      <w:pPr>
        <w:spacing w:line="230" w:lineRule="exact"/>
        <w:rPr/>
      </w:pPr>
      <w:r/>
    </w:p>
    <w:tbl>
      <w:tblPr>
        <w:tblStyle w:val="TableNormal"/>
        <w:tblW w:w="8102" w:type="dxa"/>
        <w:tblInd w:w="11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50"/>
        <w:gridCol w:w="6952"/>
      </w:tblGrid>
      <w:tr>
        <w:trPr>
          <w:trHeight w:val="302" w:hRule="atLeast"/>
        </w:trPr>
        <w:tc>
          <w:tcPr>
            <w:tcW w:w="1150" w:type="dxa"/>
            <w:vAlign w:val="top"/>
          </w:tcPr>
          <w:p>
            <w:pPr>
              <w:ind w:left="339"/>
              <w:spacing w:before="46" w:line="189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b/>
                <w:bCs/>
                <w:spacing w:val="-3"/>
              </w:rPr>
              <w:t>类别</w:t>
            </w:r>
          </w:p>
        </w:tc>
        <w:tc>
          <w:tcPr>
            <w:tcW w:w="6952" w:type="dxa"/>
            <w:vAlign w:val="top"/>
          </w:tcPr>
          <w:p>
            <w:pPr>
              <w:ind w:left="3233"/>
              <w:spacing w:before="46" w:line="189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b/>
                <w:bCs/>
                <w:spacing w:val="-3"/>
              </w:rPr>
              <w:t>产品</w:t>
            </w:r>
          </w:p>
        </w:tc>
      </w:tr>
      <w:tr>
        <w:trPr>
          <w:trHeight w:val="296" w:hRule="atLeast"/>
        </w:trPr>
        <w:tc>
          <w:tcPr>
            <w:tcW w:w="1150" w:type="dxa"/>
            <w:vAlign w:val="top"/>
          </w:tcPr>
          <w:p>
            <w:pPr>
              <w:ind w:left="227"/>
              <w:spacing w:before="42" w:line="187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2"/>
              </w:rPr>
              <w:t>集团级</w:t>
            </w:r>
          </w:p>
        </w:tc>
        <w:tc>
          <w:tcPr>
            <w:tcW w:w="6952" w:type="dxa"/>
            <w:vAlign w:val="top"/>
          </w:tcPr>
          <w:p>
            <w:pPr>
              <w:ind w:left="820"/>
              <w:spacing w:before="42" w:line="187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2"/>
              </w:rPr>
              <w:t>行业云平台、智慧职教平台、智慧校园管理</w:t>
            </w:r>
            <w:r>
              <w:rPr>
                <w:rFonts w:ascii="FangSong" w:hAnsi="FangSong" w:eastAsia="FangSong" w:cs="FangSong"/>
                <w:sz w:val="24"/>
                <w:szCs w:val="24"/>
                <w:spacing w:val="1"/>
              </w:rPr>
              <w:t>平台等</w:t>
            </w:r>
          </w:p>
        </w:tc>
      </w:tr>
      <w:tr>
        <w:trPr>
          <w:trHeight w:val="296" w:hRule="atLeast"/>
        </w:trPr>
        <w:tc>
          <w:tcPr>
            <w:tcW w:w="1150" w:type="dxa"/>
            <w:vAlign w:val="top"/>
          </w:tcPr>
          <w:p>
            <w:pPr>
              <w:ind w:left="349"/>
              <w:spacing w:before="44" w:line="186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3"/>
              </w:rPr>
              <w:t>省级</w:t>
            </w:r>
          </w:p>
        </w:tc>
        <w:tc>
          <w:tcPr>
            <w:tcW w:w="6952" w:type="dxa"/>
            <w:vAlign w:val="top"/>
          </w:tcPr>
          <w:p>
            <w:pPr>
              <w:ind w:left="1789"/>
              <w:spacing w:before="44" w:line="186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1"/>
              </w:rPr>
              <w:t>省级智慧教育、智慧教育治理等</w:t>
            </w:r>
          </w:p>
        </w:tc>
      </w:tr>
      <w:tr>
        <w:trPr>
          <w:trHeight w:val="296" w:hRule="atLeast"/>
        </w:trPr>
        <w:tc>
          <w:tcPr>
            <w:tcW w:w="1150" w:type="dxa"/>
            <w:vAlign w:val="top"/>
          </w:tcPr>
          <w:p>
            <w:pPr>
              <w:ind w:left="226"/>
              <w:spacing w:before="46" w:line="184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2"/>
              </w:rPr>
              <w:t>标品类</w:t>
            </w:r>
          </w:p>
        </w:tc>
        <w:tc>
          <w:tcPr>
            <w:tcW w:w="6952" w:type="dxa"/>
            <w:vAlign w:val="top"/>
          </w:tcPr>
          <w:p>
            <w:pPr>
              <w:ind w:left="1424"/>
              <w:spacing w:before="46" w:line="184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1"/>
              </w:rPr>
              <w:t>云标品系列、视频系列、物联网系列等</w:t>
            </w:r>
          </w:p>
        </w:tc>
      </w:tr>
      <w:tr>
        <w:trPr>
          <w:trHeight w:val="302" w:hRule="atLeast"/>
        </w:trPr>
        <w:tc>
          <w:tcPr>
            <w:tcW w:w="1150" w:type="dxa"/>
            <w:vAlign w:val="top"/>
          </w:tcPr>
          <w:p>
            <w:pPr>
              <w:ind w:left="231"/>
              <w:spacing w:before="48" w:line="187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3"/>
              </w:rPr>
              <w:t>定制类</w:t>
            </w:r>
          </w:p>
        </w:tc>
        <w:tc>
          <w:tcPr>
            <w:tcW w:w="6952" w:type="dxa"/>
            <w:vAlign w:val="top"/>
          </w:tcPr>
          <w:p>
            <w:pPr>
              <w:ind w:left="3000"/>
              <w:spacing w:before="48" w:line="187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1"/>
              </w:rPr>
              <w:t>按需定制</w:t>
            </w:r>
          </w:p>
        </w:tc>
      </w:tr>
    </w:tbl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31" w:right="109" w:firstLine="605"/>
        <w:spacing w:before="97" w:line="276" w:lineRule="auto"/>
        <w:outlineLvl w:val="3"/>
        <w:rPr/>
      </w:pPr>
      <w:r>
        <w:rPr>
          <w:b/>
          <w:bCs/>
          <w:spacing w:val="-8"/>
        </w:rPr>
        <w:t>（二）加强翼智教育科技公司服务水平，增强属地化服务能</w:t>
      </w:r>
      <w:r>
        <w:rPr>
          <w:b/>
          <w:bCs/>
          <w:spacing w:val="-4"/>
        </w:rPr>
        <w:t>力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25" w:right="110" w:firstLine="658"/>
        <w:spacing w:before="98" w:line="334" w:lineRule="auto"/>
        <w:jc w:val="both"/>
        <w:rPr/>
      </w:pPr>
      <w:r>
        <w:rPr>
          <w:spacing w:val="-7"/>
        </w:rPr>
        <w:t>目前翼智教育科技公司的能力还未辐射至省。应加快推进速</w:t>
      </w:r>
      <w:r>
        <w:rPr>
          <w:spacing w:val="-9"/>
        </w:rPr>
        <w:t>度，快速形成具有竞争优势的教育行业产品体系、专业团队； 提</w:t>
      </w:r>
      <w:r>
        <w:rPr>
          <w:spacing w:val="-8"/>
        </w:rPr>
        <w:t>升市场化运营能力、属地化的服务支撑能力；</w:t>
      </w:r>
      <w:r>
        <w:rPr>
          <w:spacing w:val="-34"/>
        </w:rPr>
        <w:t xml:space="preserve"> </w:t>
      </w:r>
      <w:r>
        <w:rPr>
          <w:spacing w:val="-8"/>
        </w:rPr>
        <w:t>理顺与各级电信公</w:t>
      </w:r>
      <w:r>
        <w:rPr>
          <w:spacing w:val="-9"/>
        </w:rPr>
        <w:t>司、合作伙伴的关系， 赋能客户和产业链上下游合作伙伴，共同</w:t>
      </w:r>
      <w:r>
        <w:rPr>
          <w:spacing w:val="-5"/>
        </w:rPr>
        <w:t>取得业务增长与突破。</w:t>
      </w:r>
    </w:p>
    <w:p>
      <w:pPr>
        <w:pStyle w:val="BodyText"/>
        <w:ind w:left="28" w:right="110" w:firstLine="608"/>
        <w:spacing w:before="270" w:line="277" w:lineRule="auto"/>
        <w:outlineLvl w:val="3"/>
        <w:rPr/>
      </w:pPr>
      <w:r>
        <w:rPr>
          <w:b/>
          <w:bCs/>
          <w:spacing w:val="-8"/>
        </w:rPr>
        <w:t>（三）强化大生态合作，联合外部强生态打造教育数字化应</w:t>
      </w:r>
      <w:r>
        <w:rPr>
          <w:b/>
          <w:bCs/>
          <w:spacing w:val="-8"/>
        </w:rPr>
        <w:t>用标杆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26" w:firstLine="628"/>
        <w:spacing w:before="98" w:line="333" w:lineRule="auto"/>
        <w:jc w:val="both"/>
        <w:rPr/>
      </w:pPr>
      <w:r>
        <w:rPr>
          <w:spacing w:val="-1"/>
        </w:rPr>
        <w:t>中国电信借助与学校、政府深度合作的良好基础以及网络、</w:t>
      </w:r>
      <w:r>
        <w:rPr/>
        <w:t>品牌、客户资源优势，与教育信息化厂商、院校开展多方合作，</w:t>
      </w:r>
      <w:r>
        <w:rPr>
          <w:spacing w:val="-11"/>
        </w:rPr>
        <w:t>助推建立总集模式，提供综合信息服务、细分场景打</w:t>
      </w:r>
      <w:r>
        <w:rPr>
          <w:spacing w:val="-12"/>
        </w:rPr>
        <w:t>造标杆案例，</w:t>
      </w:r>
      <w:r>
        <w:rPr>
          <w:spacing w:val="-2"/>
        </w:rPr>
        <w:t>逐步扩大品牌影响力，提升教育行业数字化的市</w:t>
      </w:r>
      <w:r>
        <w:rPr>
          <w:spacing w:val="-3"/>
        </w:rPr>
        <w:t>场份额。</w:t>
      </w:r>
    </w:p>
    <w:p>
      <w:pPr>
        <w:spacing w:line="333" w:lineRule="auto"/>
        <w:sectPr>
          <w:pgSz w:w="11907" w:h="16839"/>
          <w:pgMar w:top="1431" w:right="1689" w:bottom="0" w:left="1785" w:header="0" w:footer="0" w:gutter="0"/>
        </w:sectPr>
        <w:rPr/>
      </w:pPr>
    </w:p>
    <w:p>
      <w:pPr>
        <w:spacing w:line="338" w:lineRule="auto"/>
        <w:rPr>
          <w:rFonts w:ascii="Arial"/>
          <w:sz w:val="21"/>
        </w:rPr>
      </w:pPr>
      <w:r/>
    </w:p>
    <w:p>
      <w:pPr>
        <w:spacing w:line="338" w:lineRule="auto"/>
        <w:rPr>
          <w:rFonts w:ascii="Arial"/>
          <w:sz w:val="21"/>
        </w:rPr>
      </w:pPr>
      <w:r/>
    </w:p>
    <w:p>
      <w:pPr>
        <w:ind w:left="39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314" w:lineRule="auto"/>
        <w:rPr>
          <w:rFonts w:ascii="Arial"/>
          <w:sz w:val="21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197891</wp:posOffset>
            </wp:positionH>
            <wp:positionV relativeFrom="paragraph">
              <wp:posOffset>126830</wp:posOffset>
            </wp:positionV>
            <wp:extent cx="835151" cy="4447032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5151" cy="4447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78"/>
        <w:spacing w:before="91" w:line="21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张秀凤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【18918588820】</w:t>
      </w:r>
    </w:p>
    <w:p>
      <w:pPr>
        <w:ind w:left="2257" w:right="203" w:firstLine="284"/>
        <w:spacing w:before="115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硕士、高级工程师。具有多年通信行业、零售</w:t>
      </w:r>
      <w:r>
        <w:rPr>
          <w:rFonts w:ascii="KaiTi" w:hAnsi="KaiTi" w:eastAsia="KaiTi" w:cs="KaiTi"/>
          <w:sz w:val="28"/>
          <w:szCs w:val="28"/>
          <w:spacing w:val="-1"/>
        </w:rPr>
        <w:t>行业研究经验。近年来主要从事数字政府、行业</w:t>
      </w:r>
      <w:r>
        <w:rPr>
          <w:rFonts w:ascii="KaiTi" w:hAnsi="KaiTi" w:eastAsia="KaiTi" w:cs="KaiTi"/>
          <w:sz w:val="28"/>
          <w:szCs w:val="28"/>
          <w:spacing w:val="-1"/>
        </w:rPr>
        <w:t>数字化转型等领域的研究。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ind w:left="2278"/>
        <w:spacing w:before="91" w:line="21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9"/>
        </w:rPr>
        <w:t>张云霞</w:t>
      </w:r>
    </w:p>
    <w:p>
      <w:pPr>
        <w:ind w:left="2269" w:right="203" w:firstLine="277"/>
        <w:spacing w:before="116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主要从事数字城市、数字政府、智慧城市、数</w:t>
      </w:r>
      <w:r>
        <w:rPr>
          <w:rFonts w:ascii="KaiTi" w:hAnsi="KaiTi" w:eastAsia="KaiTi" w:cs="KaiTi"/>
          <w:sz w:val="28"/>
          <w:szCs w:val="28"/>
          <w:spacing w:val="-2"/>
        </w:rPr>
        <w:t>字化转型、物联网等领域的研究。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2269"/>
        <w:spacing w:before="91" w:line="21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7"/>
        </w:rPr>
        <w:t>邓丽华</w:t>
      </w:r>
    </w:p>
    <w:p>
      <w:pPr>
        <w:ind w:left="2255" w:right="203" w:firstLine="296"/>
        <w:spacing w:before="119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长期从事价值评估、行业洞察等，近年来专注</w:t>
      </w:r>
      <w:r>
        <w:rPr>
          <w:rFonts w:ascii="KaiTi" w:hAnsi="KaiTi" w:eastAsia="KaiTi" w:cs="KaiTi"/>
          <w:sz w:val="28"/>
          <w:szCs w:val="28"/>
          <w:spacing w:val="-1"/>
        </w:rPr>
        <w:t>产业数字化、数字政府领域。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/>
    </w:p>
    <w:p>
      <w:pPr>
        <w:ind w:left="2258"/>
        <w:spacing w:before="91" w:line="21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5"/>
        </w:rPr>
        <w:t>周晓凌</w:t>
      </w:r>
    </w:p>
    <w:p>
      <w:pPr>
        <w:ind w:left="2260" w:right="203" w:firstLine="306"/>
        <w:spacing w:before="118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高级工程师。近年来主要从事电信产品客户体</w:t>
      </w:r>
      <w:r>
        <w:rPr>
          <w:rFonts w:ascii="KaiTi" w:hAnsi="KaiTi" w:eastAsia="KaiTi" w:cs="KaiTi"/>
          <w:sz w:val="28"/>
          <w:szCs w:val="28"/>
          <w:spacing w:val="-1"/>
        </w:rPr>
        <w:t>验、行业洞察等领域的研究。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jpeg"/><Relationship Id="rId4" Type="http://schemas.openxmlformats.org/officeDocument/2006/relationships/image" Target="media/image4.jpeg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0" Type="http://schemas.openxmlformats.org/officeDocument/2006/relationships/fontTable" Target="fontTable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2023-12-13T17:06:23Z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2025-11-04T15:54:44</vt:filetime>
  </property>
</Properties>
</file>