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57F3" w14:textId="77777777" w:rsidR="00054A2B" w:rsidRDefault="00000000">
      <w:pPr>
        <w:spacing w:after="0" w:line="240" w:lineRule="auto"/>
        <w:jc w:val="center"/>
        <w:rPr>
          <w:rFonts w:ascii="仿宋_GB2312" w:eastAsia="仿宋_GB2312" w:hint="eastAsia"/>
          <w:b/>
          <w:bCs/>
          <w:sz w:val="32"/>
          <w:szCs w:val="36"/>
        </w:rPr>
      </w:pPr>
      <w:proofErr w:type="gramStart"/>
      <w:r>
        <w:rPr>
          <w:rFonts w:ascii="方正小标宋简体" w:eastAsia="方正小标宋简体" w:hAnsi="仿宋" w:cs="Times New Roman" w:hint="eastAsia"/>
          <w:sz w:val="44"/>
          <w:szCs w:val="44"/>
          <w14:ligatures w14:val="none"/>
        </w:rPr>
        <w:t>数博会</w:t>
      </w:r>
      <w:proofErr w:type="gramEnd"/>
      <w:r>
        <w:rPr>
          <w:rFonts w:ascii="方正小标宋简体" w:eastAsia="方正小标宋简体" w:hAnsi="仿宋" w:cs="Times New Roman" w:hint="eastAsia"/>
          <w:sz w:val="44"/>
          <w:szCs w:val="44"/>
          <w14:ligatures w14:val="none"/>
        </w:rPr>
        <w:t>观察之二：高质量数据集建设进入“生态及技术”驱动的新阶段</w:t>
      </w:r>
    </w:p>
    <w:p w14:paraId="5EA2F4D8" w14:textId="31854120" w:rsidR="00054A2B" w:rsidRPr="007144DC" w:rsidRDefault="007144DC" w:rsidP="007144DC">
      <w:pPr>
        <w:spacing w:after="0" w:line="240" w:lineRule="auto"/>
        <w:ind w:firstLineChars="200" w:firstLine="640"/>
        <w:jc w:val="both"/>
        <w:rPr>
          <w:rFonts w:ascii="仿宋_GB2312" w:eastAsia="仿宋_GB2312" w:hAnsi="仿宋_GB2312" w:cs="仿宋_GB2312" w:hint="eastAsia"/>
          <w:color w:val="000000"/>
          <w:sz w:val="32"/>
        </w:rPr>
      </w:pPr>
      <w:r w:rsidRPr="007144DC">
        <w:rPr>
          <w:rFonts w:ascii="仿宋_GB2312" w:eastAsia="仿宋_GB2312" w:hAnsi="仿宋_GB2312" w:cs="仿宋_GB2312" w:hint="eastAsia"/>
          <w:color w:val="000000"/>
          <w:sz w:val="32"/>
        </w:rPr>
        <w:t>8月30日，2025中国国际大数据产业博览会在贵州贵阳落下帷幕。大会热度创新高，可见高质量数据</w:t>
      </w:r>
      <w:proofErr w:type="gramStart"/>
      <w:r w:rsidRPr="007144DC">
        <w:rPr>
          <w:rFonts w:ascii="仿宋_GB2312" w:eastAsia="仿宋_GB2312" w:hAnsi="仿宋_GB2312" w:cs="仿宋_GB2312" w:hint="eastAsia"/>
          <w:color w:val="000000"/>
          <w:sz w:val="32"/>
        </w:rPr>
        <w:t>集发展</w:t>
      </w:r>
      <w:proofErr w:type="gramEnd"/>
      <w:r w:rsidRPr="007144DC">
        <w:rPr>
          <w:rFonts w:ascii="仿宋_GB2312" w:eastAsia="仿宋_GB2312" w:hAnsi="仿宋_GB2312" w:cs="仿宋_GB2312" w:hint="eastAsia"/>
          <w:color w:val="000000"/>
          <w:sz w:val="32"/>
        </w:rPr>
        <w:t>新趋势：高质量数据集已成为AI产业发展重要驱动力，当前供给成效初步显现，高质量数据集建设已进入“生态及技术”驱动的新阶段</w:t>
      </w:r>
      <w:r>
        <w:rPr>
          <w:rFonts w:ascii="仿宋_GB2312" w:eastAsia="仿宋_GB2312" w:hint="eastAsia"/>
          <w:sz w:val="32"/>
          <w:szCs w:val="36"/>
        </w:rPr>
        <w:t>。</w:t>
      </w:r>
    </w:p>
    <w:p w14:paraId="2C97EE11" w14:textId="77777777" w:rsidR="00054A2B" w:rsidRDefault="00000000">
      <w:pPr>
        <w:spacing w:after="0" w:line="240" w:lineRule="auto"/>
        <w:ind w:firstLineChars="200" w:firstLine="643"/>
        <w:jc w:val="both"/>
        <w:rPr>
          <w:rFonts w:hint="eastAsia"/>
        </w:rPr>
      </w:pPr>
      <w:r>
        <w:rPr>
          <w:rFonts w:ascii="黑体" w:eastAsia="黑体" w:hAnsi="黑体" w:cs="黑体"/>
          <w:b/>
          <w:color w:val="000000"/>
          <w:sz w:val="32"/>
        </w:rPr>
        <w:t>一、战略定位升级：高质量数据集成为AI产业发展主要驱动力</w:t>
      </w:r>
    </w:p>
    <w:p w14:paraId="5B94D5B8" w14:textId="36BCBE41" w:rsidR="00054A2B" w:rsidRDefault="00000000">
      <w:pPr>
        <w:spacing w:after="0" w:line="240" w:lineRule="auto"/>
        <w:ind w:firstLineChars="200" w:firstLine="643"/>
        <w:jc w:val="both"/>
        <w:rPr>
          <w:rFonts w:hint="eastAsia"/>
        </w:rPr>
      </w:pPr>
      <w:r>
        <w:rPr>
          <w:rFonts w:ascii="仿宋_GB2312" w:eastAsia="仿宋_GB2312" w:hAnsi="仿宋_GB2312" w:cs="仿宋_GB2312"/>
          <w:b/>
          <w:color w:val="000000"/>
          <w:sz w:val="32"/>
        </w:rPr>
        <w:t>一是大模型竞争从</w:t>
      </w:r>
      <w:proofErr w:type="gramStart"/>
      <w:r>
        <w:rPr>
          <w:rFonts w:ascii="仿宋_GB2312" w:eastAsia="仿宋_GB2312" w:hAnsi="仿宋_GB2312" w:cs="仿宋_GB2312"/>
          <w:b/>
          <w:color w:val="000000"/>
          <w:sz w:val="32"/>
        </w:rPr>
        <w:t>算法算力转向</w:t>
      </w:r>
      <w:proofErr w:type="gramEnd"/>
      <w:r>
        <w:rPr>
          <w:rFonts w:ascii="仿宋_GB2312" w:eastAsia="仿宋_GB2312" w:hAnsi="仿宋_GB2312" w:cs="仿宋_GB2312"/>
          <w:b/>
          <w:color w:val="000000"/>
          <w:sz w:val="32"/>
        </w:rPr>
        <w:t>数据。</w:t>
      </w:r>
      <w:r>
        <w:rPr>
          <w:rFonts w:ascii="仿宋_GB2312" w:eastAsia="仿宋_GB2312" w:hAnsi="仿宋_GB2312" w:cs="仿宋_GB2312"/>
          <w:color w:val="000000"/>
          <w:sz w:val="32"/>
        </w:rPr>
        <w:t>国家数据局局长刘烈宏于大会期间表示，随着</w:t>
      </w:r>
      <w:r w:rsidR="00A361D0">
        <w:rPr>
          <w:rFonts w:ascii="仿宋_GB2312" w:eastAsia="仿宋_GB2312" w:hAnsi="仿宋_GB2312" w:cs="仿宋_GB2312" w:hint="eastAsia"/>
          <w:color w:val="000000"/>
          <w:sz w:val="32"/>
        </w:rPr>
        <w:t>AI</w:t>
      </w:r>
      <w:r>
        <w:rPr>
          <w:rFonts w:ascii="仿宋_GB2312" w:eastAsia="仿宋_GB2312" w:hAnsi="仿宋_GB2312" w:cs="仿宋_GB2312"/>
          <w:color w:val="000000"/>
          <w:sz w:val="32"/>
        </w:rPr>
        <w:t>的发展重心正从“以模型为中心”转向“以数据为中心”，高质量数据已成为</w:t>
      </w:r>
      <w:r w:rsidR="00A361D0">
        <w:rPr>
          <w:rFonts w:ascii="仿宋_GB2312" w:eastAsia="仿宋_GB2312" w:hAnsi="仿宋_GB2312" w:cs="仿宋_GB2312" w:hint="eastAsia"/>
          <w:color w:val="000000"/>
          <w:sz w:val="32"/>
        </w:rPr>
        <w:t>AI</w:t>
      </w:r>
      <w:r>
        <w:rPr>
          <w:rFonts w:ascii="仿宋_GB2312" w:eastAsia="仿宋_GB2312" w:hAnsi="仿宋_GB2312" w:cs="仿宋_GB2312"/>
          <w:color w:val="000000"/>
          <w:sz w:val="32"/>
        </w:rPr>
        <w:t>认识与理解世界的“教科书”，不仅决定着模型性能的上限，更是</w:t>
      </w:r>
      <w:r w:rsidR="00A361D0">
        <w:rPr>
          <w:rFonts w:ascii="仿宋_GB2312" w:eastAsia="仿宋_GB2312" w:hAnsi="仿宋_GB2312" w:cs="仿宋_GB2312" w:hint="eastAsia"/>
          <w:color w:val="000000"/>
          <w:sz w:val="32"/>
        </w:rPr>
        <w:t>AI</w:t>
      </w:r>
      <w:r>
        <w:rPr>
          <w:rFonts w:ascii="仿宋_GB2312" w:eastAsia="仿宋_GB2312" w:hAnsi="仿宋_GB2312" w:cs="仿宋_GB2312"/>
          <w:color w:val="000000"/>
          <w:sz w:val="32"/>
        </w:rPr>
        <w:t>行业落地应用的关键。高质量数据集建设已被明确纳入我国AI发展的战略规划及顶层设计，体现在8月国务院印发</w:t>
      </w:r>
      <w:r w:rsidR="00A361D0">
        <w:rPr>
          <w:rFonts w:ascii="仿宋_GB2312" w:eastAsia="仿宋_GB2312" w:hAnsi="仿宋_GB2312" w:cs="仿宋_GB2312" w:hint="eastAsia"/>
          <w:color w:val="000000"/>
          <w:sz w:val="32"/>
        </w:rPr>
        <w:t>的</w:t>
      </w:r>
      <w:r>
        <w:rPr>
          <w:rFonts w:ascii="仿宋_GB2312" w:eastAsia="仿宋_GB2312" w:hAnsi="仿宋_GB2312" w:cs="仿宋_GB2312"/>
          <w:color w:val="000000"/>
          <w:sz w:val="32"/>
        </w:rPr>
        <w:t>《关于深入实施“人工智能+”行动的意见》等相关政策及</w:t>
      </w:r>
      <w:proofErr w:type="gramStart"/>
      <w:r>
        <w:rPr>
          <w:rFonts w:ascii="仿宋_GB2312" w:eastAsia="仿宋_GB2312" w:hAnsi="仿宋_GB2312" w:cs="仿宋_GB2312"/>
          <w:color w:val="000000"/>
          <w:sz w:val="32"/>
        </w:rPr>
        <w:t>本大会</w:t>
      </w:r>
      <w:proofErr w:type="gramEnd"/>
      <w:r>
        <w:rPr>
          <w:rFonts w:ascii="仿宋_GB2312" w:eastAsia="仿宋_GB2312" w:hAnsi="仿宋_GB2312" w:cs="仿宋_GB2312"/>
          <w:color w:val="000000"/>
          <w:sz w:val="32"/>
        </w:rPr>
        <w:t>启动的高质量数据集建设先行先试工作等专项行动中。</w:t>
      </w:r>
    </w:p>
    <w:p w14:paraId="77D7E1FC" w14:textId="2901C11D" w:rsidR="00054A2B" w:rsidRDefault="00000000">
      <w:pPr>
        <w:spacing w:after="0" w:line="240" w:lineRule="auto"/>
        <w:ind w:firstLineChars="200" w:firstLine="643"/>
        <w:jc w:val="both"/>
        <w:rPr>
          <w:rFonts w:hint="eastAsia"/>
        </w:rPr>
      </w:pPr>
      <w:r>
        <w:rPr>
          <w:rFonts w:ascii="仿宋_GB2312" w:eastAsia="仿宋_GB2312" w:hAnsi="仿宋_GB2312" w:cs="仿宋_GB2312"/>
          <w:b/>
          <w:color w:val="000000"/>
          <w:sz w:val="32"/>
        </w:rPr>
        <w:t>二是高质量数据集从支撑应用到驱动智能。</w:t>
      </w:r>
      <w:r>
        <w:rPr>
          <w:rFonts w:ascii="仿宋_GB2312" w:eastAsia="仿宋_GB2312" w:hAnsi="仿宋_GB2312" w:cs="仿宋_GB2312"/>
          <w:color w:val="000000"/>
          <w:sz w:val="32"/>
        </w:rPr>
        <w:t>过去数据多服务于企业内的统计分析和决策支持，如今数据已成为模型演进、算法提升的核心驱动。如谷歌旗下DeepMind团队研发</w:t>
      </w:r>
      <w:r>
        <w:rPr>
          <w:rFonts w:ascii="仿宋_GB2312" w:eastAsia="仿宋_GB2312" w:hAnsi="仿宋_GB2312" w:cs="仿宋_GB2312"/>
          <w:color w:val="000000"/>
          <w:sz w:val="32"/>
        </w:rPr>
        <w:lastRenderedPageBreak/>
        <w:t>的AI工具AlphaFold2，</w:t>
      </w:r>
      <w:proofErr w:type="gramStart"/>
      <w:r>
        <w:rPr>
          <w:rFonts w:ascii="仿宋_GB2312" w:eastAsia="仿宋_GB2312" w:hAnsi="仿宋_GB2312" w:cs="仿宋_GB2312"/>
          <w:color w:val="000000"/>
          <w:sz w:val="32"/>
        </w:rPr>
        <w:t>基于</w:t>
      </w:r>
      <w:r>
        <w:rPr>
          <w:rFonts w:ascii="仿宋_GB2312" w:eastAsia="仿宋_GB2312" w:hAnsi="仿宋_GB2312" w:cs="仿宋_GB2312" w:hint="eastAsia"/>
          <w:color w:val="000000"/>
          <w:sz w:val="32"/>
        </w:rPr>
        <w:t>近</w:t>
      </w:r>
      <w:proofErr w:type="gramEnd"/>
      <w:r>
        <w:rPr>
          <w:rFonts w:ascii="仿宋_GB2312" w:eastAsia="仿宋_GB2312" w:hAnsi="仿宋_GB2312" w:cs="仿宋_GB2312"/>
          <w:color w:val="000000"/>
          <w:sz w:val="32"/>
        </w:rPr>
        <w:t>17万条实验解析的蛋白质结构及2亿条进化同源序列，将蛋白质预测精度提高到原子级RMSD&lt;1Å，相当于将数月实验缩短到数小时。国内领先数据企业也开始打造面向AI的数据全流程服务，如大会期间中科闻歌分享的DIOS平台，通过打通数据-模型-决策全链路，为AI大规模部署和产业化落地提供统一支撑。</w:t>
      </w:r>
    </w:p>
    <w:p w14:paraId="30058133" w14:textId="77777777" w:rsidR="00054A2B" w:rsidRDefault="00000000">
      <w:pPr>
        <w:spacing w:after="0" w:line="240" w:lineRule="auto"/>
        <w:ind w:firstLineChars="200" w:firstLine="643"/>
        <w:jc w:val="both"/>
        <w:rPr>
          <w:rFonts w:ascii="黑体" w:eastAsia="黑体" w:hAnsi="黑体" w:cs="黑体" w:hint="eastAsia"/>
          <w:b/>
          <w:color w:val="000000"/>
          <w:sz w:val="32"/>
        </w:rPr>
      </w:pPr>
      <w:r>
        <w:rPr>
          <w:rFonts w:ascii="黑体" w:eastAsia="黑体" w:hAnsi="黑体" w:cs="黑体"/>
          <w:b/>
          <w:color w:val="000000"/>
          <w:sz w:val="32"/>
        </w:rPr>
        <w:t>二、供给能力提升：高质量数据集供给成效显现</w:t>
      </w:r>
    </w:p>
    <w:p w14:paraId="5E3A56B8" w14:textId="4A0A8B32" w:rsidR="00054A2B" w:rsidRDefault="00000000">
      <w:pPr>
        <w:spacing w:after="0" w:line="240" w:lineRule="auto"/>
        <w:ind w:firstLineChars="200" w:firstLine="643"/>
        <w:jc w:val="both"/>
        <w:rPr>
          <w:rFonts w:ascii="仿宋_GB2312" w:eastAsia="仿宋_GB2312" w:hint="eastAsia"/>
          <w:sz w:val="32"/>
          <w:szCs w:val="36"/>
        </w:rPr>
      </w:pPr>
      <w:r>
        <w:rPr>
          <w:rFonts w:ascii="仿宋_GB2312" w:eastAsia="仿宋_GB2312" w:hint="eastAsia"/>
          <w:b/>
          <w:bCs/>
          <w:sz w:val="32"/>
          <w:szCs w:val="36"/>
        </w:rPr>
        <w:t>一是高质量数据集供给加速。</w:t>
      </w:r>
      <w:r>
        <w:rPr>
          <w:rFonts w:ascii="仿宋_GB2312" w:eastAsia="仿宋_GB2312" w:hint="eastAsia"/>
          <w:sz w:val="32"/>
          <w:szCs w:val="36"/>
        </w:rPr>
        <w:t>截至6月底，全国各地已建设高质量</w:t>
      </w:r>
      <w:proofErr w:type="gramStart"/>
      <w:r>
        <w:rPr>
          <w:rFonts w:ascii="仿宋_GB2312" w:eastAsia="仿宋_GB2312" w:hint="eastAsia"/>
          <w:sz w:val="32"/>
          <w:szCs w:val="36"/>
        </w:rPr>
        <w:t>数据集超</w:t>
      </w:r>
      <w:proofErr w:type="gramEnd"/>
      <w:r>
        <w:rPr>
          <w:rFonts w:ascii="仿宋_GB2312" w:eastAsia="仿宋_GB2312" w:hint="eastAsia"/>
          <w:sz w:val="32"/>
          <w:szCs w:val="36"/>
        </w:rPr>
        <w:t>3.5万个，总体量超400PB；国内多数模型训练使用的中文数据占比达60-80%，中文高质量数据的开发供给能力显著增强。AI模型训练推动数据交易需求上升，高质量数据集累计交易额已达40亿元，交易机构挂牌3364个高质量数据集，总规模达246PB；高质量</w:t>
      </w:r>
      <w:proofErr w:type="gramStart"/>
      <w:r>
        <w:rPr>
          <w:rFonts w:ascii="仿宋_GB2312" w:eastAsia="仿宋_GB2312" w:hint="eastAsia"/>
          <w:sz w:val="32"/>
          <w:szCs w:val="36"/>
        </w:rPr>
        <w:t>数据集占交易</w:t>
      </w:r>
      <w:proofErr w:type="gramEnd"/>
      <w:r>
        <w:rPr>
          <w:rFonts w:ascii="仿宋_GB2312" w:eastAsia="仿宋_GB2312" w:hint="eastAsia"/>
          <w:sz w:val="32"/>
          <w:szCs w:val="36"/>
        </w:rPr>
        <w:t>总量的比例大幅提升，以北京数交所为例，该比例从去年10%左右提升到目前近80%。同时，成都、沈阳等7个数据标注基地正以数据标注带动数据集的生产和应用。</w:t>
      </w:r>
    </w:p>
    <w:p w14:paraId="7F1DBED6" w14:textId="77777777" w:rsidR="00054A2B" w:rsidRDefault="00000000">
      <w:pPr>
        <w:spacing w:after="0" w:line="240" w:lineRule="auto"/>
        <w:ind w:firstLineChars="200" w:firstLine="643"/>
        <w:jc w:val="both"/>
        <w:rPr>
          <w:rFonts w:ascii="仿宋_GB2312" w:eastAsia="仿宋_GB2312" w:hint="eastAsia"/>
          <w:sz w:val="32"/>
          <w:szCs w:val="36"/>
        </w:rPr>
      </w:pPr>
      <w:r>
        <w:rPr>
          <w:rFonts w:ascii="仿宋_GB2312" w:eastAsia="仿宋_GB2312" w:hint="eastAsia"/>
          <w:b/>
          <w:bCs/>
          <w:sz w:val="32"/>
          <w:szCs w:val="36"/>
        </w:rPr>
        <w:t>二是产业整体从追求量的增长到质的提高。</w:t>
      </w:r>
      <w:r>
        <w:rPr>
          <w:rFonts w:ascii="仿宋_GB2312" w:eastAsia="仿宋_GB2312" w:hint="eastAsia"/>
          <w:sz w:val="32"/>
          <w:szCs w:val="36"/>
        </w:rPr>
        <w:t>开展系统性、规范化的数据集质量评价，是判断数据</w:t>
      </w:r>
      <w:proofErr w:type="gramStart"/>
      <w:r>
        <w:rPr>
          <w:rFonts w:ascii="仿宋_GB2312" w:eastAsia="仿宋_GB2312" w:hint="eastAsia"/>
          <w:sz w:val="32"/>
          <w:szCs w:val="36"/>
        </w:rPr>
        <w:t>集是否</w:t>
      </w:r>
      <w:proofErr w:type="gramEnd"/>
      <w:r>
        <w:rPr>
          <w:rFonts w:ascii="仿宋_GB2312" w:eastAsia="仿宋_GB2312" w:hint="eastAsia"/>
          <w:sz w:val="32"/>
          <w:szCs w:val="36"/>
        </w:rPr>
        <w:t>达到“高质量”标准的基本路径，也是“以评促建”保障高质量数据集建设的重要手段。</w:t>
      </w:r>
      <w:proofErr w:type="gramStart"/>
      <w:r>
        <w:rPr>
          <w:rFonts w:ascii="仿宋_GB2312" w:eastAsia="仿宋_GB2312" w:hint="eastAsia"/>
          <w:sz w:val="32"/>
          <w:szCs w:val="36"/>
        </w:rPr>
        <w:t>数博会</w:t>
      </w:r>
      <w:proofErr w:type="gramEnd"/>
      <w:r>
        <w:rPr>
          <w:rFonts w:ascii="仿宋_GB2312" w:eastAsia="仿宋_GB2312" w:hint="eastAsia"/>
          <w:sz w:val="32"/>
          <w:szCs w:val="36"/>
        </w:rPr>
        <w:t>期间，</w:t>
      </w:r>
      <w:proofErr w:type="gramStart"/>
      <w:r>
        <w:rPr>
          <w:rFonts w:ascii="仿宋_GB2312" w:eastAsia="仿宋_GB2312" w:hint="eastAsia"/>
          <w:sz w:val="32"/>
          <w:szCs w:val="36"/>
        </w:rPr>
        <w:t>全国数标委</w:t>
      </w:r>
      <w:proofErr w:type="gramEnd"/>
      <w:r>
        <w:rPr>
          <w:rFonts w:ascii="仿宋_GB2312" w:eastAsia="仿宋_GB2312" w:hint="eastAsia"/>
          <w:sz w:val="32"/>
          <w:szCs w:val="36"/>
        </w:rPr>
        <w:t>发布技术文件《高质量数据集 质量评测规范》；国家数据局指导编制、同期发布的《高质量数据集建设指引》，提出要在该技术文件基础上，</w:t>
      </w:r>
      <w:r>
        <w:rPr>
          <w:rFonts w:ascii="仿宋_GB2312" w:eastAsia="仿宋_GB2312" w:hint="eastAsia"/>
          <w:sz w:val="32"/>
          <w:szCs w:val="36"/>
        </w:rPr>
        <w:lastRenderedPageBreak/>
        <w:t>构建涵盖说明文档、数据质量、模型应用三个维度的质量评价指标体系，并且明确了质量评价工作体系建设的构建原则、评估流程和监督机制。</w:t>
      </w:r>
    </w:p>
    <w:p w14:paraId="332F0A75" w14:textId="77777777" w:rsidR="00054A2B" w:rsidRDefault="00000000">
      <w:pPr>
        <w:spacing w:after="0" w:line="240" w:lineRule="auto"/>
        <w:ind w:firstLineChars="200" w:firstLine="643"/>
        <w:jc w:val="both"/>
        <w:rPr>
          <w:rFonts w:ascii="黑体" w:eastAsia="黑体" w:hAnsi="黑体" w:cs="黑体" w:hint="eastAsia"/>
          <w:b/>
          <w:color w:val="000000"/>
          <w:sz w:val="32"/>
        </w:rPr>
      </w:pPr>
      <w:r>
        <w:rPr>
          <w:rFonts w:ascii="黑体" w:eastAsia="黑体" w:hAnsi="黑体" w:cs="黑体"/>
          <w:b/>
          <w:color w:val="000000"/>
          <w:sz w:val="32"/>
        </w:rPr>
        <w:t>三、生态协同深化：供给模式逐步走向开放共创和多方共建</w:t>
      </w:r>
    </w:p>
    <w:p w14:paraId="2EB107F1" w14:textId="26A5D3A3" w:rsidR="00054A2B" w:rsidRDefault="00000000">
      <w:pPr>
        <w:spacing w:after="0" w:line="240" w:lineRule="auto"/>
        <w:ind w:firstLineChars="200" w:firstLine="643"/>
        <w:jc w:val="both"/>
        <w:rPr>
          <w:rFonts w:ascii="仿宋_GB2312" w:eastAsia="仿宋_GB2312" w:hint="eastAsia"/>
          <w:b/>
          <w:bCs/>
          <w:sz w:val="32"/>
          <w:szCs w:val="36"/>
        </w:rPr>
      </w:pPr>
      <w:r>
        <w:rPr>
          <w:rFonts w:ascii="仿宋_GB2312" w:eastAsia="仿宋_GB2312" w:hint="eastAsia"/>
          <w:b/>
          <w:bCs/>
          <w:sz w:val="32"/>
          <w:szCs w:val="36"/>
        </w:rPr>
        <w:t>一是行业主体成为数据集建设、开放重要力量。</w:t>
      </w:r>
      <w:r>
        <w:rPr>
          <w:rFonts w:ascii="仿宋_GB2312" w:eastAsia="仿宋_GB2312" w:hint="eastAsia"/>
          <w:bCs/>
          <w:sz w:val="32"/>
          <w:szCs w:val="36"/>
        </w:rPr>
        <w:t>政府推动、</w:t>
      </w:r>
      <w:proofErr w:type="gramStart"/>
      <w:r>
        <w:rPr>
          <w:rFonts w:ascii="仿宋_GB2312" w:eastAsia="仿宋_GB2312" w:hint="eastAsia"/>
          <w:bCs/>
          <w:sz w:val="32"/>
          <w:szCs w:val="36"/>
        </w:rPr>
        <w:t>央企带动</w:t>
      </w:r>
      <w:proofErr w:type="gramEnd"/>
      <w:r>
        <w:rPr>
          <w:rFonts w:ascii="仿宋_GB2312" w:eastAsia="仿宋_GB2312" w:hint="eastAsia"/>
          <w:bCs/>
          <w:sz w:val="32"/>
          <w:szCs w:val="36"/>
        </w:rPr>
        <w:t>构建重点行业高质量数据集。今年4月以来，</w:t>
      </w:r>
      <w:r>
        <w:rPr>
          <w:rFonts w:ascii="仿宋_GB2312" w:eastAsia="仿宋_GB2312" w:hint="eastAsia"/>
          <w:sz w:val="32"/>
          <w:szCs w:val="36"/>
        </w:rPr>
        <w:t>国资委、国家数据局先后发布</w:t>
      </w:r>
      <w:r>
        <w:rPr>
          <w:rFonts w:ascii="仿宋_GB2312" w:eastAsia="仿宋_GB2312" w:hAnsi="仿宋_GB2312" w:cs="仿宋_GB2312"/>
          <w:sz w:val="32"/>
        </w:rPr>
        <w:t>首批</w:t>
      </w:r>
      <w:proofErr w:type="gramStart"/>
      <w:r>
        <w:rPr>
          <w:rFonts w:ascii="仿宋_GB2312" w:eastAsia="仿宋_GB2312" w:hint="eastAsia"/>
          <w:sz w:val="32"/>
          <w:szCs w:val="36"/>
        </w:rPr>
        <w:t>30项央企</w:t>
      </w:r>
      <w:proofErr w:type="gramEnd"/>
      <w:r w:rsidR="00A361D0">
        <w:rPr>
          <w:rFonts w:ascii="仿宋_GB2312" w:eastAsia="仿宋_GB2312" w:hint="eastAsia"/>
          <w:sz w:val="32"/>
          <w:szCs w:val="36"/>
        </w:rPr>
        <w:t>AI</w:t>
      </w:r>
      <w:r>
        <w:rPr>
          <w:rFonts w:ascii="仿宋_GB2312" w:eastAsia="仿宋_GB2312" w:hint="eastAsia"/>
          <w:sz w:val="32"/>
          <w:szCs w:val="36"/>
        </w:rPr>
        <w:t>行业高质量数据</w:t>
      </w:r>
      <w:proofErr w:type="gramStart"/>
      <w:r>
        <w:rPr>
          <w:rFonts w:ascii="仿宋_GB2312" w:eastAsia="仿宋_GB2312" w:hint="eastAsia"/>
          <w:sz w:val="32"/>
          <w:szCs w:val="36"/>
        </w:rPr>
        <w:t>集优秀</w:t>
      </w:r>
      <w:proofErr w:type="gramEnd"/>
      <w:r>
        <w:rPr>
          <w:rFonts w:ascii="仿宋_GB2312" w:eastAsia="仿宋_GB2312" w:hint="eastAsia"/>
          <w:sz w:val="32"/>
          <w:szCs w:val="36"/>
        </w:rPr>
        <w:t>成果，遴选出104个高质量数据</w:t>
      </w:r>
      <w:proofErr w:type="gramStart"/>
      <w:r>
        <w:rPr>
          <w:rFonts w:ascii="仿宋_GB2312" w:eastAsia="仿宋_GB2312" w:hint="eastAsia"/>
          <w:sz w:val="32"/>
          <w:szCs w:val="36"/>
        </w:rPr>
        <w:t>集典型</w:t>
      </w:r>
      <w:proofErr w:type="gramEnd"/>
      <w:r>
        <w:rPr>
          <w:rFonts w:ascii="仿宋_GB2312" w:eastAsia="仿宋_GB2312" w:hint="eastAsia"/>
          <w:sz w:val="32"/>
          <w:szCs w:val="36"/>
        </w:rPr>
        <w:t>案例，集中在医疗卫生、工业制造等重点领域和低空经济、</w:t>
      </w:r>
      <w:proofErr w:type="gramStart"/>
      <w:r>
        <w:rPr>
          <w:rFonts w:ascii="仿宋_GB2312" w:eastAsia="仿宋_GB2312" w:hint="eastAsia"/>
          <w:sz w:val="32"/>
          <w:szCs w:val="36"/>
        </w:rPr>
        <w:t>具身智能</w:t>
      </w:r>
      <w:proofErr w:type="gramEnd"/>
      <w:r>
        <w:rPr>
          <w:rFonts w:ascii="仿宋_GB2312" w:eastAsia="仿宋_GB2312" w:hint="eastAsia"/>
          <w:sz w:val="32"/>
          <w:szCs w:val="36"/>
        </w:rPr>
        <w:t>等创新领域。大模型、</w:t>
      </w:r>
      <w:proofErr w:type="gramStart"/>
      <w:r>
        <w:rPr>
          <w:rFonts w:ascii="仿宋_GB2312" w:eastAsia="仿宋_GB2312" w:hint="eastAsia"/>
          <w:sz w:val="32"/>
          <w:szCs w:val="36"/>
        </w:rPr>
        <w:t>具身智能</w:t>
      </w:r>
      <w:proofErr w:type="gramEnd"/>
      <w:r>
        <w:rPr>
          <w:rFonts w:ascii="仿宋_GB2312" w:eastAsia="仿宋_GB2312" w:hint="eastAsia"/>
          <w:sz w:val="32"/>
          <w:szCs w:val="36"/>
        </w:rPr>
        <w:t>等科技企业积极贡献，上海人工智能实验室开源数据平台</w:t>
      </w:r>
      <w:proofErr w:type="spellStart"/>
      <w:r>
        <w:rPr>
          <w:rFonts w:ascii="仿宋_GB2312" w:eastAsia="仿宋_GB2312" w:hint="eastAsia"/>
          <w:sz w:val="32"/>
          <w:szCs w:val="36"/>
        </w:rPr>
        <w:t>OpenDataLab</w:t>
      </w:r>
      <w:proofErr w:type="spellEnd"/>
      <w:r>
        <w:rPr>
          <w:rFonts w:ascii="仿宋_GB2312" w:eastAsia="仿宋_GB2312" w:hint="eastAsia"/>
          <w:sz w:val="32"/>
          <w:szCs w:val="36"/>
        </w:rPr>
        <w:t>提供5500多个数据集，总数据量超80TB；银河通用</w:t>
      </w:r>
      <w:r>
        <w:rPr>
          <w:rFonts w:ascii="仿宋_GB2312" w:eastAsia="仿宋_GB2312" w:hAnsi="仿宋_GB2312" w:cs="仿宋_GB2312" w:hint="eastAsia"/>
          <w:sz w:val="32"/>
        </w:rPr>
        <w:t>开源</w:t>
      </w:r>
      <w:r>
        <w:rPr>
          <w:rFonts w:ascii="仿宋_GB2312" w:eastAsia="仿宋_GB2312" w:hint="eastAsia"/>
          <w:sz w:val="32"/>
          <w:szCs w:val="36"/>
        </w:rPr>
        <w:t>发布</w:t>
      </w:r>
      <w:proofErr w:type="gramStart"/>
      <w:r>
        <w:rPr>
          <w:rFonts w:ascii="仿宋_GB2312" w:eastAsia="仿宋_GB2312" w:hint="eastAsia"/>
          <w:sz w:val="32"/>
          <w:szCs w:val="36"/>
        </w:rPr>
        <w:t>当前</w:t>
      </w:r>
      <w:r>
        <w:rPr>
          <w:rFonts w:ascii="仿宋_GB2312" w:eastAsia="仿宋_GB2312" w:hAnsi="仿宋_GB2312" w:cs="仿宋_GB2312"/>
          <w:sz w:val="32"/>
        </w:rPr>
        <w:t>具身</w:t>
      </w:r>
      <w:proofErr w:type="gramEnd"/>
      <w:r>
        <w:rPr>
          <w:rFonts w:ascii="仿宋_GB2312" w:eastAsia="仿宋_GB2312" w:hAnsi="仿宋_GB2312" w:cs="仿宋_GB2312"/>
          <w:sz w:val="32"/>
        </w:rPr>
        <w:t>智能</w:t>
      </w:r>
      <w:r>
        <w:rPr>
          <w:rFonts w:ascii="仿宋_GB2312" w:eastAsia="仿宋_GB2312" w:hAnsi="仿宋_GB2312" w:cs="仿宋_GB2312" w:hint="eastAsia"/>
          <w:sz w:val="32"/>
        </w:rPr>
        <w:t>领域最大规模的</w:t>
      </w:r>
      <w:r>
        <w:rPr>
          <w:rFonts w:ascii="仿宋_GB2312" w:eastAsia="仿宋_GB2312" w:hAnsi="仿宋_GB2312" w:cs="仿宋_GB2312"/>
          <w:sz w:val="32"/>
        </w:rPr>
        <w:t>灵巧手多样抓取仿真数据集（</w:t>
      </w:r>
      <w:proofErr w:type="spellStart"/>
      <w:r>
        <w:rPr>
          <w:rFonts w:ascii="仿宋_GB2312" w:eastAsia="仿宋_GB2312" w:hAnsi="仿宋_GB2312" w:cs="仿宋_GB2312"/>
          <w:sz w:val="32"/>
        </w:rPr>
        <w:t>DexonomySim</w:t>
      </w:r>
      <w:proofErr w:type="spellEnd"/>
      <w:r>
        <w:rPr>
          <w:rFonts w:ascii="仿宋_GB2312" w:eastAsia="仿宋_GB2312" w:hAnsi="仿宋_GB2312" w:cs="仿宋_GB2312"/>
          <w:sz w:val="32"/>
        </w:rPr>
        <w:t>）</w:t>
      </w:r>
      <w:r>
        <w:rPr>
          <w:rFonts w:ascii="仿宋_GB2312" w:eastAsia="仿宋_GB2312" w:hAnsi="仿宋_GB2312" w:cs="仿宋_GB2312" w:hint="eastAsia"/>
          <w:sz w:val="32"/>
        </w:rPr>
        <w:t>，</w:t>
      </w:r>
      <w:proofErr w:type="gramStart"/>
      <w:r>
        <w:rPr>
          <w:rFonts w:ascii="仿宋_GB2312" w:eastAsia="仿宋_GB2312" w:hAnsi="仿宋_GB2312" w:cs="仿宋_GB2312" w:hint="eastAsia"/>
          <w:sz w:val="32"/>
        </w:rPr>
        <w:t>含超过</w:t>
      </w:r>
      <w:proofErr w:type="gramEnd"/>
      <w:r>
        <w:rPr>
          <w:rFonts w:ascii="仿宋_GB2312" w:eastAsia="仿宋_GB2312" w:hAnsi="仿宋_GB2312" w:cs="仿宋_GB2312" w:hint="eastAsia"/>
          <w:sz w:val="32"/>
        </w:rPr>
        <w:t>950万条抓取姿态、超1万个物体与31种常用抓握类型。</w:t>
      </w:r>
    </w:p>
    <w:p w14:paraId="588A6F6F" w14:textId="24E55CF0" w:rsidR="00054A2B" w:rsidRDefault="00000000">
      <w:pPr>
        <w:spacing w:after="0" w:line="240" w:lineRule="auto"/>
        <w:ind w:firstLineChars="200" w:firstLine="643"/>
        <w:jc w:val="both"/>
        <w:rPr>
          <w:rFonts w:ascii="仿宋_GB2312" w:eastAsia="仿宋_GB2312" w:hint="eastAsia"/>
          <w:sz w:val="32"/>
          <w:szCs w:val="36"/>
        </w:rPr>
      </w:pPr>
      <w:r>
        <w:rPr>
          <w:rFonts w:ascii="仿宋_GB2312" w:eastAsia="仿宋_GB2312" w:hint="eastAsia"/>
          <w:b/>
          <w:bCs/>
          <w:sz w:val="32"/>
          <w:szCs w:val="36"/>
        </w:rPr>
        <w:t>二是生态协同与价值共创加速推进。</w:t>
      </w:r>
      <w:r>
        <w:rPr>
          <w:rFonts w:ascii="仿宋_GB2312" w:eastAsia="仿宋_GB2312" w:hint="eastAsia"/>
          <w:bCs/>
          <w:sz w:val="32"/>
          <w:szCs w:val="36"/>
        </w:rPr>
        <w:t>良好</w:t>
      </w:r>
      <w:r>
        <w:rPr>
          <w:rFonts w:ascii="仿宋_GB2312" w:eastAsia="仿宋_GB2312" w:hAnsi="仿宋_GB2312" w:cs="仿宋_GB2312"/>
          <w:sz w:val="32"/>
        </w:rPr>
        <w:t>生态是高质量数据集可持续发展的动力来源</w:t>
      </w:r>
      <w:r>
        <w:rPr>
          <w:rFonts w:ascii="仿宋_GB2312" w:eastAsia="仿宋_GB2312" w:hAnsi="仿宋_GB2312" w:cs="仿宋_GB2312" w:hint="eastAsia"/>
          <w:sz w:val="32"/>
        </w:rPr>
        <w:t>，</w:t>
      </w:r>
      <w:r>
        <w:rPr>
          <w:rFonts w:ascii="仿宋_GB2312" w:eastAsia="仿宋_GB2312"/>
          <w:sz w:val="32"/>
          <w:szCs w:val="36"/>
        </w:rPr>
        <w:t>国家数据局</w:t>
      </w:r>
      <w:r>
        <w:rPr>
          <w:rFonts w:ascii="仿宋_GB2312" w:eastAsia="仿宋_GB2312" w:hint="eastAsia"/>
          <w:sz w:val="32"/>
          <w:szCs w:val="36"/>
        </w:rPr>
        <w:t>通过征集典型案例、搭建</w:t>
      </w:r>
      <w:r>
        <w:rPr>
          <w:rFonts w:ascii="仿宋_GB2312" w:eastAsia="仿宋_GB2312"/>
          <w:sz w:val="32"/>
          <w:szCs w:val="36"/>
        </w:rPr>
        <w:t>常态化供需对接平台</w:t>
      </w:r>
      <w:r>
        <w:rPr>
          <w:rFonts w:ascii="仿宋_GB2312" w:eastAsia="仿宋_GB2312" w:hint="eastAsia"/>
          <w:sz w:val="32"/>
          <w:szCs w:val="36"/>
        </w:rPr>
        <w:t>、举办交流活动等多项举措培育产业生态</w:t>
      </w:r>
      <w:r>
        <w:rPr>
          <w:rFonts w:ascii="仿宋_GB2312" w:eastAsia="仿宋_GB2312" w:hAnsi="仿宋_GB2312" w:cs="仿宋_GB2312"/>
          <w:sz w:val="32"/>
        </w:rPr>
        <w:t>。</w:t>
      </w:r>
      <w:proofErr w:type="gramStart"/>
      <w:r>
        <w:rPr>
          <w:rFonts w:ascii="仿宋_GB2312" w:eastAsia="仿宋_GB2312" w:hAnsi="仿宋_GB2312" w:cs="仿宋_GB2312" w:hint="eastAsia"/>
          <w:sz w:val="32"/>
        </w:rPr>
        <w:t>数博会</w:t>
      </w:r>
      <w:proofErr w:type="gramEnd"/>
      <w:r>
        <w:rPr>
          <w:rFonts w:ascii="仿宋_GB2312" w:eastAsia="仿宋_GB2312" w:hAnsi="仿宋_GB2312" w:cs="仿宋_GB2312" w:hint="eastAsia"/>
          <w:sz w:val="32"/>
        </w:rPr>
        <w:t>期间，中国</w:t>
      </w:r>
      <w:proofErr w:type="gramStart"/>
      <w:r>
        <w:rPr>
          <w:rFonts w:ascii="仿宋_GB2312" w:eastAsia="仿宋_GB2312" w:hAnsi="仿宋_GB2312" w:cs="仿宋_GB2312" w:hint="eastAsia"/>
          <w:sz w:val="32"/>
        </w:rPr>
        <w:t>信通院等</w:t>
      </w:r>
      <w:proofErr w:type="gramEnd"/>
      <w:r>
        <w:rPr>
          <w:rFonts w:ascii="仿宋_GB2312" w:eastAsia="仿宋_GB2312" w:hAnsi="仿宋_GB2312" w:cs="仿宋_GB2312" w:hint="eastAsia"/>
          <w:sz w:val="32"/>
        </w:rPr>
        <w:t>14家代表企业共同发起“高质量数据集领航计划”，</w:t>
      </w:r>
      <w:r>
        <w:rPr>
          <w:rFonts w:ascii="仿宋_GB2312" w:eastAsia="仿宋_GB2312" w:hint="eastAsia"/>
          <w:sz w:val="32"/>
          <w:szCs w:val="36"/>
        </w:rPr>
        <w:t>发挥领先企业汇聚引领效用；</w:t>
      </w:r>
      <w:r>
        <w:rPr>
          <w:rFonts w:ascii="仿宋_GB2312" w:eastAsia="仿宋_GB2312" w:hAnsi="仿宋_GB2312" w:cs="仿宋_GB2312"/>
          <w:sz w:val="32"/>
        </w:rPr>
        <w:t>国家工业信息</w:t>
      </w:r>
      <w:proofErr w:type="gramStart"/>
      <w:r>
        <w:rPr>
          <w:rFonts w:ascii="仿宋_GB2312" w:eastAsia="仿宋_GB2312" w:hAnsi="仿宋_GB2312" w:cs="仿宋_GB2312"/>
          <w:sz w:val="32"/>
        </w:rPr>
        <w:t>安全发展</w:t>
      </w:r>
      <w:proofErr w:type="gramEnd"/>
      <w:r>
        <w:rPr>
          <w:rFonts w:ascii="仿宋_GB2312" w:eastAsia="仿宋_GB2312" w:hAnsi="仿宋_GB2312" w:cs="仿宋_GB2312"/>
          <w:sz w:val="32"/>
        </w:rPr>
        <w:t>研究中心</w:t>
      </w:r>
      <w:r>
        <w:rPr>
          <w:rFonts w:ascii="仿宋_GB2312" w:eastAsia="仿宋_GB2312" w:hAnsi="仿宋_GB2312" w:cs="仿宋_GB2312" w:hint="eastAsia"/>
          <w:sz w:val="32"/>
        </w:rPr>
        <w:t>联合8家单位启动“高质量</w:t>
      </w:r>
      <w:r>
        <w:rPr>
          <w:rFonts w:ascii="仿宋_GB2312" w:eastAsia="仿宋_GB2312" w:hAnsi="仿宋_GB2312" w:cs="仿宋_GB2312" w:hint="eastAsia"/>
          <w:sz w:val="32"/>
        </w:rPr>
        <w:lastRenderedPageBreak/>
        <w:t>数据集飞轮计划”，发力产业生态构建和规模化应用</w:t>
      </w:r>
      <w:r>
        <w:rPr>
          <w:rFonts w:ascii="仿宋_GB2312" w:eastAsia="仿宋_GB2312" w:hint="eastAsia"/>
          <w:sz w:val="32"/>
          <w:szCs w:val="36"/>
        </w:rPr>
        <w:t>。</w:t>
      </w:r>
    </w:p>
    <w:p w14:paraId="51E1C8B8" w14:textId="77777777" w:rsidR="00054A2B" w:rsidRDefault="00000000">
      <w:pPr>
        <w:spacing w:after="0" w:line="240" w:lineRule="auto"/>
        <w:ind w:firstLineChars="200" w:firstLine="643"/>
        <w:jc w:val="both"/>
        <w:rPr>
          <w:rFonts w:ascii="黑体" w:eastAsia="黑体" w:hAnsi="黑体" w:cs="黑体" w:hint="eastAsia"/>
          <w:b/>
          <w:color w:val="000000"/>
          <w:sz w:val="32"/>
        </w:rPr>
      </w:pPr>
      <w:r>
        <w:rPr>
          <w:rFonts w:ascii="黑体" w:eastAsia="黑体" w:hAnsi="黑体" w:cs="黑体"/>
          <w:b/>
          <w:color w:val="000000"/>
          <w:sz w:val="32"/>
        </w:rPr>
        <w:t>四、技术革新加速：数据生产技术快速发展、日趋成熟</w:t>
      </w:r>
    </w:p>
    <w:p w14:paraId="5DDE1B0D" w14:textId="246BFAA0" w:rsidR="00054A2B" w:rsidRDefault="00000000">
      <w:pPr>
        <w:spacing w:after="0" w:line="240" w:lineRule="auto"/>
        <w:ind w:firstLineChars="200" w:firstLine="643"/>
        <w:jc w:val="both"/>
        <w:rPr>
          <w:rFonts w:ascii="仿宋_GB2312" w:eastAsia="仿宋_GB2312" w:hint="eastAsia"/>
          <w:sz w:val="32"/>
          <w:szCs w:val="36"/>
        </w:rPr>
      </w:pPr>
      <w:r>
        <w:rPr>
          <w:rFonts w:ascii="仿宋_GB2312" w:eastAsia="仿宋_GB2312" w:hint="eastAsia"/>
          <w:b/>
          <w:sz w:val="32"/>
          <w:szCs w:val="36"/>
        </w:rPr>
        <w:t>一是前沿技术驱动数据生产革新。</w:t>
      </w:r>
      <w:proofErr w:type="gramStart"/>
      <w:r>
        <w:rPr>
          <w:rFonts w:ascii="仿宋_GB2312" w:eastAsia="仿宋_GB2312" w:hint="eastAsia"/>
          <w:sz w:val="32"/>
          <w:szCs w:val="36"/>
        </w:rPr>
        <w:t>数博会</w:t>
      </w:r>
      <w:proofErr w:type="gramEnd"/>
      <w:r>
        <w:rPr>
          <w:rFonts w:ascii="仿宋_GB2312" w:eastAsia="仿宋_GB2312" w:hint="eastAsia"/>
          <w:sz w:val="32"/>
          <w:szCs w:val="36"/>
        </w:rPr>
        <w:t>期间，银河通用发布高质量合成数据集驱动</w:t>
      </w:r>
      <w:proofErr w:type="gramStart"/>
      <w:r>
        <w:rPr>
          <w:rFonts w:ascii="仿宋_GB2312" w:eastAsia="仿宋_GB2312" w:hint="eastAsia"/>
          <w:sz w:val="32"/>
          <w:szCs w:val="36"/>
        </w:rPr>
        <w:t>的具身</w:t>
      </w:r>
      <w:proofErr w:type="gramEnd"/>
      <w:r>
        <w:rPr>
          <w:rFonts w:ascii="仿宋_GB2312" w:eastAsia="仿宋_GB2312" w:hint="eastAsia"/>
          <w:sz w:val="32"/>
          <w:szCs w:val="36"/>
        </w:rPr>
        <w:t>VLA大模型及开源数据，通过合成数据技术</w:t>
      </w:r>
      <w:proofErr w:type="gramStart"/>
      <w:r>
        <w:rPr>
          <w:rFonts w:ascii="仿宋_GB2312" w:eastAsia="仿宋_GB2312" w:hint="eastAsia"/>
          <w:sz w:val="32"/>
          <w:szCs w:val="36"/>
        </w:rPr>
        <w:t>解决具身智能</w:t>
      </w:r>
      <w:proofErr w:type="gramEnd"/>
      <w:r>
        <w:rPr>
          <w:rFonts w:ascii="仿宋_GB2312" w:eastAsia="仿宋_GB2312" w:hint="eastAsia"/>
          <w:sz w:val="32"/>
          <w:szCs w:val="36"/>
        </w:rPr>
        <w:t>数据采集代价高昂、高质量数据集稀缺的挑战；东软智能</w:t>
      </w:r>
      <w:r>
        <w:rPr>
          <w:rFonts w:ascii="仿宋_GB2312" w:eastAsia="仿宋_GB2312" w:hAnsi="仿宋_GB2312" w:cs="仿宋_GB2312"/>
          <w:sz w:val="32"/>
        </w:rPr>
        <w:t>展示了其医疗影像分割大模型MISM，</w:t>
      </w:r>
      <w:r>
        <w:rPr>
          <w:rFonts w:ascii="仿宋_GB2312" w:eastAsia="仿宋_GB2312" w:hint="eastAsia"/>
          <w:sz w:val="32"/>
          <w:szCs w:val="36"/>
        </w:rPr>
        <w:t>在飞标标注平台的160+预标注算法覆盖场景实现全自动标注；北京航空航天大学洪晟分享整合文本、音频、图像等多模态融合数据，提升AI对复杂场景的理解和决策能力的研究思考。</w:t>
      </w:r>
    </w:p>
    <w:p w14:paraId="2CC0A441" w14:textId="7BDCB79E" w:rsidR="00054A2B" w:rsidRPr="00B41BA1" w:rsidRDefault="00000000">
      <w:pPr>
        <w:spacing w:after="0" w:line="240" w:lineRule="auto"/>
        <w:ind w:firstLineChars="200" w:firstLine="643"/>
        <w:jc w:val="both"/>
        <w:rPr>
          <w:rFonts w:ascii="仿宋_GB2312" w:eastAsia="仿宋_GB2312" w:hint="eastAsia"/>
          <w:color w:val="EE0000"/>
          <w:sz w:val="32"/>
          <w:szCs w:val="36"/>
        </w:rPr>
      </w:pPr>
      <w:r>
        <w:rPr>
          <w:rFonts w:ascii="仿宋_GB2312" w:eastAsia="仿宋_GB2312" w:hint="eastAsia"/>
          <w:b/>
          <w:sz w:val="32"/>
          <w:szCs w:val="36"/>
        </w:rPr>
        <w:t>二是高质量数据建设的方法路径及配套工具日益成熟。</w:t>
      </w:r>
      <w:proofErr w:type="gramStart"/>
      <w:r>
        <w:rPr>
          <w:rFonts w:ascii="仿宋_GB2312" w:eastAsia="仿宋_GB2312" w:hint="eastAsia"/>
          <w:sz w:val="32"/>
          <w:szCs w:val="36"/>
        </w:rPr>
        <w:t>数博会</w:t>
      </w:r>
      <w:proofErr w:type="gramEnd"/>
      <w:r>
        <w:rPr>
          <w:rFonts w:ascii="仿宋_GB2312" w:eastAsia="仿宋_GB2312" w:hint="eastAsia"/>
          <w:sz w:val="32"/>
          <w:szCs w:val="36"/>
        </w:rPr>
        <w:t>发布了《高质量数据集建设指引》，该指引提出高质量数据集建设的“1套建设方法+1套建设运营体系”参考路径，指导推进高质量数据集建设，助力人工智能纵深发展。多家企业分享高质量数据集建设工具和</w:t>
      </w:r>
      <w:r w:rsidR="00B41BA1" w:rsidRPr="00B41BA1">
        <w:rPr>
          <w:rFonts w:ascii="仿宋_GB2312" w:eastAsia="仿宋_GB2312" w:hint="eastAsia"/>
          <w:color w:val="EE0000"/>
          <w:sz w:val="32"/>
          <w:szCs w:val="36"/>
        </w:rPr>
        <w:t>数据架构设计</w:t>
      </w:r>
      <w:r>
        <w:rPr>
          <w:rFonts w:ascii="仿宋_GB2312" w:eastAsia="仿宋_GB2312" w:hint="eastAsia"/>
          <w:sz w:val="32"/>
          <w:szCs w:val="36"/>
        </w:rPr>
        <w:t>经验成果，如，中国电信发布“星海·高质量数据集工具链”，该工具</w:t>
      </w:r>
      <w:proofErr w:type="gramStart"/>
      <w:r>
        <w:rPr>
          <w:rFonts w:ascii="仿宋_GB2312" w:eastAsia="仿宋_GB2312" w:hint="eastAsia"/>
          <w:sz w:val="32"/>
          <w:szCs w:val="36"/>
        </w:rPr>
        <w:t>链具备</w:t>
      </w:r>
      <w:proofErr w:type="gramEnd"/>
      <w:r>
        <w:rPr>
          <w:rFonts w:ascii="仿宋_GB2312" w:eastAsia="仿宋_GB2312" w:hint="eastAsia"/>
          <w:sz w:val="32"/>
          <w:szCs w:val="36"/>
        </w:rPr>
        <w:t>多模态数据融合、自动化标注、智能质检等核心能力，支持从数据采集、治理到标注应用的全生命周期管理，</w:t>
      </w:r>
      <w:r>
        <w:rPr>
          <w:rFonts w:ascii="仿宋_GB2312" w:eastAsia="仿宋_GB2312" w:hAnsi="仿宋_GB2312" w:cs="仿宋_GB2312"/>
          <w:sz w:val="32"/>
        </w:rPr>
        <w:t>已应用于智能客服、智慧电网等场景。</w:t>
      </w:r>
      <w:r w:rsidR="00B41BA1" w:rsidRPr="00B41BA1">
        <w:rPr>
          <w:rFonts w:ascii="仿宋_GB2312" w:eastAsia="仿宋_GB2312" w:hAnsi="仿宋_GB2312" w:cs="仿宋_GB2312" w:hint="eastAsia"/>
          <w:color w:val="EE0000"/>
          <w:sz w:val="32"/>
        </w:rPr>
        <w:t>又如，中国移动</w:t>
      </w:r>
      <w:proofErr w:type="gramStart"/>
      <w:r w:rsidR="00B41BA1" w:rsidRPr="00B41BA1">
        <w:rPr>
          <w:rFonts w:ascii="仿宋_GB2312" w:eastAsia="仿宋_GB2312" w:hAnsi="仿宋_GB2312" w:cs="仿宋_GB2312" w:hint="eastAsia"/>
          <w:color w:val="EE0000"/>
          <w:sz w:val="32"/>
        </w:rPr>
        <w:t>采用存算分离</w:t>
      </w:r>
      <w:proofErr w:type="gramEnd"/>
      <w:r w:rsidR="00B41BA1" w:rsidRPr="00B41BA1">
        <w:rPr>
          <w:rFonts w:ascii="仿宋_GB2312" w:eastAsia="仿宋_GB2312" w:hAnsi="仿宋_GB2312" w:cs="仿宋_GB2312" w:hint="eastAsia"/>
          <w:color w:val="EE0000"/>
          <w:sz w:val="32"/>
        </w:rPr>
        <w:t>、</w:t>
      </w:r>
      <w:proofErr w:type="gramStart"/>
      <w:r w:rsidR="00B41BA1" w:rsidRPr="00B41BA1">
        <w:rPr>
          <w:rFonts w:ascii="仿宋_GB2312" w:eastAsia="仿宋_GB2312" w:hAnsi="仿宋_GB2312" w:cs="仿宋_GB2312" w:hint="eastAsia"/>
          <w:color w:val="EE0000"/>
          <w:sz w:val="32"/>
        </w:rPr>
        <w:t>数仓一体</w:t>
      </w:r>
      <w:proofErr w:type="gramEnd"/>
      <w:r w:rsidR="00B41BA1" w:rsidRPr="00B41BA1">
        <w:rPr>
          <w:rFonts w:ascii="仿宋_GB2312" w:eastAsia="仿宋_GB2312" w:hAnsi="仿宋_GB2312" w:cs="仿宋_GB2312" w:hint="eastAsia"/>
          <w:color w:val="EE0000"/>
          <w:sz w:val="32"/>
        </w:rPr>
        <w:t>及云原生分析型数据库等关键技术，搭建全球规模最大之一的分布式协同计算架构，目前已实现10万级节点规模，支持百万级任务。</w:t>
      </w:r>
    </w:p>
    <w:sectPr w:rsidR="00054A2B" w:rsidRPr="00B41B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54"/>
    <w:rsid w:val="0002074C"/>
    <w:rsid w:val="00054A2B"/>
    <w:rsid w:val="000A1E3C"/>
    <w:rsid w:val="00125D02"/>
    <w:rsid w:val="00137461"/>
    <w:rsid w:val="00284310"/>
    <w:rsid w:val="002A419A"/>
    <w:rsid w:val="002C705E"/>
    <w:rsid w:val="002F30A7"/>
    <w:rsid w:val="00547C4C"/>
    <w:rsid w:val="0055779D"/>
    <w:rsid w:val="006964E6"/>
    <w:rsid w:val="007144DC"/>
    <w:rsid w:val="007675F9"/>
    <w:rsid w:val="00835F4A"/>
    <w:rsid w:val="00855CCF"/>
    <w:rsid w:val="00880C3D"/>
    <w:rsid w:val="00A10154"/>
    <w:rsid w:val="00A13C47"/>
    <w:rsid w:val="00A361D0"/>
    <w:rsid w:val="00A92754"/>
    <w:rsid w:val="00B41BA1"/>
    <w:rsid w:val="00B916B3"/>
    <w:rsid w:val="00C848FF"/>
    <w:rsid w:val="00C93BCE"/>
    <w:rsid w:val="00CD2B47"/>
    <w:rsid w:val="00D33C26"/>
    <w:rsid w:val="00DA4616"/>
    <w:rsid w:val="00DA65C4"/>
    <w:rsid w:val="00E507C8"/>
    <w:rsid w:val="00EA0774"/>
    <w:rsid w:val="00F85A7C"/>
    <w:rsid w:val="00F9187A"/>
    <w:rsid w:val="00FA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EB5EF"/>
  <w15:docId w15:val="{C047BF15-7E28-4C52-8F28-BAAEA1B41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7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7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7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7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75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7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7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7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A92754"/>
    <w:rPr>
      <w:i/>
      <w:iCs/>
      <w:color w:val="0F4761" w:themeColor="accent1" w:themeShade="BF"/>
    </w:rPr>
  </w:style>
  <w:style w:type="character" w:customStyle="1" w:styleId="a4">
    <w:name w:val="标题 字符"/>
    <w:basedOn w:val="a0"/>
    <w:link w:val="a5"/>
    <w:uiPriority w:val="10"/>
    <w:rsid w:val="00A92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80">
    <w:name w:val="标题 8 字符"/>
    <w:basedOn w:val="a0"/>
    <w:link w:val="8"/>
    <w:uiPriority w:val="9"/>
    <w:semiHidden/>
    <w:rsid w:val="00A92754"/>
    <w:rPr>
      <w:rFonts w:cstheme="majorBidi"/>
      <w:color w:val="595959" w:themeColor="text1" w:themeTint="A6"/>
    </w:rPr>
  </w:style>
  <w:style w:type="character" w:styleId="a6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20">
    <w:name w:val="标题 2 字符"/>
    <w:basedOn w:val="a0"/>
    <w:link w:val="2"/>
    <w:uiPriority w:val="9"/>
    <w:semiHidden/>
    <w:rsid w:val="00A92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70">
    <w:name w:val="标题 7 字符"/>
    <w:basedOn w:val="a0"/>
    <w:link w:val="7"/>
    <w:uiPriority w:val="9"/>
    <w:semiHidden/>
    <w:rsid w:val="00A92754"/>
    <w:rPr>
      <w:rFonts w:cstheme="majorBidi"/>
      <w:b/>
      <w:bCs/>
      <w:color w:val="595959" w:themeColor="text1" w:themeTint="A6"/>
    </w:rPr>
  </w:style>
  <w:style w:type="character" w:customStyle="1" w:styleId="10">
    <w:name w:val="标题 1 字符"/>
    <w:basedOn w:val="a0"/>
    <w:link w:val="1"/>
    <w:uiPriority w:val="9"/>
    <w:rsid w:val="00A927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7">
    <w:name w:val="annotation text"/>
    <w:basedOn w:val="a"/>
    <w:link w:val="a8"/>
    <w:uiPriority w:val="99"/>
    <w:unhideWhenUsed/>
    <w:rsid w:val="002C705E"/>
  </w:style>
  <w:style w:type="paragraph" w:styleId="a9">
    <w:name w:val="List Paragraph"/>
    <w:basedOn w:val="a"/>
    <w:uiPriority w:val="34"/>
    <w:qFormat/>
    <w:rsid w:val="00A92754"/>
    <w:pPr>
      <w:ind w:left="720"/>
      <w:contextualSpacing/>
    </w:pPr>
  </w:style>
  <w:style w:type="character" w:customStyle="1" w:styleId="a8">
    <w:name w:val="批注文字 字符"/>
    <w:basedOn w:val="a0"/>
    <w:link w:val="a7"/>
    <w:uiPriority w:val="99"/>
    <w:rsid w:val="002C705E"/>
  </w:style>
  <w:style w:type="paragraph" w:styleId="aa">
    <w:name w:val="Intense Quote"/>
    <w:basedOn w:val="a"/>
    <w:next w:val="a"/>
    <w:link w:val="ab"/>
    <w:uiPriority w:val="30"/>
    <w:qFormat/>
    <w:rsid w:val="00A92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0">
    <w:name w:val="标题 3 字符"/>
    <w:basedOn w:val="a0"/>
    <w:link w:val="3"/>
    <w:uiPriority w:val="9"/>
    <w:semiHidden/>
    <w:rsid w:val="00A92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90">
    <w:name w:val="标题 9 字符"/>
    <w:basedOn w:val="a0"/>
    <w:link w:val="9"/>
    <w:uiPriority w:val="9"/>
    <w:semiHidden/>
    <w:rsid w:val="00A92754"/>
    <w:rPr>
      <w:rFonts w:eastAsiaTheme="majorEastAsia" w:cstheme="majorBidi"/>
      <w:color w:val="595959" w:themeColor="text1" w:themeTint="A6"/>
    </w:rPr>
  </w:style>
  <w:style w:type="paragraph" w:styleId="ac">
    <w:name w:val="Subtitle"/>
    <w:basedOn w:val="a"/>
    <w:next w:val="a"/>
    <w:link w:val="ad"/>
    <w:uiPriority w:val="11"/>
    <w:qFormat/>
    <w:rsid w:val="00A927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92754"/>
    <w:rPr>
      <w:rFonts w:cstheme="majorBidi"/>
      <w:color w:val="0F4761" w:themeColor="accent1" w:themeShade="BF"/>
      <w:sz w:val="28"/>
      <w:szCs w:val="28"/>
    </w:rPr>
  </w:style>
  <w:style w:type="character" w:customStyle="1" w:styleId="ad">
    <w:name w:val="副标题 字符"/>
    <w:basedOn w:val="a0"/>
    <w:link w:val="ac"/>
    <w:uiPriority w:val="11"/>
    <w:rsid w:val="00A927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引用 字符"/>
    <w:basedOn w:val="a0"/>
    <w:link w:val="af"/>
    <w:uiPriority w:val="29"/>
    <w:rsid w:val="00A92754"/>
    <w:rPr>
      <w:i/>
      <w:iCs/>
      <w:color w:val="404040" w:themeColor="text1" w:themeTint="BF"/>
    </w:rPr>
  </w:style>
  <w:style w:type="character" w:customStyle="1" w:styleId="50">
    <w:name w:val="标题 5 字符"/>
    <w:basedOn w:val="a0"/>
    <w:link w:val="5"/>
    <w:uiPriority w:val="9"/>
    <w:semiHidden/>
    <w:rsid w:val="00A92754"/>
    <w:rPr>
      <w:rFonts w:cstheme="majorBidi"/>
      <w:color w:val="0F4761" w:themeColor="accent1" w:themeShade="BF"/>
      <w:sz w:val="24"/>
    </w:rPr>
  </w:style>
  <w:style w:type="character" w:styleId="af0">
    <w:name w:val="Intense Reference"/>
    <w:basedOn w:val="a0"/>
    <w:uiPriority w:val="32"/>
    <w:qFormat/>
    <w:rsid w:val="00A92754"/>
    <w:rPr>
      <w:b/>
      <w:bCs/>
      <w:smallCaps/>
      <w:color w:val="0F4761" w:themeColor="accent1" w:themeShade="BF"/>
      <w:spacing w:val="5"/>
    </w:rPr>
  </w:style>
  <w:style w:type="paragraph" w:styleId="a5">
    <w:name w:val="Title"/>
    <w:basedOn w:val="a"/>
    <w:next w:val="a"/>
    <w:link w:val="a4"/>
    <w:uiPriority w:val="10"/>
    <w:qFormat/>
    <w:rsid w:val="00A927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60">
    <w:name w:val="标题 6 字符"/>
    <w:basedOn w:val="a0"/>
    <w:link w:val="6"/>
    <w:uiPriority w:val="9"/>
    <w:semiHidden/>
    <w:rsid w:val="00A92754"/>
    <w:rPr>
      <w:rFonts w:cstheme="majorBidi"/>
      <w:b/>
      <w:b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A92754"/>
    <w:rPr>
      <w:i/>
      <w:iCs/>
      <w:color w:val="0F4761" w:themeColor="accent1" w:themeShade="BF"/>
    </w:rPr>
  </w:style>
  <w:style w:type="paragraph" w:styleId="af">
    <w:name w:val="Quote"/>
    <w:basedOn w:val="a"/>
    <w:next w:val="a"/>
    <w:link w:val="ae"/>
    <w:uiPriority w:val="29"/>
    <w:qFormat/>
    <w:rsid w:val="00A92754"/>
    <w:pPr>
      <w:spacing w:before="160"/>
      <w:jc w:val="center"/>
    </w:pPr>
    <w:rPr>
      <w:i/>
      <w:iCs/>
      <w:color w:val="404040" w:themeColor="text1" w:themeTint="BF"/>
    </w:rPr>
  </w:style>
  <w:style w:type="character" w:styleId="af1">
    <w:name w:val="annotation reference"/>
    <w:basedOn w:val="a0"/>
    <w:uiPriority w:val="99"/>
    <w:semiHidden/>
    <w:unhideWhenUsed/>
    <w:rsid w:val="002C705E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江嘉琳</dc:creator>
  <cp:lastModifiedBy>江嘉琳</cp:lastModifiedBy>
  <cp:revision>3</cp:revision>
  <dcterms:created xsi:type="dcterms:W3CDTF">2025-09-15T03:22:00Z</dcterms:created>
  <dcterms:modified xsi:type="dcterms:W3CDTF">2025-09-15T03:34:00Z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2025-09-09T07:49:58Z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4acaa9d8-542e-4e90-9069-b06bbf239c44</vt:lpwstr>
  </property>
  <property fmtid="{D5CDD505-2E9C-101B-9397-08002B2CF9AE}" pid="7" name="MSIP_Label_defa4170-0d19-0005-0004-bc88714345d2_ActionId">
    <vt:lpwstr>f6867fd9-8f26-45f0-8a0c-f9bcd6129d58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