
<file path=[Content_Types].xml><?xml version="1.0" encoding="utf-8"?>
<Types xmlns="http://schemas.openxmlformats.org/package/2006/content-types">
  <Default Extension="xlsx" ContentType="application/vnd.openxmlformats-officedocument.spreadsheetml.shee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eastAsia" w:ascii="仿宋" w:hAnsi="仿宋" w:eastAsia="仿宋" w:cs="仿宋"/>
          <w:b/>
          <w:bCs/>
          <w:sz w:val="32"/>
          <w:szCs w:val="40"/>
        </w:rPr>
      </w:pPr>
      <w:r>
        <w:rPr>
          <w:rFonts w:hint="eastAsia" w:ascii="仿宋" w:hAnsi="仿宋" w:eastAsia="仿宋" w:cs="仿宋"/>
          <w:b/>
          <w:bCs/>
          <w:sz w:val="32"/>
          <w:szCs w:val="40"/>
        </w:rPr>
        <w:t>数字家庭中的数据安全与保护</w:t>
      </w:r>
    </w:p>
    <w:p>
      <w:pPr>
        <w:spacing w:line="360" w:lineRule="auto"/>
        <w:jc w:val="center"/>
        <w:rPr>
          <w:rFonts w:ascii="仿宋" w:hAnsi="仿宋" w:eastAsia="仿宋" w:cs="仿宋"/>
          <w:sz w:val="24"/>
          <w:szCs w:val="32"/>
        </w:rPr>
      </w:pPr>
      <w:r>
        <w:rPr>
          <w:rFonts w:hint="eastAsia" w:ascii="仿宋" w:hAnsi="仿宋" w:eastAsia="仿宋" w:cs="仿宋"/>
          <w:sz w:val="24"/>
          <w:szCs w:val="32"/>
        </w:rPr>
        <w:t>海明慈 彭淇</w:t>
      </w:r>
    </w:p>
    <w:p>
      <w:pPr>
        <w:spacing w:line="360" w:lineRule="auto"/>
        <w:ind w:firstLine="420"/>
        <w:rPr>
          <w:rFonts w:ascii="仿宋" w:hAnsi="仿宋" w:eastAsia="仿宋" w:cs="仿宋"/>
          <w:sz w:val="24"/>
          <w:szCs w:val="32"/>
        </w:rPr>
      </w:pPr>
      <w:r>
        <w:rPr>
          <w:rFonts w:hint="eastAsia" w:ascii="仿宋" w:hAnsi="仿宋" w:eastAsia="仿宋" w:cs="仿宋"/>
          <w:sz w:val="24"/>
          <w:szCs w:val="32"/>
        </w:rPr>
        <w:t>数字家庭中智能家居设备互联互通日益加强，所采集的家庭数据在居家养老、家庭健康、家庭娱乐、社区治理、社区服务、电商购物等方面蕴藏巨大价值，但也增加了数据安全风险。2021年，国家相继出台《中华人民共和国数据安全法》、《中华人民共和国个人信息保护法》，强调数据保护及个人隐私。未来数字家庭行业需进一步关注家庭数据的安全与保护，在安全可控的前提下依法合规地掘金家庭数据，释放行业数据红利。</w:t>
      </w:r>
    </w:p>
    <w:p>
      <w:pPr>
        <w:spacing w:line="360" w:lineRule="auto"/>
        <w:rPr>
          <w:rFonts w:ascii="仿宋" w:hAnsi="仿宋" w:eastAsia="仿宋" w:cs="仿宋"/>
          <w:b/>
          <w:bCs/>
          <w:sz w:val="24"/>
          <w:szCs w:val="32"/>
        </w:rPr>
      </w:pPr>
    </w:p>
    <w:p>
      <w:pPr>
        <w:numPr>
          <w:ilvl w:val="0"/>
          <w:numId w:val="1"/>
        </w:numPr>
        <w:spacing w:line="360" w:lineRule="auto"/>
        <w:rPr>
          <w:rFonts w:ascii="仿宋" w:hAnsi="仿宋" w:eastAsia="仿宋" w:cs="仿宋"/>
          <w:b/>
          <w:bCs/>
          <w:sz w:val="24"/>
          <w:szCs w:val="32"/>
        </w:rPr>
      </w:pPr>
      <w:r>
        <w:rPr>
          <w:rFonts w:hint="eastAsia" w:ascii="仿宋" w:hAnsi="仿宋" w:eastAsia="仿宋" w:cs="仿宋"/>
          <w:b/>
          <w:bCs/>
          <w:sz w:val="24"/>
          <w:szCs w:val="32"/>
        </w:rPr>
        <w:t>家庭数据安全防护的必要性</w:t>
      </w:r>
    </w:p>
    <w:p>
      <w:pPr>
        <w:spacing w:line="360" w:lineRule="auto"/>
        <w:ind w:firstLine="420"/>
        <w:rPr>
          <w:rFonts w:hint="eastAsia" w:ascii="仿宋" w:hAnsi="仿宋" w:eastAsia="仿宋" w:cs="仿宋"/>
          <w:sz w:val="24"/>
          <w:szCs w:val="32"/>
        </w:rPr>
      </w:pPr>
      <w:r>
        <w:rPr>
          <w:rFonts w:hint="eastAsia" w:ascii="仿宋" w:hAnsi="仿宋" w:eastAsia="仿宋" w:cs="仿宋"/>
          <w:sz w:val="24"/>
          <w:szCs w:val="32"/>
        </w:rPr>
        <w:t>随着政策推动、用户需求增长和技术的成熟发展，近年来智能家居得到快速的普及推广，据IDC预测，未来五年中国智能家居设备市场出货量将以21.4%的复合增长率持续增长，到2025年将达到近5.4亿台。随之带来家庭数据的收集、处理及整合更为丰富和集中，融合多元化的、多样化的信息数据，以提供更高效率、高质量的服务以满足家庭需求。</w:t>
      </w:r>
      <w:r>
        <w:rPr>
          <w:rFonts w:hint="eastAsia" w:ascii="仿宋" w:hAnsi="仿宋" w:eastAsia="仿宋" w:cs="仿宋"/>
          <w:sz w:val="24"/>
          <w:szCs w:val="32"/>
          <w:lang w:val="en-US" w:eastAsia="zh-CN"/>
        </w:rPr>
        <w:t>但</w:t>
      </w:r>
      <w:r>
        <w:rPr>
          <w:rFonts w:hint="eastAsia" w:ascii="仿宋" w:hAnsi="仿宋" w:eastAsia="仿宋" w:cs="仿宋"/>
          <w:sz w:val="24"/>
          <w:szCs w:val="32"/>
        </w:rPr>
        <w:t>同时，将加大家庭数据泄露带来的风险。</w:t>
      </w:r>
    </w:p>
    <w:p>
      <w:pPr>
        <w:spacing w:line="360" w:lineRule="auto"/>
        <w:ind w:firstLine="420"/>
        <w:rPr>
          <w:rFonts w:ascii="仿宋" w:hAnsi="仿宋" w:eastAsia="仿宋" w:cs="仿宋"/>
          <w:b/>
          <w:bCs/>
          <w:sz w:val="24"/>
          <w:szCs w:val="32"/>
        </w:rPr>
      </w:pPr>
      <w:r>
        <w:rPr>
          <w:rFonts w:hint="eastAsia" w:ascii="仿宋" w:hAnsi="仿宋" w:eastAsia="仿宋" w:cs="仿宋"/>
          <w:b/>
          <w:bCs/>
          <w:sz w:val="24"/>
          <w:szCs w:val="32"/>
          <w:lang w:val="en-US" w:eastAsia="zh-CN"/>
        </w:rPr>
        <w:t>1</w:t>
      </w:r>
      <w:r>
        <w:rPr>
          <w:rFonts w:hint="eastAsia" w:ascii="仿宋" w:hAnsi="仿宋" w:eastAsia="仿宋" w:cs="仿宋"/>
          <w:b/>
          <w:bCs/>
          <w:sz w:val="24"/>
          <w:szCs w:val="32"/>
        </w:rPr>
        <w:t>、家庭数据隐私性及价值高，数据掘金面临的安全漏洞逐年增长</w:t>
      </w:r>
    </w:p>
    <w:p>
      <w:pPr>
        <w:spacing w:line="360" w:lineRule="auto"/>
        <w:ind w:firstLine="420"/>
        <w:rPr>
          <w:rFonts w:ascii="仿宋" w:hAnsi="仿宋" w:eastAsia="仿宋" w:cs="仿宋"/>
          <w:sz w:val="24"/>
          <w:szCs w:val="32"/>
        </w:rPr>
      </w:pPr>
      <w:r>
        <w:rPr>
          <w:rFonts w:hint="eastAsia" w:ascii="仿宋" w:hAnsi="仿宋" w:eastAsia="仿宋" w:cs="仿宋"/>
          <w:sz w:val="24"/>
          <w:szCs w:val="32"/>
        </w:rPr>
        <w:t>家庭场景产生的数据种类繁多，例如用户居家行为、健康指标等个人数据，能源计量、电器使用等设备数据，易涉及用户隐私。家庭数据经过用户长期的使用习惯修正，并叠加个人、环境、设备多维数据的采集，对用户的分类及画像更加精准，其价值将体现在精准推送产品、拓展消费对象、拓宽服务范围进而为厂商创造更庞大的生态系统。但厂商在挖掘释放家庭数据价值的过程中，可能存在对安全漏洞的警惕性不足对问题，根据CNVD国家信息安全漏洞共享平台公开数据显示,202</w:t>
      </w:r>
      <w:r>
        <w:rPr>
          <w:rFonts w:ascii="仿宋" w:hAnsi="仿宋" w:eastAsia="仿宋" w:cs="仿宋"/>
          <w:sz w:val="24"/>
          <w:szCs w:val="32"/>
        </w:rPr>
        <w:t>1</w:t>
      </w:r>
      <w:r>
        <w:rPr>
          <w:rFonts w:hint="eastAsia" w:ascii="仿宋" w:hAnsi="仿宋" w:eastAsia="仿宋" w:cs="仿宋"/>
          <w:sz w:val="24"/>
          <w:szCs w:val="32"/>
        </w:rPr>
        <w:t>年智能家居设备相关的安全漏洞已多达1387个,与上年相比增长12%,近五年增长达41.8%。</w:t>
      </w:r>
    </w:p>
    <w:p>
      <w:pPr>
        <w:spacing w:line="360" w:lineRule="auto"/>
        <w:ind w:firstLine="420"/>
        <w:rPr>
          <w:rFonts w:ascii="仿宋" w:hAnsi="仿宋" w:eastAsia="仿宋" w:cs="仿宋"/>
          <w:b/>
          <w:bCs/>
          <w:sz w:val="24"/>
          <w:szCs w:val="32"/>
        </w:rPr>
      </w:pPr>
      <w:r>
        <w:rPr>
          <w:rFonts w:hint="eastAsia" w:ascii="仿宋" w:hAnsi="仿宋" w:eastAsia="仿宋" w:cs="仿宋"/>
          <w:b/>
          <w:bCs/>
          <w:sz w:val="24"/>
          <w:szCs w:val="32"/>
          <w:lang w:val="en-US" w:eastAsia="zh-CN"/>
        </w:rPr>
        <w:t>2</w:t>
      </w:r>
      <w:r>
        <w:rPr>
          <w:rFonts w:hint="eastAsia" w:ascii="仿宋" w:hAnsi="仿宋" w:eastAsia="仿宋" w:cs="仿宋"/>
          <w:b/>
          <w:bCs/>
          <w:sz w:val="24"/>
          <w:szCs w:val="32"/>
        </w:rPr>
        <w:t>、场景化服务模式隐蔽了底层数据的流通方向，弱化用户数据安全意识</w:t>
      </w:r>
    </w:p>
    <w:p>
      <w:pPr>
        <w:spacing w:line="360" w:lineRule="auto"/>
        <w:ind w:firstLine="420"/>
        <w:rPr>
          <w:rFonts w:ascii="仿宋" w:hAnsi="仿宋" w:eastAsia="仿宋" w:cs="仿宋"/>
          <w:sz w:val="24"/>
          <w:szCs w:val="32"/>
        </w:rPr>
      </w:pPr>
      <w:r>
        <w:rPr>
          <w:rFonts w:hint="eastAsia" w:ascii="仿宋" w:hAnsi="仿宋" w:eastAsia="仿宋" w:cs="仿宋"/>
          <w:sz w:val="24"/>
          <w:szCs w:val="32"/>
        </w:rPr>
        <w:t>数据使用首先要经过用户授权，即应用服务商、软件分发商等企业在为用户提供生活服务的过程中，告知数据的使用用途、目的，用户在相应的范围内进行授权，企业有责任及义务保护用户的个人隐私和个人信息。然而随着全屋智能解决方案的出现，</w:t>
      </w:r>
      <w:r>
        <w:rPr>
          <w:rFonts w:ascii="仿宋" w:hAnsi="仿宋" w:eastAsia="仿宋" w:cs="仿宋"/>
          <w:sz w:val="24"/>
          <w:szCs w:val="32"/>
        </w:rPr>
        <w:t>智能单品向联动模式演进</w:t>
      </w:r>
      <w:r>
        <w:rPr>
          <w:rFonts w:hint="eastAsia" w:ascii="仿宋" w:hAnsi="仿宋" w:eastAsia="仿宋" w:cs="仿宋"/>
          <w:sz w:val="24"/>
          <w:szCs w:val="32"/>
        </w:rPr>
        <w:t>，</w:t>
      </w:r>
      <w:r>
        <w:rPr>
          <w:rFonts w:ascii="仿宋" w:hAnsi="仿宋" w:eastAsia="仿宋" w:cs="仿宋"/>
          <w:sz w:val="24"/>
          <w:szCs w:val="32"/>
        </w:rPr>
        <w:t>场景化</w:t>
      </w:r>
      <w:r>
        <w:rPr>
          <w:rFonts w:hint="eastAsia" w:ascii="仿宋" w:hAnsi="仿宋" w:eastAsia="仿宋" w:cs="仿宋"/>
          <w:sz w:val="24"/>
          <w:szCs w:val="32"/>
        </w:rPr>
        <w:t>的</w:t>
      </w:r>
      <w:r>
        <w:rPr>
          <w:rFonts w:ascii="仿宋" w:hAnsi="仿宋" w:eastAsia="仿宋" w:cs="仿宋"/>
          <w:sz w:val="24"/>
          <w:szCs w:val="32"/>
        </w:rPr>
        <w:t>服务</w:t>
      </w:r>
      <w:r>
        <w:rPr>
          <w:rFonts w:hint="eastAsia" w:ascii="仿宋" w:hAnsi="仿宋" w:eastAsia="仿宋" w:cs="仿宋"/>
          <w:sz w:val="24"/>
          <w:szCs w:val="32"/>
        </w:rPr>
        <w:t>模型隐藏了数据的流向，用户难以将数据授权与服务感受直观联系起来，进一步模糊了用户个人隐私和信息的权利边界，加大了数据保护的难度。</w:t>
      </w:r>
    </w:p>
    <w:p>
      <w:pPr>
        <w:spacing w:line="360" w:lineRule="auto"/>
        <w:rPr>
          <w:rFonts w:ascii="仿宋" w:hAnsi="仿宋" w:eastAsia="仿宋" w:cs="仿宋"/>
          <w:sz w:val="24"/>
          <w:szCs w:val="32"/>
        </w:rPr>
      </w:pPr>
    </w:p>
    <w:p>
      <w:pPr>
        <w:numPr>
          <w:ilvl w:val="0"/>
          <w:numId w:val="1"/>
        </w:numPr>
        <w:spacing w:line="360" w:lineRule="auto"/>
        <w:rPr>
          <w:rFonts w:hint="eastAsia" w:ascii="仿宋" w:hAnsi="仿宋" w:eastAsia="仿宋" w:cs="仿宋"/>
          <w:b/>
          <w:bCs/>
          <w:sz w:val="24"/>
          <w:szCs w:val="32"/>
        </w:rPr>
      </w:pPr>
      <w:r>
        <w:rPr>
          <w:rFonts w:hint="eastAsia" w:ascii="仿宋" w:hAnsi="仿宋" w:eastAsia="仿宋" w:cs="仿宋"/>
          <w:b/>
          <w:bCs/>
          <w:sz w:val="24"/>
          <w:szCs w:val="32"/>
        </w:rPr>
        <w:t>家庭数据安全的消费者需求洞察</w:t>
      </w:r>
    </w:p>
    <w:p>
      <w:pPr>
        <w:spacing w:line="360" w:lineRule="auto"/>
        <w:ind w:firstLine="420"/>
        <w:rPr>
          <w:rFonts w:ascii="仿宋" w:hAnsi="仿宋" w:eastAsia="仿宋" w:cs="仿宋"/>
          <w:sz w:val="24"/>
          <w:szCs w:val="32"/>
        </w:rPr>
      </w:pPr>
      <w:r>
        <w:rPr>
          <w:rFonts w:hint="eastAsia" w:ascii="仿宋" w:hAnsi="仿宋" w:eastAsia="仿宋" w:cs="仿宋"/>
          <w:sz w:val="24"/>
          <w:szCs w:val="32"/>
        </w:rPr>
        <w:t>针对个人信息与隐私泄露的风险，为了解消费者对于家庭数据安全的看法及提升家庭数据安全的意愿，项目组于2022年12月开展了全国范围的线上消费者调研，共采集有效样本632个。并参考GB/T39579-2020《公众电信网智能家居应用技术要求》中智能家居业务分类方法，将家庭数据按业务场景分为8类（表1），探索用户在不同场景下的数据安全需求。</w:t>
      </w:r>
    </w:p>
    <w:p>
      <w:pPr>
        <w:spacing w:line="360" w:lineRule="auto"/>
        <w:jc w:val="center"/>
        <w:rPr>
          <w:rFonts w:hint="eastAsia" w:ascii="仿宋" w:hAnsi="仿宋" w:eastAsia="仿宋" w:cs="仿宋"/>
          <w:color w:val="auto"/>
          <w:szCs w:val="21"/>
        </w:rPr>
      </w:pPr>
      <w:r>
        <w:rPr>
          <w:rFonts w:hint="eastAsia" w:ascii="仿宋" w:hAnsi="仿宋" w:eastAsia="仿宋" w:cs="仿宋"/>
          <w:szCs w:val="21"/>
        </w:rPr>
        <w:t>表1 数据家庭各类场景</w:t>
      </w:r>
      <w:r>
        <w:rPr>
          <w:rFonts w:hint="eastAsia" w:ascii="仿宋" w:hAnsi="仿宋" w:eastAsia="仿宋" w:cs="仿宋"/>
          <w:color w:val="auto"/>
          <w:szCs w:val="21"/>
        </w:rPr>
        <w:t>的数据类型</w:t>
      </w:r>
    </w:p>
    <w:tbl>
      <w:tblPr>
        <w:tblStyle w:val="9"/>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1759"/>
        <w:gridCol w:w="54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right"/>
        </w:trPr>
        <w:tc>
          <w:tcPr>
            <w:tcW w:w="1129" w:type="dxa"/>
            <w:vAlign w:val="center"/>
          </w:tcPr>
          <w:p>
            <w:pPr>
              <w:widowControl/>
              <w:jc w:val="center"/>
              <w:rPr>
                <w:rFonts w:ascii="仿宋" w:hAnsi="仿宋" w:eastAsia="仿宋" w:cs="仿宋"/>
                <w:b/>
                <w:bCs/>
                <w:color w:val="000000"/>
                <w:kern w:val="0"/>
                <w:sz w:val="18"/>
                <w:szCs w:val="18"/>
              </w:rPr>
            </w:pPr>
            <w:r>
              <w:rPr>
                <w:rFonts w:hint="eastAsia" w:ascii="仿宋" w:hAnsi="仿宋" w:eastAsia="仿宋" w:cs="仿宋"/>
                <w:b/>
                <w:bCs/>
                <w:color w:val="000000"/>
                <w:kern w:val="0"/>
                <w:sz w:val="18"/>
                <w:szCs w:val="18"/>
              </w:rPr>
              <w:t>业务分类</w:t>
            </w:r>
          </w:p>
        </w:tc>
        <w:tc>
          <w:tcPr>
            <w:tcW w:w="1759" w:type="dxa"/>
            <w:vAlign w:val="center"/>
          </w:tcPr>
          <w:p>
            <w:pPr>
              <w:widowControl/>
              <w:jc w:val="center"/>
              <w:rPr>
                <w:rFonts w:ascii="仿宋" w:hAnsi="仿宋" w:eastAsia="仿宋" w:cs="仿宋"/>
                <w:b/>
                <w:bCs/>
                <w:color w:val="000000"/>
                <w:kern w:val="0"/>
                <w:sz w:val="18"/>
                <w:szCs w:val="18"/>
              </w:rPr>
            </w:pPr>
            <w:r>
              <w:rPr>
                <w:rFonts w:hint="eastAsia" w:ascii="仿宋" w:hAnsi="仿宋" w:eastAsia="仿宋" w:cs="仿宋"/>
                <w:b/>
                <w:bCs/>
                <w:color w:val="000000"/>
                <w:kern w:val="0"/>
                <w:sz w:val="18"/>
                <w:szCs w:val="18"/>
              </w:rPr>
              <w:t>举例</w:t>
            </w:r>
          </w:p>
        </w:tc>
        <w:tc>
          <w:tcPr>
            <w:tcW w:w="5408" w:type="dxa"/>
            <w:vAlign w:val="center"/>
          </w:tcPr>
          <w:p>
            <w:pPr>
              <w:widowControl/>
              <w:jc w:val="center"/>
              <w:rPr>
                <w:rFonts w:ascii="仿宋" w:hAnsi="仿宋" w:eastAsia="仿宋" w:cs="仿宋"/>
                <w:b/>
                <w:bCs/>
                <w:color w:val="000000"/>
                <w:kern w:val="0"/>
                <w:sz w:val="18"/>
                <w:szCs w:val="18"/>
              </w:rPr>
            </w:pPr>
            <w:r>
              <w:rPr>
                <w:rFonts w:hint="eastAsia" w:ascii="仿宋" w:hAnsi="仿宋" w:eastAsia="仿宋" w:cs="仿宋"/>
                <w:b/>
                <w:bCs/>
                <w:color w:val="000000"/>
                <w:kern w:val="0"/>
                <w:sz w:val="18"/>
                <w:szCs w:val="18"/>
              </w:rPr>
              <w:t>数据类型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right"/>
        </w:trPr>
        <w:tc>
          <w:tcPr>
            <w:tcW w:w="1129" w:type="dxa"/>
            <w:vMerge w:val="restart"/>
            <w:vAlign w:val="center"/>
          </w:tcPr>
          <w:p>
            <w:pPr>
              <w:widowControl/>
              <w:jc w:val="center"/>
              <w:rPr>
                <w:rFonts w:ascii="仿宋" w:hAnsi="仿宋" w:eastAsia="仿宋" w:cs="仿宋"/>
                <w:color w:val="000000"/>
                <w:kern w:val="0"/>
                <w:sz w:val="18"/>
                <w:szCs w:val="18"/>
              </w:rPr>
            </w:pPr>
            <w:r>
              <w:rPr>
                <w:rFonts w:hint="eastAsia" w:ascii="仿宋" w:hAnsi="仿宋" w:eastAsia="仿宋" w:cs="仿宋"/>
                <w:color w:val="000000"/>
                <w:kern w:val="0"/>
                <w:sz w:val="18"/>
                <w:szCs w:val="18"/>
              </w:rPr>
              <w:t>联接控制</w:t>
            </w:r>
          </w:p>
        </w:tc>
        <w:tc>
          <w:tcPr>
            <w:tcW w:w="1759" w:type="dxa"/>
            <w:vAlign w:val="center"/>
          </w:tcPr>
          <w:p>
            <w:pPr>
              <w:widowControl/>
              <w:jc w:val="center"/>
              <w:rPr>
                <w:rFonts w:ascii="仿宋" w:hAnsi="仿宋" w:eastAsia="仿宋" w:cs="仿宋"/>
                <w:color w:val="000000"/>
                <w:kern w:val="0"/>
                <w:sz w:val="18"/>
                <w:szCs w:val="18"/>
              </w:rPr>
            </w:pPr>
            <w:r>
              <w:rPr>
                <w:rFonts w:hint="eastAsia" w:ascii="仿宋" w:hAnsi="仿宋" w:eastAsia="仿宋" w:cs="仿宋"/>
                <w:color w:val="000000"/>
                <w:kern w:val="0"/>
                <w:sz w:val="18"/>
                <w:szCs w:val="18"/>
              </w:rPr>
              <w:t>场景控制</w:t>
            </w:r>
          </w:p>
        </w:tc>
        <w:tc>
          <w:tcPr>
            <w:tcW w:w="5408" w:type="dxa"/>
            <w:vMerge w:val="restart"/>
            <w:vAlign w:val="center"/>
          </w:tcPr>
          <w:p>
            <w:pPr>
              <w:widowControl/>
              <w:jc w:val="left"/>
              <w:rPr>
                <w:rFonts w:ascii="仿宋" w:hAnsi="仿宋" w:eastAsia="仿宋" w:cs="仿宋"/>
                <w:color w:val="000000"/>
                <w:kern w:val="0"/>
                <w:sz w:val="18"/>
                <w:szCs w:val="18"/>
              </w:rPr>
            </w:pPr>
            <w:r>
              <w:rPr>
                <w:rFonts w:hint="eastAsia" w:ascii="仿宋" w:hAnsi="仿宋" w:eastAsia="仿宋" w:cs="仿宋"/>
                <w:color w:val="000000"/>
                <w:kern w:val="0"/>
                <w:sz w:val="18"/>
                <w:szCs w:val="18"/>
              </w:rPr>
              <w:t>用户侧：控制指令数据、组合选项数据等</w:t>
            </w:r>
            <w:r>
              <w:rPr>
                <w:rFonts w:hint="eastAsia" w:ascii="仿宋" w:hAnsi="仿宋" w:eastAsia="仿宋" w:cs="仿宋"/>
                <w:color w:val="000000"/>
                <w:kern w:val="0"/>
                <w:sz w:val="18"/>
                <w:szCs w:val="18"/>
              </w:rPr>
              <w:br w:type="textWrapping"/>
            </w:r>
            <w:r>
              <w:rPr>
                <w:rFonts w:hint="eastAsia" w:ascii="仿宋" w:hAnsi="仿宋" w:eastAsia="仿宋" w:cs="仿宋"/>
                <w:color w:val="000000"/>
                <w:kern w:val="0"/>
                <w:sz w:val="18"/>
                <w:szCs w:val="18"/>
              </w:rPr>
              <w:t>设备侧：开关数据、调节数据、运行时间数据等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right"/>
        </w:trPr>
        <w:tc>
          <w:tcPr>
            <w:tcW w:w="1129" w:type="dxa"/>
            <w:vMerge w:val="continue"/>
            <w:vAlign w:val="center"/>
          </w:tcPr>
          <w:p>
            <w:pPr>
              <w:widowControl/>
              <w:jc w:val="center"/>
              <w:rPr>
                <w:rFonts w:ascii="仿宋" w:hAnsi="仿宋" w:eastAsia="仿宋" w:cs="仿宋"/>
                <w:color w:val="000000"/>
                <w:kern w:val="0"/>
                <w:sz w:val="18"/>
                <w:szCs w:val="18"/>
              </w:rPr>
            </w:pPr>
          </w:p>
        </w:tc>
        <w:tc>
          <w:tcPr>
            <w:tcW w:w="1759" w:type="dxa"/>
            <w:vAlign w:val="center"/>
          </w:tcPr>
          <w:p>
            <w:pPr>
              <w:widowControl/>
              <w:jc w:val="center"/>
              <w:rPr>
                <w:rFonts w:ascii="仿宋" w:hAnsi="仿宋" w:eastAsia="仿宋" w:cs="仿宋"/>
                <w:color w:val="000000"/>
                <w:kern w:val="0"/>
                <w:sz w:val="18"/>
                <w:szCs w:val="18"/>
              </w:rPr>
            </w:pPr>
            <w:r>
              <w:rPr>
                <w:rFonts w:hint="eastAsia" w:ascii="仿宋" w:hAnsi="仿宋" w:eastAsia="仿宋" w:cs="仿宋"/>
                <w:color w:val="000000"/>
                <w:kern w:val="0"/>
                <w:sz w:val="18"/>
                <w:szCs w:val="18"/>
              </w:rPr>
              <w:t>组合控制</w:t>
            </w:r>
          </w:p>
        </w:tc>
        <w:tc>
          <w:tcPr>
            <w:tcW w:w="5408" w:type="dxa"/>
            <w:vMerge w:val="continue"/>
            <w:vAlign w:val="center"/>
          </w:tcPr>
          <w:p>
            <w:pPr>
              <w:widowControl/>
              <w:jc w:val="left"/>
              <w:rPr>
                <w:rFonts w:ascii="仿宋" w:hAnsi="仿宋" w:eastAsia="仿宋" w:cs="仿宋"/>
                <w:color w:val="00000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right"/>
        </w:trPr>
        <w:tc>
          <w:tcPr>
            <w:tcW w:w="1129" w:type="dxa"/>
            <w:vMerge w:val="continue"/>
            <w:vAlign w:val="center"/>
          </w:tcPr>
          <w:p>
            <w:pPr>
              <w:widowControl/>
              <w:jc w:val="center"/>
              <w:rPr>
                <w:rFonts w:ascii="仿宋" w:hAnsi="仿宋" w:eastAsia="仿宋" w:cs="仿宋"/>
                <w:color w:val="000000"/>
                <w:kern w:val="0"/>
                <w:sz w:val="18"/>
                <w:szCs w:val="18"/>
              </w:rPr>
            </w:pPr>
          </w:p>
        </w:tc>
        <w:tc>
          <w:tcPr>
            <w:tcW w:w="1759" w:type="dxa"/>
            <w:vAlign w:val="center"/>
          </w:tcPr>
          <w:p>
            <w:pPr>
              <w:widowControl/>
              <w:jc w:val="center"/>
              <w:rPr>
                <w:rFonts w:ascii="仿宋" w:hAnsi="仿宋" w:eastAsia="仿宋" w:cs="仿宋"/>
                <w:color w:val="000000"/>
                <w:kern w:val="0"/>
                <w:sz w:val="18"/>
                <w:szCs w:val="18"/>
              </w:rPr>
            </w:pPr>
            <w:r>
              <w:rPr>
                <w:rFonts w:hint="eastAsia" w:ascii="仿宋" w:hAnsi="仿宋" w:eastAsia="仿宋" w:cs="仿宋"/>
                <w:color w:val="000000"/>
                <w:kern w:val="0"/>
                <w:sz w:val="18"/>
                <w:szCs w:val="18"/>
              </w:rPr>
              <w:t>关联控制</w:t>
            </w:r>
          </w:p>
        </w:tc>
        <w:tc>
          <w:tcPr>
            <w:tcW w:w="5408" w:type="dxa"/>
            <w:vMerge w:val="continue"/>
            <w:vAlign w:val="center"/>
          </w:tcPr>
          <w:p>
            <w:pPr>
              <w:widowControl/>
              <w:jc w:val="left"/>
              <w:rPr>
                <w:rFonts w:ascii="仿宋" w:hAnsi="仿宋" w:eastAsia="仿宋" w:cs="仿宋"/>
                <w:color w:val="00000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right"/>
        </w:trPr>
        <w:tc>
          <w:tcPr>
            <w:tcW w:w="1129" w:type="dxa"/>
            <w:vMerge w:val="continue"/>
            <w:vAlign w:val="center"/>
          </w:tcPr>
          <w:p>
            <w:pPr>
              <w:widowControl/>
              <w:jc w:val="center"/>
              <w:rPr>
                <w:rFonts w:ascii="仿宋" w:hAnsi="仿宋" w:eastAsia="仿宋" w:cs="仿宋"/>
                <w:color w:val="000000"/>
                <w:kern w:val="0"/>
                <w:sz w:val="18"/>
                <w:szCs w:val="18"/>
              </w:rPr>
            </w:pPr>
          </w:p>
        </w:tc>
        <w:tc>
          <w:tcPr>
            <w:tcW w:w="1759" w:type="dxa"/>
            <w:vAlign w:val="center"/>
          </w:tcPr>
          <w:p>
            <w:pPr>
              <w:widowControl/>
              <w:jc w:val="center"/>
              <w:rPr>
                <w:rFonts w:ascii="仿宋" w:hAnsi="仿宋" w:eastAsia="仿宋" w:cs="仿宋"/>
                <w:color w:val="000000"/>
                <w:kern w:val="0"/>
                <w:sz w:val="18"/>
                <w:szCs w:val="18"/>
              </w:rPr>
            </w:pPr>
            <w:r>
              <w:rPr>
                <w:rFonts w:hint="eastAsia" w:ascii="仿宋" w:hAnsi="仿宋" w:eastAsia="仿宋" w:cs="仿宋"/>
                <w:color w:val="000000"/>
                <w:kern w:val="0"/>
                <w:sz w:val="18"/>
                <w:szCs w:val="18"/>
              </w:rPr>
              <w:t>远程控制</w:t>
            </w:r>
          </w:p>
        </w:tc>
        <w:tc>
          <w:tcPr>
            <w:tcW w:w="5408" w:type="dxa"/>
            <w:vMerge w:val="continue"/>
            <w:vAlign w:val="center"/>
          </w:tcPr>
          <w:p>
            <w:pPr>
              <w:widowControl/>
              <w:jc w:val="left"/>
              <w:rPr>
                <w:rFonts w:ascii="仿宋" w:hAnsi="仿宋" w:eastAsia="仿宋" w:cs="仿宋"/>
                <w:color w:val="00000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right"/>
        </w:trPr>
        <w:tc>
          <w:tcPr>
            <w:tcW w:w="1129" w:type="dxa"/>
            <w:vMerge w:val="restart"/>
            <w:vAlign w:val="center"/>
          </w:tcPr>
          <w:p>
            <w:pPr>
              <w:widowControl/>
              <w:jc w:val="center"/>
              <w:rPr>
                <w:rFonts w:ascii="仿宋" w:hAnsi="仿宋" w:eastAsia="仿宋" w:cs="仿宋"/>
                <w:color w:val="000000"/>
                <w:kern w:val="0"/>
                <w:sz w:val="18"/>
                <w:szCs w:val="18"/>
              </w:rPr>
            </w:pPr>
            <w:r>
              <w:rPr>
                <w:rFonts w:hint="eastAsia" w:ascii="仿宋" w:hAnsi="仿宋" w:eastAsia="仿宋" w:cs="仿宋"/>
                <w:color w:val="000000"/>
                <w:kern w:val="0"/>
                <w:sz w:val="18"/>
                <w:szCs w:val="18"/>
              </w:rPr>
              <w:t>安防告警</w:t>
            </w:r>
          </w:p>
        </w:tc>
        <w:tc>
          <w:tcPr>
            <w:tcW w:w="1759" w:type="dxa"/>
            <w:vAlign w:val="center"/>
          </w:tcPr>
          <w:p>
            <w:pPr>
              <w:widowControl/>
              <w:jc w:val="center"/>
              <w:rPr>
                <w:rFonts w:ascii="仿宋" w:hAnsi="仿宋" w:eastAsia="仿宋" w:cs="仿宋"/>
                <w:color w:val="000000"/>
                <w:kern w:val="0"/>
                <w:sz w:val="18"/>
                <w:szCs w:val="18"/>
              </w:rPr>
            </w:pPr>
            <w:r>
              <w:rPr>
                <w:rFonts w:hint="eastAsia" w:ascii="仿宋" w:hAnsi="仿宋" w:eastAsia="仿宋" w:cs="仿宋"/>
                <w:color w:val="000000"/>
                <w:kern w:val="0"/>
                <w:sz w:val="18"/>
                <w:szCs w:val="18"/>
              </w:rPr>
              <w:t>入侵报警</w:t>
            </w:r>
          </w:p>
        </w:tc>
        <w:tc>
          <w:tcPr>
            <w:tcW w:w="5408" w:type="dxa"/>
            <w:vMerge w:val="restart"/>
            <w:vAlign w:val="center"/>
          </w:tcPr>
          <w:p>
            <w:pPr>
              <w:widowControl/>
              <w:jc w:val="left"/>
              <w:rPr>
                <w:rFonts w:ascii="仿宋" w:hAnsi="仿宋" w:eastAsia="仿宋" w:cs="仿宋"/>
                <w:color w:val="000000"/>
                <w:kern w:val="0"/>
                <w:sz w:val="18"/>
                <w:szCs w:val="18"/>
              </w:rPr>
            </w:pPr>
            <w:r>
              <w:rPr>
                <w:rFonts w:hint="eastAsia" w:ascii="仿宋" w:hAnsi="仿宋" w:eastAsia="仿宋" w:cs="仿宋"/>
                <w:color w:val="000000"/>
                <w:kern w:val="0"/>
                <w:sz w:val="18"/>
                <w:szCs w:val="18"/>
              </w:rPr>
              <w:t>用户侧：告警信号数据、定位数据、语音数据等</w:t>
            </w:r>
            <w:r>
              <w:rPr>
                <w:rFonts w:hint="eastAsia" w:ascii="仿宋" w:hAnsi="仿宋" w:eastAsia="仿宋" w:cs="仿宋"/>
                <w:color w:val="000000"/>
                <w:kern w:val="0"/>
                <w:sz w:val="18"/>
                <w:szCs w:val="18"/>
              </w:rPr>
              <w:br w:type="textWrapping"/>
            </w:r>
            <w:r>
              <w:rPr>
                <w:rFonts w:hint="eastAsia" w:ascii="仿宋" w:hAnsi="仿宋" w:eastAsia="仿宋" w:cs="仿宋"/>
                <w:color w:val="000000"/>
                <w:kern w:val="0"/>
                <w:sz w:val="18"/>
                <w:szCs w:val="18"/>
              </w:rPr>
              <w:t>设备侧：水、火、电、气各类运行数据、联动告警数据等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right"/>
        </w:trPr>
        <w:tc>
          <w:tcPr>
            <w:tcW w:w="1129" w:type="dxa"/>
            <w:vMerge w:val="continue"/>
            <w:vAlign w:val="center"/>
          </w:tcPr>
          <w:p>
            <w:pPr>
              <w:widowControl/>
              <w:jc w:val="center"/>
              <w:rPr>
                <w:rFonts w:ascii="仿宋" w:hAnsi="仿宋" w:eastAsia="仿宋" w:cs="仿宋"/>
                <w:color w:val="000000"/>
                <w:kern w:val="0"/>
                <w:sz w:val="18"/>
                <w:szCs w:val="18"/>
              </w:rPr>
            </w:pPr>
          </w:p>
        </w:tc>
        <w:tc>
          <w:tcPr>
            <w:tcW w:w="1759" w:type="dxa"/>
            <w:vAlign w:val="center"/>
          </w:tcPr>
          <w:p>
            <w:pPr>
              <w:widowControl/>
              <w:jc w:val="center"/>
              <w:rPr>
                <w:rFonts w:ascii="仿宋" w:hAnsi="仿宋" w:eastAsia="仿宋" w:cs="仿宋"/>
                <w:color w:val="000000"/>
                <w:kern w:val="0"/>
                <w:sz w:val="18"/>
                <w:szCs w:val="18"/>
              </w:rPr>
            </w:pPr>
            <w:r>
              <w:rPr>
                <w:rFonts w:hint="eastAsia" w:ascii="仿宋" w:hAnsi="仿宋" w:eastAsia="仿宋" w:cs="仿宋"/>
                <w:color w:val="000000"/>
                <w:kern w:val="0"/>
                <w:sz w:val="18"/>
                <w:szCs w:val="18"/>
              </w:rPr>
              <w:t>联动监控</w:t>
            </w:r>
          </w:p>
        </w:tc>
        <w:tc>
          <w:tcPr>
            <w:tcW w:w="5408" w:type="dxa"/>
            <w:vMerge w:val="continue"/>
            <w:vAlign w:val="center"/>
          </w:tcPr>
          <w:p>
            <w:pPr>
              <w:widowControl/>
              <w:jc w:val="left"/>
              <w:rPr>
                <w:rFonts w:ascii="仿宋" w:hAnsi="仿宋" w:eastAsia="仿宋" w:cs="仿宋"/>
                <w:color w:val="00000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right"/>
        </w:trPr>
        <w:tc>
          <w:tcPr>
            <w:tcW w:w="1129" w:type="dxa"/>
            <w:vMerge w:val="continue"/>
            <w:vAlign w:val="center"/>
          </w:tcPr>
          <w:p>
            <w:pPr>
              <w:widowControl/>
              <w:jc w:val="center"/>
              <w:rPr>
                <w:rFonts w:ascii="仿宋" w:hAnsi="仿宋" w:eastAsia="仿宋" w:cs="仿宋"/>
                <w:color w:val="000000"/>
                <w:kern w:val="0"/>
                <w:sz w:val="18"/>
                <w:szCs w:val="18"/>
              </w:rPr>
            </w:pPr>
          </w:p>
        </w:tc>
        <w:tc>
          <w:tcPr>
            <w:tcW w:w="1759" w:type="dxa"/>
            <w:vAlign w:val="center"/>
          </w:tcPr>
          <w:p>
            <w:pPr>
              <w:widowControl/>
              <w:jc w:val="center"/>
              <w:rPr>
                <w:rFonts w:ascii="仿宋" w:hAnsi="仿宋" w:eastAsia="仿宋" w:cs="仿宋"/>
                <w:color w:val="000000"/>
                <w:kern w:val="0"/>
                <w:sz w:val="18"/>
                <w:szCs w:val="18"/>
              </w:rPr>
            </w:pPr>
            <w:r>
              <w:rPr>
                <w:rFonts w:hint="eastAsia" w:ascii="仿宋" w:hAnsi="仿宋" w:eastAsia="仿宋" w:cs="仿宋"/>
                <w:color w:val="000000"/>
                <w:kern w:val="0"/>
                <w:sz w:val="18"/>
                <w:szCs w:val="18"/>
              </w:rPr>
              <w:t>火灾监控及报警</w:t>
            </w:r>
          </w:p>
        </w:tc>
        <w:tc>
          <w:tcPr>
            <w:tcW w:w="5408" w:type="dxa"/>
            <w:vMerge w:val="continue"/>
            <w:vAlign w:val="center"/>
          </w:tcPr>
          <w:p>
            <w:pPr>
              <w:widowControl/>
              <w:jc w:val="left"/>
              <w:rPr>
                <w:rFonts w:ascii="仿宋" w:hAnsi="仿宋" w:eastAsia="仿宋" w:cs="仿宋"/>
                <w:color w:val="00000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right"/>
        </w:trPr>
        <w:tc>
          <w:tcPr>
            <w:tcW w:w="1129" w:type="dxa"/>
            <w:vMerge w:val="continue"/>
            <w:vAlign w:val="center"/>
          </w:tcPr>
          <w:p>
            <w:pPr>
              <w:widowControl/>
              <w:jc w:val="center"/>
              <w:rPr>
                <w:rFonts w:ascii="仿宋" w:hAnsi="仿宋" w:eastAsia="仿宋" w:cs="仿宋"/>
                <w:color w:val="000000"/>
                <w:kern w:val="0"/>
                <w:sz w:val="18"/>
                <w:szCs w:val="18"/>
              </w:rPr>
            </w:pPr>
          </w:p>
        </w:tc>
        <w:tc>
          <w:tcPr>
            <w:tcW w:w="1759" w:type="dxa"/>
            <w:vAlign w:val="center"/>
          </w:tcPr>
          <w:p>
            <w:pPr>
              <w:widowControl/>
              <w:jc w:val="center"/>
              <w:rPr>
                <w:rFonts w:ascii="仿宋" w:hAnsi="仿宋" w:eastAsia="仿宋" w:cs="仿宋"/>
                <w:color w:val="000000"/>
                <w:kern w:val="0"/>
                <w:sz w:val="18"/>
                <w:szCs w:val="18"/>
              </w:rPr>
            </w:pPr>
            <w:r>
              <w:rPr>
                <w:rFonts w:hint="eastAsia" w:ascii="仿宋" w:hAnsi="仿宋" w:eastAsia="仿宋" w:cs="仿宋"/>
                <w:color w:val="000000"/>
                <w:kern w:val="0"/>
                <w:sz w:val="18"/>
                <w:szCs w:val="18"/>
              </w:rPr>
              <w:t>水电气监控及报警</w:t>
            </w:r>
          </w:p>
        </w:tc>
        <w:tc>
          <w:tcPr>
            <w:tcW w:w="5408" w:type="dxa"/>
            <w:vMerge w:val="continue"/>
            <w:vAlign w:val="center"/>
          </w:tcPr>
          <w:p>
            <w:pPr>
              <w:widowControl/>
              <w:jc w:val="left"/>
              <w:rPr>
                <w:rFonts w:ascii="仿宋" w:hAnsi="仿宋" w:eastAsia="仿宋" w:cs="仿宋"/>
                <w:color w:val="00000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right"/>
        </w:trPr>
        <w:tc>
          <w:tcPr>
            <w:tcW w:w="1129" w:type="dxa"/>
            <w:vMerge w:val="continue"/>
            <w:vAlign w:val="center"/>
          </w:tcPr>
          <w:p>
            <w:pPr>
              <w:widowControl/>
              <w:jc w:val="center"/>
              <w:rPr>
                <w:rFonts w:ascii="仿宋" w:hAnsi="仿宋" w:eastAsia="仿宋" w:cs="仿宋"/>
                <w:color w:val="000000"/>
                <w:kern w:val="0"/>
                <w:sz w:val="18"/>
                <w:szCs w:val="18"/>
              </w:rPr>
            </w:pPr>
          </w:p>
        </w:tc>
        <w:tc>
          <w:tcPr>
            <w:tcW w:w="1759" w:type="dxa"/>
            <w:vAlign w:val="center"/>
          </w:tcPr>
          <w:p>
            <w:pPr>
              <w:widowControl/>
              <w:jc w:val="center"/>
              <w:rPr>
                <w:rFonts w:ascii="仿宋" w:hAnsi="仿宋" w:eastAsia="仿宋" w:cs="仿宋"/>
                <w:color w:val="000000"/>
                <w:kern w:val="0"/>
                <w:sz w:val="18"/>
                <w:szCs w:val="18"/>
              </w:rPr>
            </w:pPr>
            <w:r>
              <w:rPr>
                <w:rFonts w:hint="eastAsia" w:ascii="仿宋" w:hAnsi="仿宋" w:eastAsia="仿宋" w:cs="仿宋"/>
                <w:color w:val="000000"/>
                <w:kern w:val="0"/>
                <w:sz w:val="18"/>
                <w:szCs w:val="18"/>
              </w:rPr>
              <w:t>可视化对讲</w:t>
            </w:r>
          </w:p>
        </w:tc>
        <w:tc>
          <w:tcPr>
            <w:tcW w:w="5408" w:type="dxa"/>
            <w:vMerge w:val="continue"/>
            <w:vAlign w:val="center"/>
          </w:tcPr>
          <w:p>
            <w:pPr>
              <w:widowControl/>
              <w:jc w:val="left"/>
              <w:rPr>
                <w:rFonts w:ascii="仿宋" w:hAnsi="仿宋" w:eastAsia="仿宋" w:cs="仿宋"/>
                <w:color w:val="00000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right"/>
        </w:trPr>
        <w:tc>
          <w:tcPr>
            <w:tcW w:w="1129" w:type="dxa"/>
            <w:vMerge w:val="restart"/>
            <w:vAlign w:val="center"/>
          </w:tcPr>
          <w:p>
            <w:pPr>
              <w:widowControl/>
              <w:jc w:val="center"/>
              <w:rPr>
                <w:rFonts w:ascii="仿宋" w:hAnsi="仿宋" w:eastAsia="仿宋" w:cs="仿宋"/>
                <w:color w:val="000000"/>
                <w:kern w:val="0"/>
                <w:sz w:val="18"/>
                <w:szCs w:val="18"/>
              </w:rPr>
            </w:pPr>
            <w:r>
              <w:rPr>
                <w:rFonts w:hint="eastAsia" w:ascii="仿宋" w:hAnsi="仿宋" w:eastAsia="仿宋" w:cs="仿宋"/>
                <w:color w:val="000000"/>
                <w:kern w:val="0"/>
                <w:sz w:val="18"/>
                <w:szCs w:val="18"/>
              </w:rPr>
              <w:t>居家娱乐</w:t>
            </w:r>
          </w:p>
        </w:tc>
        <w:tc>
          <w:tcPr>
            <w:tcW w:w="1759" w:type="dxa"/>
            <w:vAlign w:val="center"/>
          </w:tcPr>
          <w:p>
            <w:pPr>
              <w:widowControl/>
              <w:jc w:val="center"/>
              <w:rPr>
                <w:rFonts w:ascii="仿宋" w:hAnsi="仿宋" w:eastAsia="仿宋" w:cs="仿宋"/>
                <w:color w:val="000000"/>
                <w:kern w:val="0"/>
                <w:sz w:val="18"/>
                <w:szCs w:val="18"/>
              </w:rPr>
            </w:pPr>
            <w:r>
              <w:rPr>
                <w:rFonts w:hint="eastAsia" w:ascii="仿宋" w:hAnsi="仿宋" w:eastAsia="仿宋" w:cs="仿宋"/>
                <w:color w:val="000000"/>
                <w:kern w:val="0"/>
                <w:sz w:val="18"/>
                <w:szCs w:val="18"/>
              </w:rPr>
              <w:t>节目推荐</w:t>
            </w:r>
          </w:p>
        </w:tc>
        <w:tc>
          <w:tcPr>
            <w:tcW w:w="5408" w:type="dxa"/>
            <w:vMerge w:val="restart"/>
            <w:vAlign w:val="center"/>
          </w:tcPr>
          <w:p>
            <w:pPr>
              <w:widowControl/>
              <w:jc w:val="left"/>
              <w:rPr>
                <w:rFonts w:ascii="仿宋" w:hAnsi="仿宋" w:eastAsia="仿宋" w:cs="仿宋"/>
                <w:color w:val="000000"/>
                <w:kern w:val="0"/>
                <w:sz w:val="18"/>
                <w:szCs w:val="18"/>
              </w:rPr>
            </w:pPr>
            <w:r>
              <w:rPr>
                <w:rFonts w:hint="eastAsia" w:ascii="仿宋" w:hAnsi="仿宋" w:eastAsia="仿宋" w:cs="仿宋"/>
                <w:color w:val="000000"/>
                <w:kern w:val="0"/>
                <w:sz w:val="18"/>
                <w:szCs w:val="18"/>
              </w:rPr>
              <w:t>用户侧：手机APP数据、语音数据、个人基础数据（性别、年龄等）</w:t>
            </w:r>
            <w:r>
              <w:rPr>
                <w:rFonts w:hint="eastAsia" w:ascii="仿宋" w:hAnsi="仿宋" w:eastAsia="仿宋" w:cs="仿宋"/>
                <w:color w:val="000000"/>
                <w:kern w:val="0"/>
                <w:sz w:val="18"/>
                <w:szCs w:val="18"/>
              </w:rPr>
              <w:br w:type="textWrapping"/>
            </w:r>
            <w:r>
              <w:rPr>
                <w:rFonts w:hint="eastAsia" w:ascii="仿宋" w:hAnsi="仿宋" w:eastAsia="仿宋" w:cs="仿宋"/>
                <w:color w:val="000000"/>
                <w:kern w:val="0"/>
                <w:sz w:val="18"/>
                <w:szCs w:val="18"/>
              </w:rPr>
              <w:t>设备侧：使用频率数据、常设参数数据等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right"/>
        </w:trPr>
        <w:tc>
          <w:tcPr>
            <w:tcW w:w="1129" w:type="dxa"/>
            <w:vMerge w:val="continue"/>
            <w:vAlign w:val="center"/>
          </w:tcPr>
          <w:p>
            <w:pPr>
              <w:widowControl/>
              <w:jc w:val="center"/>
              <w:rPr>
                <w:rFonts w:ascii="仿宋" w:hAnsi="仿宋" w:eastAsia="仿宋" w:cs="仿宋"/>
                <w:color w:val="000000"/>
                <w:kern w:val="0"/>
                <w:sz w:val="18"/>
                <w:szCs w:val="18"/>
              </w:rPr>
            </w:pPr>
          </w:p>
        </w:tc>
        <w:tc>
          <w:tcPr>
            <w:tcW w:w="1759" w:type="dxa"/>
            <w:vAlign w:val="center"/>
          </w:tcPr>
          <w:p>
            <w:pPr>
              <w:widowControl/>
              <w:jc w:val="center"/>
              <w:rPr>
                <w:rFonts w:ascii="仿宋" w:hAnsi="仿宋" w:eastAsia="仿宋" w:cs="仿宋"/>
                <w:color w:val="000000"/>
                <w:kern w:val="0"/>
                <w:sz w:val="18"/>
                <w:szCs w:val="18"/>
              </w:rPr>
            </w:pPr>
            <w:r>
              <w:rPr>
                <w:rFonts w:hint="eastAsia" w:ascii="仿宋" w:hAnsi="仿宋" w:eastAsia="仿宋" w:cs="仿宋"/>
                <w:color w:val="000000"/>
                <w:kern w:val="0"/>
                <w:sz w:val="18"/>
                <w:szCs w:val="18"/>
              </w:rPr>
              <w:t>节目观看</w:t>
            </w:r>
          </w:p>
        </w:tc>
        <w:tc>
          <w:tcPr>
            <w:tcW w:w="5408" w:type="dxa"/>
            <w:vMerge w:val="continue"/>
            <w:vAlign w:val="center"/>
          </w:tcPr>
          <w:p>
            <w:pPr>
              <w:widowControl/>
              <w:jc w:val="left"/>
              <w:rPr>
                <w:rFonts w:ascii="仿宋" w:hAnsi="仿宋" w:eastAsia="仿宋" w:cs="仿宋"/>
                <w:color w:val="00000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right"/>
        </w:trPr>
        <w:tc>
          <w:tcPr>
            <w:tcW w:w="1129" w:type="dxa"/>
            <w:vMerge w:val="restart"/>
            <w:vAlign w:val="center"/>
          </w:tcPr>
          <w:p>
            <w:pPr>
              <w:widowControl/>
              <w:jc w:val="center"/>
              <w:rPr>
                <w:rFonts w:ascii="仿宋" w:hAnsi="仿宋" w:eastAsia="仿宋" w:cs="仿宋"/>
                <w:color w:val="000000"/>
                <w:kern w:val="0"/>
                <w:sz w:val="18"/>
                <w:szCs w:val="18"/>
              </w:rPr>
            </w:pPr>
            <w:r>
              <w:rPr>
                <w:rFonts w:hint="eastAsia" w:ascii="仿宋" w:hAnsi="仿宋" w:eastAsia="仿宋" w:cs="仿宋"/>
                <w:color w:val="000000"/>
                <w:kern w:val="0"/>
                <w:sz w:val="18"/>
                <w:szCs w:val="18"/>
              </w:rPr>
              <w:t>视频监控</w:t>
            </w:r>
          </w:p>
        </w:tc>
        <w:tc>
          <w:tcPr>
            <w:tcW w:w="1759" w:type="dxa"/>
            <w:vAlign w:val="center"/>
          </w:tcPr>
          <w:p>
            <w:pPr>
              <w:widowControl/>
              <w:jc w:val="center"/>
              <w:rPr>
                <w:rFonts w:ascii="仿宋" w:hAnsi="仿宋" w:eastAsia="仿宋" w:cs="仿宋"/>
                <w:color w:val="000000"/>
                <w:kern w:val="0"/>
                <w:sz w:val="18"/>
                <w:szCs w:val="18"/>
              </w:rPr>
            </w:pPr>
            <w:r>
              <w:rPr>
                <w:rFonts w:hint="eastAsia" w:ascii="仿宋" w:hAnsi="仿宋" w:eastAsia="仿宋" w:cs="仿宋"/>
                <w:color w:val="000000"/>
                <w:kern w:val="0"/>
                <w:sz w:val="18"/>
                <w:szCs w:val="18"/>
              </w:rPr>
              <w:t>云台或镜头控制</w:t>
            </w:r>
          </w:p>
        </w:tc>
        <w:tc>
          <w:tcPr>
            <w:tcW w:w="5408" w:type="dxa"/>
            <w:vMerge w:val="restart"/>
            <w:vAlign w:val="center"/>
          </w:tcPr>
          <w:p>
            <w:pPr>
              <w:widowControl/>
              <w:jc w:val="left"/>
              <w:rPr>
                <w:rFonts w:ascii="仿宋" w:hAnsi="仿宋" w:eastAsia="仿宋" w:cs="仿宋"/>
                <w:color w:val="000000"/>
                <w:kern w:val="0"/>
                <w:sz w:val="18"/>
                <w:szCs w:val="18"/>
              </w:rPr>
            </w:pPr>
            <w:r>
              <w:rPr>
                <w:rFonts w:hint="eastAsia" w:ascii="仿宋" w:hAnsi="仿宋" w:eastAsia="仿宋" w:cs="仿宋"/>
                <w:color w:val="000000"/>
                <w:kern w:val="0"/>
                <w:sz w:val="18"/>
                <w:szCs w:val="18"/>
              </w:rPr>
              <w:t>用户侧：人脸数据、动作行为数据、个人习惯数据</w:t>
            </w:r>
            <w:r>
              <w:rPr>
                <w:rFonts w:hint="eastAsia" w:ascii="仿宋" w:hAnsi="仿宋" w:eastAsia="仿宋" w:cs="仿宋"/>
                <w:color w:val="000000"/>
                <w:kern w:val="0"/>
                <w:sz w:val="18"/>
                <w:szCs w:val="18"/>
              </w:rPr>
              <w:br w:type="textWrapping"/>
            </w:r>
            <w:r>
              <w:rPr>
                <w:rFonts w:hint="eastAsia" w:ascii="仿宋" w:hAnsi="仿宋" w:eastAsia="仿宋" w:cs="仿宋"/>
                <w:color w:val="000000"/>
                <w:kern w:val="0"/>
                <w:sz w:val="18"/>
                <w:szCs w:val="18"/>
              </w:rPr>
              <w:t>设备侧：运行时间数据、视频数据等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right"/>
        </w:trPr>
        <w:tc>
          <w:tcPr>
            <w:tcW w:w="1129" w:type="dxa"/>
            <w:vMerge w:val="continue"/>
            <w:vAlign w:val="center"/>
          </w:tcPr>
          <w:p>
            <w:pPr>
              <w:widowControl/>
              <w:jc w:val="center"/>
              <w:rPr>
                <w:rFonts w:ascii="仿宋" w:hAnsi="仿宋" w:eastAsia="仿宋" w:cs="仿宋"/>
                <w:color w:val="000000"/>
                <w:kern w:val="0"/>
                <w:sz w:val="18"/>
                <w:szCs w:val="18"/>
              </w:rPr>
            </w:pPr>
          </w:p>
        </w:tc>
        <w:tc>
          <w:tcPr>
            <w:tcW w:w="1759" w:type="dxa"/>
            <w:vAlign w:val="center"/>
          </w:tcPr>
          <w:p>
            <w:pPr>
              <w:widowControl/>
              <w:jc w:val="center"/>
              <w:rPr>
                <w:rFonts w:ascii="仿宋" w:hAnsi="仿宋" w:eastAsia="仿宋" w:cs="仿宋"/>
                <w:color w:val="000000"/>
                <w:kern w:val="0"/>
                <w:sz w:val="18"/>
                <w:szCs w:val="18"/>
              </w:rPr>
            </w:pPr>
            <w:r>
              <w:rPr>
                <w:rFonts w:hint="eastAsia" w:ascii="仿宋" w:hAnsi="仿宋" w:eastAsia="仿宋" w:cs="仿宋"/>
                <w:color w:val="000000"/>
                <w:kern w:val="0"/>
                <w:sz w:val="18"/>
                <w:szCs w:val="18"/>
              </w:rPr>
              <w:t>录像</w:t>
            </w:r>
          </w:p>
        </w:tc>
        <w:tc>
          <w:tcPr>
            <w:tcW w:w="5408" w:type="dxa"/>
            <w:vMerge w:val="continue"/>
            <w:vAlign w:val="center"/>
          </w:tcPr>
          <w:p>
            <w:pPr>
              <w:widowControl/>
              <w:jc w:val="left"/>
              <w:rPr>
                <w:rFonts w:ascii="仿宋" w:hAnsi="仿宋" w:eastAsia="仿宋" w:cs="仿宋"/>
                <w:color w:val="00000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right"/>
        </w:trPr>
        <w:tc>
          <w:tcPr>
            <w:tcW w:w="1129" w:type="dxa"/>
            <w:vMerge w:val="restart"/>
            <w:vAlign w:val="center"/>
          </w:tcPr>
          <w:p>
            <w:pPr>
              <w:widowControl/>
              <w:jc w:val="center"/>
              <w:rPr>
                <w:rFonts w:ascii="仿宋" w:hAnsi="仿宋" w:eastAsia="仿宋" w:cs="仿宋"/>
                <w:color w:val="000000"/>
                <w:kern w:val="0"/>
                <w:sz w:val="18"/>
                <w:szCs w:val="18"/>
              </w:rPr>
            </w:pPr>
            <w:r>
              <w:rPr>
                <w:rFonts w:hint="eastAsia" w:ascii="仿宋" w:hAnsi="仿宋" w:eastAsia="仿宋" w:cs="仿宋"/>
                <w:color w:val="000000"/>
                <w:kern w:val="0"/>
                <w:sz w:val="18"/>
                <w:szCs w:val="18"/>
              </w:rPr>
              <w:t>信息沟通</w:t>
            </w:r>
          </w:p>
        </w:tc>
        <w:tc>
          <w:tcPr>
            <w:tcW w:w="1759" w:type="dxa"/>
            <w:vAlign w:val="center"/>
          </w:tcPr>
          <w:p>
            <w:pPr>
              <w:widowControl/>
              <w:jc w:val="center"/>
              <w:rPr>
                <w:rFonts w:ascii="仿宋" w:hAnsi="仿宋" w:eastAsia="仿宋" w:cs="仿宋"/>
                <w:color w:val="000000"/>
                <w:kern w:val="0"/>
                <w:sz w:val="18"/>
                <w:szCs w:val="18"/>
              </w:rPr>
            </w:pPr>
            <w:r>
              <w:rPr>
                <w:rFonts w:hint="eastAsia" w:ascii="仿宋" w:hAnsi="仿宋" w:eastAsia="仿宋" w:cs="仿宋"/>
                <w:color w:val="000000"/>
                <w:kern w:val="0"/>
                <w:sz w:val="18"/>
                <w:szCs w:val="18"/>
              </w:rPr>
              <w:t>多媒体通信</w:t>
            </w:r>
          </w:p>
        </w:tc>
        <w:tc>
          <w:tcPr>
            <w:tcW w:w="5408" w:type="dxa"/>
            <w:vMerge w:val="restart"/>
            <w:vAlign w:val="center"/>
          </w:tcPr>
          <w:p>
            <w:pPr>
              <w:widowControl/>
              <w:jc w:val="left"/>
              <w:rPr>
                <w:rFonts w:ascii="仿宋" w:hAnsi="仿宋" w:eastAsia="仿宋" w:cs="仿宋"/>
                <w:color w:val="000000"/>
                <w:kern w:val="0"/>
                <w:sz w:val="18"/>
                <w:szCs w:val="18"/>
              </w:rPr>
            </w:pPr>
            <w:r>
              <w:rPr>
                <w:rFonts w:hint="eastAsia" w:ascii="仿宋" w:hAnsi="仿宋" w:eastAsia="仿宋" w:cs="仿宋"/>
                <w:color w:val="000000"/>
                <w:kern w:val="0"/>
                <w:sz w:val="18"/>
                <w:szCs w:val="18"/>
              </w:rPr>
              <w:t>用户侧：语音通话数据、手机APP数据、个人基础数据等</w:t>
            </w:r>
            <w:r>
              <w:rPr>
                <w:rFonts w:hint="eastAsia" w:ascii="仿宋" w:hAnsi="仿宋" w:eastAsia="仿宋" w:cs="仿宋"/>
                <w:color w:val="000000"/>
                <w:kern w:val="0"/>
                <w:sz w:val="18"/>
                <w:szCs w:val="18"/>
              </w:rPr>
              <w:br w:type="textWrapping"/>
            </w:r>
            <w:r>
              <w:rPr>
                <w:rFonts w:hint="eastAsia" w:ascii="仿宋" w:hAnsi="仿宋" w:eastAsia="仿宋" w:cs="仿宋"/>
                <w:color w:val="000000"/>
                <w:kern w:val="0"/>
                <w:sz w:val="18"/>
                <w:szCs w:val="18"/>
              </w:rPr>
              <w:t>设备侧：运行时间数据等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right"/>
        </w:trPr>
        <w:tc>
          <w:tcPr>
            <w:tcW w:w="1129" w:type="dxa"/>
            <w:vMerge w:val="continue"/>
            <w:vAlign w:val="center"/>
          </w:tcPr>
          <w:p>
            <w:pPr>
              <w:widowControl/>
              <w:jc w:val="center"/>
              <w:rPr>
                <w:rFonts w:ascii="仿宋" w:hAnsi="仿宋" w:eastAsia="仿宋" w:cs="仿宋"/>
                <w:color w:val="000000"/>
                <w:kern w:val="0"/>
                <w:sz w:val="18"/>
                <w:szCs w:val="18"/>
              </w:rPr>
            </w:pPr>
          </w:p>
        </w:tc>
        <w:tc>
          <w:tcPr>
            <w:tcW w:w="1759" w:type="dxa"/>
            <w:vAlign w:val="center"/>
          </w:tcPr>
          <w:p>
            <w:pPr>
              <w:widowControl/>
              <w:jc w:val="center"/>
              <w:rPr>
                <w:rFonts w:ascii="仿宋" w:hAnsi="仿宋" w:eastAsia="仿宋" w:cs="仿宋"/>
                <w:color w:val="000000"/>
                <w:kern w:val="0"/>
                <w:sz w:val="18"/>
                <w:szCs w:val="18"/>
              </w:rPr>
            </w:pPr>
            <w:r>
              <w:rPr>
                <w:rFonts w:hint="eastAsia" w:ascii="仿宋" w:hAnsi="仿宋" w:eastAsia="仿宋" w:cs="仿宋"/>
                <w:color w:val="000000"/>
                <w:kern w:val="0"/>
                <w:sz w:val="18"/>
                <w:szCs w:val="18"/>
              </w:rPr>
              <w:t>紧急呼救</w:t>
            </w:r>
          </w:p>
        </w:tc>
        <w:tc>
          <w:tcPr>
            <w:tcW w:w="5408" w:type="dxa"/>
            <w:vMerge w:val="continue"/>
            <w:vAlign w:val="center"/>
          </w:tcPr>
          <w:p>
            <w:pPr>
              <w:widowControl/>
              <w:jc w:val="left"/>
              <w:rPr>
                <w:rFonts w:ascii="仿宋" w:hAnsi="仿宋" w:eastAsia="仿宋" w:cs="仿宋"/>
                <w:color w:val="00000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right"/>
        </w:trPr>
        <w:tc>
          <w:tcPr>
            <w:tcW w:w="1129" w:type="dxa"/>
            <w:vMerge w:val="continue"/>
            <w:vAlign w:val="center"/>
          </w:tcPr>
          <w:p>
            <w:pPr>
              <w:widowControl/>
              <w:jc w:val="center"/>
              <w:rPr>
                <w:rFonts w:ascii="仿宋" w:hAnsi="仿宋" w:eastAsia="仿宋" w:cs="仿宋"/>
                <w:color w:val="000000"/>
                <w:kern w:val="0"/>
                <w:sz w:val="18"/>
                <w:szCs w:val="18"/>
              </w:rPr>
            </w:pPr>
          </w:p>
        </w:tc>
        <w:tc>
          <w:tcPr>
            <w:tcW w:w="1759" w:type="dxa"/>
            <w:vAlign w:val="center"/>
          </w:tcPr>
          <w:p>
            <w:pPr>
              <w:widowControl/>
              <w:jc w:val="center"/>
              <w:rPr>
                <w:rFonts w:ascii="仿宋" w:hAnsi="仿宋" w:eastAsia="仿宋" w:cs="仿宋"/>
                <w:color w:val="000000"/>
                <w:kern w:val="0"/>
                <w:sz w:val="18"/>
                <w:szCs w:val="18"/>
              </w:rPr>
            </w:pPr>
            <w:r>
              <w:rPr>
                <w:rFonts w:hint="eastAsia" w:ascii="仿宋" w:hAnsi="仿宋" w:eastAsia="仿宋" w:cs="仿宋"/>
                <w:color w:val="000000"/>
                <w:kern w:val="0"/>
                <w:sz w:val="18"/>
                <w:szCs w:val="18"/>
              </w:rPr>
              <w:t>生活信息</w:t>
            </w:r>
          </w:p>
        </w:tc>
        <w:tc>
          <w:tcPr>
            <w:tcW w:w="5408" w:type="dxa"/>
            <w:vMerge w:val="continue"/>
            <w:vAlign w:val="center"/>
          </w:tcPr>
          <w:p>
            <w:pPr>
              <w:widowControl/>
              <w:jc w:val="left"/>
              <w:rPr>
                <w:rFonts w:ascii="仿宋" w:hAnsi="仿宋" w:eastAsia="仿宋" w:cs="仿宋"/>
                <w:color w:val="00000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right"/>
        </w:trPr>
        <w:tc>
          <w:tcPr>
            <w:tcW w:w="1129" w:type="dxa"/>
            <w:vMerge w:val="restart"/>
            <w:vAlign w:val="center"/>
          </w:tcPr>
          <w:p>
            <w:pPr>
              <w:widowControl/>
              <w:jc w:val="center"/>
              <w:rPr>
                <w:rFonts w:ascii="仿宋" w:hAnsi="仿宋" w:eastAsia="仿宋" w:cs="仿宋"/>
                <w:color w:val="000000"/>
                <w:kern w:val="0"/>
                <w:sz w:val="18"/>
                <w:szCs w:val="18"/>
              </w:rPr>
            </w:pPr>
            <w:r>
              <w:rPr>
                <w:rFonts w:hint="eastAsia" w:ascii="仿宋" w:hAnsi="仿宋" w:eastAsia="仿宋" w:cs="仿宋"/>
                <w:color w:val="000000"/>
                <w:kern w:val="0"/>
                <w:sz w:val="18"/>
                <w:szCs w:val="18"/>
              </w:rPr>
              <w:t>能源计量</w:t>
            </w:r>
          </w:p>
        </w:tc>
        <w:tc>
          <w:tcPr>
            <w:tcW w:w="1759" w:type="dxa"/>
            <w:vAlign w:val="center"/>
          </w:tcPr>
          <w:p>
            <w:pPr>
              <w:widowControl/>
              <w:jc w:val="center"/>
              <w:rPr>
                <w:rFonts w:ascii="仿宋" w:hAnsi="仿宋" w:eastAsia="仿宋" w:cs="仿宋"/>
                <w:color w:val="000000"/>
                <w:kern w:val="0"/>
                <w:sz w:val="18"/>
                <w:szCs w:val="18"/>
              </w:rPr>
            </w:pPr>
            <w:r>
              <w:rPr>
                <w:rFonts w:hint="eastAsia" w:ascii="仿宋" w:hAnsi="仿宋" w:eastAsia="仿宋" w:cs="仿宋"/>
                <w:color w:val="000000"/>
                <w:kern w:val="0"/>
                <w:sz w:val="18"/>
                <w:szCs w:val="18"/>
              </w:rPr>
              <w:t>远程抄表</w:t>
            </w:r>
          </w:p>
        </w:tc>
        <w:tc>
          <w:tcPr>
            <w:tcW w:w="5408" w:type="dxa"/>
            <w:vMerge w:val="restart"/>
            <w:vAlign w:val="center"/>
          </w:tcPr>
          <w:p>
            <w:pPr>
              <w:widowControl/>
              <w:jc w:val="left"/>
              <w:rPr>
                <w:rFonts w:ascii="仿宋" w:hAnsi="仿宋" w:eastAsia="仿宋" w:cs="仿宋"/>
                <w:color w:val="000000"/>
                <w:kern w:val="0"/>
                <w:sz w:val="18"/>
                <w:szCs w:val="18"/>
              </w:rPr>
            </w:pPr>
            <w:r>
              <w:rPr>
                <w:rFonts w:hint="eastAsia" w:ascii="仿宋" w:hAnsi="仿宋" w:eastAsia="仿宋" w:cs="仿宋"/>
                <w:color w:val="000000"/>
                <w:kern w:val="0"/>
                <w:sz w:val="18"/>
                <w:szCs w:val="18"/>
              </w:rPr>
              <w:t>用户侧：告警信号数据、账单数据等</w:t>
            </w:r>
            <w:r>
              <w:rPr>
                <w:rFonts w:hint="eastAsia" w:ascii="仿宋" w:hAnsi="仿宋" w:eastAsia="仿宋" w:cs="仿宋"/>
                <w:color w:val="000000"/>
                <w:kern w:val="0"/>
                <w:sz w:val="18"/>
                <w:szCs w:val="18"/>
              </w:rPr>
              <w:br w:type="textWrapping"/>
            </w:r>
            <w:r>
              <w:rPr>
                <w:rFonts w:hint="eastAsia" w:ascii="仿宋" w:hAnsi="仿宋" w:eastAsia="仿宋" w:cs="仿宋"/>
                <w:color w:val="000000"/>
                <w:kern w:val="0"/>
                <w:sz w:val="18"/>
                <w:szCs w:val="18"/>
              </w:rPr>
              <w:t>设备侧：计量数据、运行时间、运行参数数据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right"/>
        </w:trPr>
        <w:tc>
          <w:tcPr>
            <w:tcW w:w="1129" w:type="dxa"/>
            <w:vMerge w:val="continue"/>
            <w:vAlign w:val="center"/>
          </w:tcPr>
          <w:p>
            <w:pPr>
              <w:widowControl/>
              <w:jc w:val="center"/>
              <w:rPr>
                <w:rFonts w:ascii="仿宋" w:hAnsi="仿宋" w:eastAsia="仿宋" w:cs="仿宋"/>
                <w:color w:val="000000"/>
                <w:kern w:val="0"/>
                <w:sz w:val="18"/>
                <w:szCs w:val="18"/>
              </w:rPr>
            </w:pPr>
          </w:p>
        </w:tc>
        <w:tc>
          <w:tcPr>
            <w:tcW w:w="1759" w:type="dxa"/>
            <w:vAlign w:val="center"/>
          </w:tcPr>
          <w:p>
            <w:pPr>
              <w:widowControl/>
              <w:jc w:val="center"/>
              <w:rPr>
                <w:rFonts w:ascii="仿宋" w:hAnsi="仿宋" w:eastAsia="仿宋" w:cs="仿宋"/>
                <w:color w:val="000000"/>
                <w:kern w:val="0"/>
                <w:sz w:val="18"/>
                <w:szCs w:val="18"/>
              </w:rPr>
            </w:pPr>
            <w:r>
              <w:rPr>
                <w:rFonts w:hint="eastAsia" w:ascii="仿宋" w:hAnsi="仿宋" w:eastAsia="仿宋" w:cs="仿宋"/>
                <w:color w:val="000000"/>
                <w:kern w:val="0"/>
                <w:sz w:val="18"/>
                <w:szCs w:val="18"/>
              </w:rPr>
              <w:t>能耗提醒</w:t>
            </w:r>
          </w:p>
        </w:tc>
        <w:tc>
          <w:tcPr>
            <w:tcW w:w="5408" w:type="dxa"/>
            <w:vMerge w:val="continue"/>
            <w:vAlign w:val="center"/>
          </w:tcPr>
          <w:p>
            <w:pPr>
              <w:widowControl/>
              <w:jc w:val="left"/>
              <w:rPr>
                <w:rFonts w:ascii="仿宋" w:hAnsi="仿宋" w:eastAsia="仿宋" w:cs="仿宋"/>
                <w:color w:val="00000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right"/>
        </w:trPr>
        <w:tc>
          <w:tcPr>
            <w:tcW w:w="1129" w:type="dxa"/>
            <w:vMerge w:val="restart"/>
            <w:vAlign w:val="center"/>
          </w:tcPr>
          <w:p>
            <w:pPr>
              <w:widowControl/>
              <w:jc w:val="center"/>
              <w:rPr>
                <w:rFonts w:ascii="仿宋" w:hAnsi="仿宋" w:eastAsia="仿宋" w:cs="仿宋"/>
                <w:color w:val="000000"/>
                <w:kern w:val="0"/>
                <w:sz w:val="18"/>
                <w:szCs w:val="18"/>
              </w:rPr>
            </w:pPr>
            <w:r>
              <w:rPr>
                <w:rFonts w:hint="eastAsia" w:ascii="仿宋" w:hAnsi="仿宋" w:eastAsia="仿宋" w:cs="仿宋"/>
                <w:color w:val="000000"/>
                <w:kern w:val="0"/>
                <w:sz w:val="18"/>
                <w:szCs w:val="18"/>
              </w:rPr>
              <w:t>健康监护</w:t>
            </w:r>
          </w:p>
        </w:tc>
        <w:tc>
          <w:tcPr>
            <w:tcW w:w="1759" w:type="dxa"/>
            <w:vAlign w:val="center"/>
          </w:tcPr>
          <w:p>
            <w:pPr>
              <w:widowControl/>
              <w:jc w:val="center"/>
              <w:rPr>
                <w:rFonts w:ascii="仿宋" w:hAnsi="仿宋" w:eastAsia="仿宋" w:cs="仿宋"/>
                <w:color w:val="000000"/>
                <w:kern w:val="0"/>
                <w:sz w:val="18"/>
                <w:szCs w:val="18"/>
              </w:rPr>
            </w:pPr>
            <w:r>
              <w:rPr>
                <w:rFonts w:hint="eastAsia" w:ascii="仿宋" w:hAnsi="仿宋" w:eastAsia="仿宋" w:cs="仿宋"/>
                <w:color w:val="000000"/>
                <w:kern w:val="0"/>
                <w:sz w:val="18"/>
                <w:szCs w:val="18"/>
              </w:rPr>
              <w:t>家庭医疗保健</w:t>
            </w:r>
          </w:p>
        </w:tc>
        <w:tc>
          <w:tcPr>
            <w:tcW w:w="5408" w:type="dxa"/>
            <w:vMerge w:val="restart"/>
            <w:vAlign w:val="center"/>
          </w:tcPr>
          <w:p>
            <w:pPr>
              <w:widowControl/>
              <w:jc w:val="left"/>
              <w:rPr>
                <w:rFonts w:ascii="仿宋" w:hAnsi="仿宋" w:eastAsia="仿宋" w:cs="仿宋"/>
                <w:color w:val="000000"/>
                <w:kern w:val="0"/>
                <w:sz w:val="18"/>
                <w:szCs w:val="18"/>
              </w:rPr>
            </w:pPr>
            <w:r>
              <w:rPr>
                <w:rFonts w:hint="eastAsia" w:ascii="仿宋" w:hAnsi="仿宋" w:eastAsia="仿宋" w:cs="仿宋"/>
                <w:color w:val="000000"/>
                <w:kern w:val="0"/>
                <w:sz w:val="18"/>
                <w:szCs w:val="18"/>
              </w:rPr>
              <w:t>用户侧：个人基础数据（身高、体重等）、就医记录数据、既往病史数据等</w:t>
            </w:r>
            <w:r>
              <w:rPr>
                <w:rFonts w:hint="eastAsia" w:ascii="仿宋" w:hAnsi="仿宋" w:eastAsia="仿宋" w:cs="仿宋"/>
                <w:color w:val="000000"/>
                <w:kern w:val="0"/>
                <w:sz w:val="18"/>
                <w:szCs w:val="18"/>
              </w:rPr>
              <w:br w:type="textWrapping"/>
            </w:r>
            <w:r>
              <w:rPr>
                <w:rFonts w:hint="eastAsia" w:ascii="仿宋" w:hAnsi="仿宋" w:eastAsia="仿宋" w:cs="仿宋"/>
                <w:color w:val="000000"/>
                <w:kern w:val="0"/>
                <w:sz w:val="18"/>
                <w:szCs w:val="18"/>
              </w:rPr>
              <w:t>设备侧：心跳、血压、跌倒等健康监测数据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right"/>
        </w:trPr>
        <w:tc>
          <w:tcPr>
            <w:tcW w:w="1129" w:type="dxa"/>
            <w:vMerge w:val="continue"/>
            <w:vAlign w:val="center"/>
          </w:tcPr>
          <w:p>
            <w:pPr>
              <w:widowControl/>
              <w:jc w:val="center"/>
              <w:rPr>
                <w:rFonts w:ascii="仿宋" w:hAnsi="仿宋" w:eastAsia="仿宋" w:cs="仿宋"/>
                <w:color w:val="000000"/>
                <w:kern w:val="0"/>
                <w:sz w:val="18"/>
                <w:szCs w:val="18"/>
              </w:rPr>
            </w:pPr>
          </w:p>
        </w:tc>
        <w:tc>
          <w:tcPr>
            <w:tcW w:w="1759" w:type="dxa"/>
            <w:vAlign w:val="center"/>
          </w:tcPr>
          <w:p>
            <w:pPr>
              <w:widowControl/>
              <w:jc w:val="center"/>
              <w:rPr>
                <w:rFonts w:ascii="仿宋" w:hAnsi="仿宋" w:eastAsia="仿宋" w:cs="仿宋"/>
                <w:color w:val="000000"/>
                <w:kern w:val="0"/>
                <w:sz w:val="18"/>
                <w:szCs w:val="18"/>
              </w:rPr>
            </w:pPr>
            <w:r>
              <w:rPr>
                <w:rFonts w:hint="eastAsia" w:ascii="仿宋" w:hAnsi="仿宋" w:eastAsia="仿宋" w:cs="仿宋"/>
                <w:color w:val="000000"/>
                <w:kern w:val="0"/>
                <w:sz w:val="18"/>
                <w:szCs w:val="18"/>
              </w:rPr>
              <w:t>室内监护</w:t>
            </w:r>
          </w:p>
        </w:tc>
        <w:tc>
          <w:tcPr>
            <w:tcW w:w="5408" w:type="dxa"/>
            <w:vMerge w:val="continue"/>
            <w:vAlign w:val="center"/>
          </w:tcPr>
          <w:p>
            <w:pPr>
              <w:widowControl/>
              <w:jc w:val="center"/>
              <w:rPr>
                <w:rFonts w:ascii="仿宋" w:hAnsi="仿宋" w:eastAsia="仿宋" w:cs="仿宋"/>
                <w:color w:val="00000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 w:hRule="atLeast"/>
          <w:jc w:val="right"/>
        </w:trPr>
        <w:tc>
          <w:tcPr>
            <w:tcW w:w="1129" w:type="dxa"/>
            <w:vAlign w:val="center"/>
          </w:tcPr>
          <w:p>
            <w:pPr>
              <w:widowControl/>
              <w:jc w:val="center"/>
              <w:rPr>
                <w:rFonts w:ascii="仿宋" w:hAnsi="仿宋" w:eastAsia="仿宋" w:cs="仿宋"/>
                <w:color w:val="000000"/>
                <w:kern w:val="0"/>
                <w:sz w:val="18"/>
                <w:szCs w:val="18"/>
              </w:rPr>
            </w:pPr>
            <w:r>
              <w:rPr>
                <w:rFonts w:hint="eastAsia" w:ascii="仿宋" w:hAnsi="仿宋" w:eastAsia="仿宋" w:cs="仿宋"/>
                <w:color w:val="000000"/>
                <w:kern w:val="0"/>
                <w:sz w:val="18"/>
                <w:szCs w:val="18"/>
              </w:rPr>
              <w:t>环境监测</w:t>
            </w:r>
          </w:p>
        </w:tc>
        <w:tc>
          <w:tcPr>
            <w:tcW w:w="1759" w:type="dxa"/>
            <w:vAlign w:val="center"/>
          </w:tcPr>
          <w:p>
            <w:pPr>
              <w:widowControl/>
              <w:jc w:val="center"/>
              <w:rPr>
                <w:rFonts w:ascii="仿宋" w:hAnsi="仿宋" w:eastAsia="仿宋" w:cs="仿宋"/>
                <w:color w:val="000000"/>
                <w:kern w:val="0"/>
                <w:sz w:val="18"/>
                <w:szCs w:val="18"/>
              </w:rPr>
            </w:pPr>
            <w:r>
              <w:rPr>
                <w:rFonts w:hint="eastAsia" w:ascii="仿宋" w:hAnsi="仿宋" w:eastAsia="仿宋" w:cs="仿宋"/>
                <w:color w:val="000000"/>
                <w:kern w:val="0"/>
                <w:sz w:val="18"/>
                <w:szCs w:val="18"/>
              </w:rPr>
              <w:t>环境监测</w:t>
            </w:r>
          </w:p>
        </w:tc>
        <w:tc>
          <w:tcPr>
            <w:tcW w:w="5408" w:type="dxa"/>
            <w:vAlign w:val="center"/>
          </w:tcPr>
          <w:p>
            <w:pPr>
              <w:widowControl/>
              <w:jc w:val="left"/>
              <w:rPr>
                <w:rFonts w:ascii="仿宋" w:hAnsi="仿宋" w:eastAsia="仿宋" w:cs="仿宋"/>
                <w:color w:val="000000"/>
                <w:kern w:val="0"/>
                <w:sz w:val="18"/>
                <w:szCs w:val="18"/>
              </w:rPr>
            </w:pPr>
            <w:r>
              <w:rPr>
                <w:rFonts w:hint="eastAsia" w:ascii="仿宋" w:hAnsi="仿宋" w:eastAsia="仿宋" w:cs="仿宋"/>
                <w:color w:val="000000"/>
                <w:kern w:val="0"/>
                <w:sz w:val="18"/>
                <w:szCs w:val="18"/>
              </w:rPr>
              <w:t>用户侧：调节指令数据等</w:t>
            </w:r>
            <w:r>
              <w:rPr>
                <w:rFonts w:hint="eastAsia" w:ascii="仿宋" w:hAnsi="仿宋" w:eastAsia="仿宋" w:cs="仿宋"/>
                <w:color w:val="000000"/>
                <w:kern w:val="0"/>
                <w:sz w:val="18"/>
                <w:szCs w:val="18"/>
              </w:rPr>
              <w:br w:type="textWrapping"/>
            </w:r>
            <w:r>
              <w:rPr>
                <w:rFonts w:hint="eastAsia" w:ascii="仿宋" w:hAnsi="仿宋" w:eastAsia="仿宋" w:cs="仿宋"/>
                <w:color w:val="000000"/>
                <w:kern w:val="0"/>
                <w:sz w:val="18"/>
                <w:szCs w:val="18"/>
              </w:rPr>
              <w:t>设备侧：温度、湿度、光照等环境监测数据</w:t>
            </w:r>
          </w:p>
        </w:tc>
      </w:tr>
    </w:tbl>
    <w:p>
      <w:pPr>
        <w:spacing w:line="360" w:lineRule="auto"/>
        <w:ind w:firstLine="420"/>
        <w:rPr>
          <w:rFonts w:ascii="仿宋" w:hAnsi="仿宋" w:eastAsia="仿宋" w:cs="仿宋"/>
          <w:sz w:val="24"/>
          <w:szCs w:val="32"/>
        </w:rPr>
      </w:pPr>
      <w:r>
        <w:rPr>
          <w:rFonts w:hint="eastAsia" w:ascii="仿宋" w:hAnsi="仿宋" w:eastAsia="仿宋" w:cs="仿宋"/>
          <w:sz w:val="24"/>
          <w:szCs w:val="32"/>
        </w:rPr>
        <w:t>数据的安全性和服务的便利性存在天然的互斥关系，用户如果想享用更便利的服务，就需要让渡出更多的数据被采集，势必增大数据泄露的风险。希望兼顾两者，用户则需要为安全保护服务付出一定的成本。围绕数据安全性、服务便利性、数据安全防护成本，调研主要发现如下：</w:t>
      </w:r>
    </w:p>
    <w:p>
      <w:pPr>
        <w:pStyle w:val="12"/>
        <w:numPr>
          <w:ilvl w:val="0"/>
          <w:numId w:val="2"/>
        </w:numPr>
        <w:spacing w:line="360" w:lineRule="auto"/>
        <w:ind w:firstLineChars="0"/>
        <w:rPr>
          <w:rFonts w:ascii="仿宋" w:hAnsi="仿宋" w:eastAsia="仿宋" w:cs="仿宋"/>
          <w:b/>
          <w:bCs/>
          <w:sz w:val="24"/>
          <w:szCs w:val="32"/>
        </w:rPr>
      </w:pPr>
      <w:r>
        <w:rPr>
          <w:rFonts w:hint="eastAsia" w:ascii="仿宋" w:hAnsi="仿宋" w:eastAsia="仿宋" w:cs="仿宋"/>
          <w:b/>
          <w:bCs/>
          <w:sz w:val="24"/>
          <w:szCs w:val="32"/>
        </w:rPr>
        <w:t>数据安全意识深入人心，强强联合打造安全可信的数字家庭产品及服务体系</w:t>
      </w:r>
    </w:p>
    <w:p>
      <w:pPr>
        <w:spacing w:line="360" w:lineRule="auto"/>
        <w:ind w:firstLine="480" w:firstLineChars="200"/>
        <w:rPr>
          <w:rFonts w:ascii="仿宋" w:hAnsi="仿宋" w:eastAsia="仿宋" w:cs="仿宋"/>
          <w:sz w:val="24"/>
          <w:szCs w:val="32"/>
        </w:rPr>
      </w:pPr>
      <w:r>
        <w:rPr>
          <w:rFonts w:hint="eastAsia" w:ascii="仿宋" w:hAnsi="仿宋" w:eastAsia="仿宋" w:cs="仿宋"/>
          <w:sz w:val="24"/>
          <w:szCs w:val="32"/>
        </w:rPr>
        <w:t>随着数据安全观念越来越普及，消费者普遍具备了数据安全防护意识，仅有8.5%的用户完全不在意家庭数据安全，只想享受更高效便捷的服务，其余9成以上用户都对数据安全有一定程度的重视（图1）。要求数字家庭相关企业不断提升数据安全和隐私防护能力，建立完善的数据安全防护体系，必须在用户许可知情并保证用户数据安全的前提下提供服务。</w:t>
      </w:r>
    </w:p>
    <w:p>
      <w:pPr>
        <w:spacing w:line="360" w:lineRule="auto"/>
        <w:rPr>
          <w:rFonts w:ascii="微软雅黑" w:hAnsi="微软雅黑" w:eastAsia="微软雅黑" w:cs="仿宋"/>
          <w:sz w:val="20"/>
          <w:szCs w:val="20"/>
        </w:rPr>
      </w:pPr>
      <w:r>
        <w:rPr>
          <w:rFonts w:ascii="微软雅黑" w:hAnsi="微软雅黑" w:eastAsia="微软雅黑" w:cs="仿宋"/>
          <w:szCs w:val="21"/>
        </w:rPr>
        <w:drawing>
          <wp:inline distT="0" distB="0" distL="0" distR="0">
            <wp:extent cx="5274310" cy="2278380"/>
            <wp:effectExtent l="0" t="0" r="2540" b="7620"/>
            <wp:docPr id="10"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pPr>
        <w:spacing w:line="360" w:lineRule="auto"/>
        <w:jc w:val="center"/>
        <w:rPr>
          <w:rFonts w:ascii="仿宋" w:hAnsi="仿宋" w:eastAsia="仿宋" w:cs="仿宋"/>
          <w:szCs w:val="21"/>
        </w:rPr>
      </w:pPr>
      <w:r>
        <w:rPr>
          <w:rFonts w:hint="eastAsia" w:ascii="仿宋" w:hAnsi="仿宋" w:eastAsia="仿宋" w:cs="仿宋"/>
          <w:szCs w:val="21"/>
        </w:rPr>
        <w:t>图1 消费者对数字家庭的数据安全性与服务便捷性的偏好</w:t>
      </w:r>
    </w:p>
    <w:p>
      <w:pPr>
        <w:spacing w:line="360" w:lineRule="auto"/>
        <w:ind w:firstLine="480" w:firstLineChars="200"/>
        <w:rPr>
          <w:rFonts w:ascii="仿宋" w:hAnsi="仿宋" w:eastAsia="仿宋" w:cs="仿宋"/>
          <w:sz w:val="24"/>
          <w:szCs w:val="32"/>
        </w:rPr>
      </w:pPr>
      <w:r>
        <w:rPr>
          <w:rFonts w:hint="eastAsia" w:ascii="仿宋" w:hAnsi="仿宋" w:eastAsia="仿宋" w:cs="仿宋"/>
          <w:sz w:val="24"/>
          <w:szCs w:val="32"/>
        </w:rPr>
        <w:t>为应对数据安全风险，防止用户数据隐私泄露，各大厂商均发挥自身资源禀赋，建立家庭数据安全防护体系，通过身份认证、通信加密、控制授权、授权保护等手段提升数据安全防护能力。对于各类厂商提供的数据安全服务，近半数用户更偏好选择360等专业的安全公司，科技公司及运营商的用户偏好程度相当（图</w:t>
      </w:r>
      <w:r>
        <w:rPr>
          <w:rFonts w:ascii="仿宋" w:hAnsi="仿宋" w:eastAsia="仿宋" w:cs="仿宋"/>
          <w:sz w:val="24"/>
          <w:szCs w:val="32"/>
        </w:rPr>
        <w:t>2</w:t>
      </w:r>
      <w:r>
        <w:rPr>
          <w:rFonts w:hint="eastAsia" w:ascii="仿宋" w:hAnsi="仿宋" w:eastAsia="仿宋" w:cs="仿宋"/>
          <w:sz w:val="24"/>
          <w:szCs w:val="32"/>
        </w:rPr>
        <w:t>）。但不同年龄段的人群也存在不同偏好，25岁以下年轻人更偏好技术研发和产品迭代能力强的科技公司，26-45岁中青年群体更信任专业的安全服务公司，而45岁以上中老年人则更倾向于选择运营商。</w:t>
      </w:r>
    </w:p>
    <w:p>
      <w:pPr>
        <w:spacing w:line="360" w:lineRule="auto"/>
        <w:ind w:firstLine="420"/>
        <w:rPr>
          <w:rFonts w:hint="eastAsia" w:ascii="仿宋" w:hAnsi="仿宋" w:eastAsia="仿宋" w:cs="仿宋"/>
          <w:sz w:val="24"/>
          <w:szCs w:val="32"/>
        </w:rPr>
      </w:pPr>
      <w:r>
        <w:rPr>
          <w:rFonts w:hint="eastAsia" w:ascii="仿宋" w:hAnsi="仿宋" w:eastAsia="仿宋" w:cs="仿宋"/>
          <w:sz w:val="24"/>
          <w:szCs w:val="32"/>
          <w:lang w:val="en-US" w:eastAsia="zh-CN"/>
        </w:rPr>
        <w:t>运营商</w:t>
      </w:r>
      <w:r>
        <w:rPr>
          <w:rFonts w:hint="eastAsia" w:ascii="仿宋" w:hAnsi="仿宋" w:eastAsia="仿宋" w:cs="仿宋"/>
          <w:sz w:val="24"/>
          <w:szCs w:val="32"/>
        </w:rPr>
        <w:t>完善的渠道网点及客服体系，能够为用户提供更专业服务。未来可与安全专业公司强强联合，打造“国企品牌+安全能力+专业服务”的数字家庭产品及服务体系。</w:t>
      </w:r>
    </w:p>
    <w:p>
      <w:pPr>
        <w:spacing w:line="360" w:lineRule="auto"/>
        <w:rPr>
          <w:rFonts w:ascii="仿宋" w:hAnsi="仿宋" w:eastAsia="仿宋" w:cs="仿宋"/>
          <w:sz w:val="24"/>
          <w:szCs w:val="32"/>
        </w:rPr>
      </w:pPr>
      <w:r>
        <w:rPr>
          <w:rFonts w:ascii="微软雅黑" w:hAnsi="微软雅黑" w:eastAsia="微软雅黑" w:cs="仿宋"/>
          <w:szCs w:val="21"/>
        </w:rPr>
        <w:drawing>
          <wp:inline distT="0" distB="0" distL="0" distR="0">
            <wp:extent cx="5274310" cy="2431415"/>
            <wp:effectExtent l="0" t="0" r="2540" b="6985"/>
            <wp:docPr id="11"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pPr>
        <w:spacing w:line="360" w:lineRule="auto"/>
        <w:jc w:val="center"/>
        <w:rPr>
          <w:rFonts w:hint="eastAsia" w:ascii="仿宋" w:hAnsi="仿宋" w:eastAsia="仿宋" w:cs="仿宋"/>
          <w:szCs w:val="21"/>
        </w:rPr>
      </w:pPr>
      <w:r>
        <w:rPr>
          <w:rFonts w:hint="eastAsia" w:ascii="仿宋" w:hAnsi="仿宋" w:eastAsia="仿宋" w:cs="仿宋"/>
          <w:szCs w:val="21"/>
        </w:rPr>
        <w:t>图</w:t>
      </w:r>
      <w:r>
        <w:rPr>
          <w:rFonts w:ascii="仿宋" w:hAnsi="仿宋" w:eastAsia="仿宋" w:cs="仿宋"/>
          <w:szCs w:val="21"/>
        </w:rPr>
        <w:t>2</w:t>
      </w:r>
      <w:r>
        <w:rPr>
          <w:rFonts w:hint="eastAsia" w:ascii="仿宋" w:hAnsi="仿宋" w:eastAsia="仿宋" w:cs="仿宋"/>
          <w:szCs w:val="21"/>
        </w:rPr>
        <w:t xml:space="preserve"> 消费者对家庭数据安全服务厂商的偏好</w:t>
      </w:r>
    </w:p>
    <w:p>
      <w:pPr>
        <w:spacing w:line="360" w:lineRule="auto"/>
        <w:rPr>
          <w:rFonts w:hint="eastAsia" w:ascii="仿宋" w:hAnsi="仿宋" w:eastAsia="仿宋" w:cs="仿宋"/>
          <w:b/>
          <w:bCs/>
          <w:sz w:val="24"/>
          <w:szCs w:val="32"/>
        </w:rPr>
      </w:pPr>
      <w:r>
        <w:rPr>
          <w:rFonts w:hint="eastAsia" w:ascii="仿宋" w:hAnsi="仿宋" w:eastAsia="仿宋" w:cs="仿宋"/>
          <w:b/>
          <w:bCs/>
          <w:sz w:val="24"/>
          <w:szCs w:val="32"/>
        </w:rPr>
        <w:t>2、建立家庭数据分级分类管理制度，强调重点场景下的数据安全防护</w:t>
      </w:r>
    </w:p>
    <w:p>
      <w:pPr>
        <w:spacing w:line="360" w:lineRule="auto"/>
        <w:ind w:firstLine="480" w:firstLineChars="200"/>
        <w:rPr>
          <w:rFonts w:ascii="仿宋" w:hAnsi="仿宋" w:eastAsia="仿宋" w:cs="仿宋"/>
          <w:sz w:val="24"/>
          <w:szCs w:val="32"/>
        </w:rPr>
      </w:pPr>
      <w:r>
        <w:rPr>
          <w:rFonts w:hint="eastAsia" w:ascii="仿宋" w:hAnsi="仿宋" w:eastAsia="仿宋" w:cs="仿宋"/>
          <w:sz w:val="24"/>
          <w:szCs w:val="32"/>
        </w:rPr>
        <w:t>数字家庭中不同类型的场景和设备所提供的服务，对家庭数据的需求也存在差异（表1），建立数据安全防护体系首先需要对数据进行分级分类。</w:t>
      </w:r>
    </w:p>
    <w:p>
      <w:pPr>
        <w:spacing w:line="360" w:lineRule="auto"/>
        <w:ind w:firstLine="480" w:firstLineChars="200"/>
        <w:rPr>
          <w:rFonts w:hint="eastAsia" w:ascii="仿宋" w:hAnsi="仿宋" w:eastAsia="仿宋" w:cs="仿宋"/>
          <w:sz w:val="24"/>
          <w:szCs w:val="32"/>
        </w:rPr>
      </w:pPr>
      <w:r>
        <w:rPr>
          <w:rFonts w:hint="eastAsia" w:ascii="仿宋" w:hAnsi="仿宋" w:eastAsia="仿宋" w:cs="仿宋"/>
          <w:sz w:val="24"/>
          <w:szCs w:val="32"/>
        </w:rPr>
        <w:t>调研发现，各类场景中用户最关注视频监控、联接控制、安防告警、信息沟通场景下家庭数据的安全性，尤其是涉及到人像、指纹、通话等隐私信息的采集，也愿花费更多成本来购买安全性更高的智家设备或安全保护服务来提升数据安全性（图</w:t>
      </w:r>
      <w:r>
        <w:rPr>
          <w:rFonts w:ascii="仿宋" w:hAnsi="仿宋" w:eastAsia="仿宋" w:cs="仿宋"/>
          <w:sz w:val="24"/>
          <w:szCs w:val="32"/>
        </w:rPr>
        <w:t>3</w:t>
      </w:r>
      <w:r>
        <w:rPr>
          <w:rFonts w:hint="eastAsia" w:ascii="仿宋" w:hAnsi="仿宋" w:eastAsia="仿宋" w:cs="仿宋"/>
          <w:sz w:val="24"/>
          <w:szCs w:val="32"/>
        </w:rPr>
        <w:t>）。对于此类重点家庭场景下的数据，需配以更高等级的安全防护措施，同时在面向用户的营销宣传推广中突出产品的数据安全性强。</w:t>
      </w:r>
    </w:p>
    <w:p>
      <w:pPr>
        <w:spacing w:line="360" w:lineRule="auto"/>
        <w:ind w:firstLine="480" w:firstLineChars="200"/>
        <w:rPr>
          <w:rFonts w:hint="eastAsia" w:ascii="微软雅黑" w:hAnsi="微软雅黑" w:eastAsia="微软雅黑" w:cs="仿宋"/>
          <w:szCs w:val="21"/>
        </w:rPr>
      </w:pPr>
      <w:r>
        <w:rPr>
          <w:rFonts w:hint="eastAsia" w:ascii="仿宋" w:hAnsi="仿宋" w:eastAsia="仿宋" w:cs="仿宋"/>
          <w:sz w:val="24"/>
          <w:szCs w:val="32"/>
        </w:rPr>
        <w:t>而居家娱乐、环境监测、能源计量类场景主要采集设备使用、能源用量、环境指标等隐私性相对不高的信息，用户对其安全性关注也较低，相应地付出成本提升数据安全性的意愿也较低，可以配备基础等级的数据安全防护措施。</w:t>
      </w:r>
    </w:p>
    <w:p>
      <w:pPr>
        <w:spacing w:line="360" w:lineRule="auto"/>
        <w:jc w:val="center"/>
        <w:rPr>
          <w:rFonts w:ascii="微软雅黑" w:hAnsi="微软雅黑" w:eastAsia="微软雅黑" w:cs="仿宋"/>
          <w:szCs w:val="21"/>
        </w:rPr>
      </w:pPr>
      <w:r>
        <w:drawing>
          <wp:inline distT="0" distB="0" distL="0" distR="0">
            <wp:extent cx="4196080" cy="2600960"/>
            <wp:effectExtent l="0" t="0" r="1397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196080" cy="2600960"/>
                    </a:xfrm>
                    <a:prstGeom prst="rect">
                      <a:avLst/>
                    </a:prstGeom>
                  </pic:spPr>
                </pic:pic>
              </a:graphicData>
            </a:graphic>
          </wp:inline>
        </w:drawing>
      </w:r>
    </w:p>
    <w:p>
      <w:pPr>
        <w:spacing w:line="360" w:lineRule="auto"/>
        <w:jc w:val="center"/>
        <w:rPr>
          <w:rFonts w:ascii="仿宋" w:hAnsi="仿宋" w:eastAsia="仿宋" w:cs="仿宋"/>
          <w:szCs w:val="21"/>
        </w:rPr>
      </w:pPr>
      <w:r>
        <w:rPr>
          <w:rFonts w:hint="eastAsia" w:ascii="仿宋" w:hAnsi="仿宋" w:eastAsia="仿宋" w:cs="仿宋"/>
          <w:szCs w:val="21"/>
        </w:rPr>
        <w:t>图</w:t>
      </w:r>
      <w:r>
        <w:rPr>
          <w:rFonts w:ascii="仿宋" w:hAnsi="仿宋" w:eastAsia="仿宋" w:cs="仿宋"/>
          <w:szCs w:val="21"/>
        </w:rPr>
        <w:t>3</w:t>
      </w:r>
      <w:r>
        <w:rPr>
          <w:rFonts w:hint="eastAsia" w:ascii="仿宋" w:hAnsi="仿宋" w:eastAsia="仿宋" w:cs="仿宋"/>
          <w:szCs w:val="21"/>
        </w:rPr>
        <w:t xml:space="preserve"> 消费者对各类家庭场景数据安全性的重视程度及花费成本意愿</w:t>
      </w:r>
    </w:p>
    <w:p>
      <w:pPr>
        <w:spacing w:line="360" w:lineRule="auto"/>
        <w:jc w:val="center"/>
        <w:rPr>
          <w:rFonts w:ascii="仿宋" w:hAnsi="仿宋" w:eastAsia="仿宋" w:cs="仿宋"/>
          <w:szCs w:val="21"/>
        </w:rPr>
      </w:pPr>
      <w:r>
        <w:rPr>
          <w:rFonts w:hint="eastAsia" w:ascii="仿宋" w:hAnsi="仿宋" w:eastAsia="仿宋" w:cs="仿宋"/>
          <w:szCs w:val="21"/>
        </w:rPr>
        <w:t>（注：安全指数越高表示用户在该场景更注重安全性，越低表示更注重便利性；</w:t>
      </w:r>
    </w:p>
    <w:p>
      <w:pPr>
        <w:spacing w:line="360" w:lineRule="auto"/>
        <w:jc w:val="center"/>
        <w:rPr>
          <w:rFonts w:ascii="仿宋" w:hAnsi="仿宋" w:eastAsia="仿宋" w:cs="仿宋"/>
          <w:sz w:val="22"/>
          <w:szCs w:val="22"/>
        </w:rPr>
      </w:pPr>
      <w:r>
        <w:rPr>
          <w:rFonts w:hint="eastAsia" w:ascii="仿宋" w:hAnsi="仿宋" w:eastAsia="仿宋" w:cs="仿宋"/>
          <w:szCs w:val="21"/>
        </w:rPr>
        <w:t>气泡越大表示用户越愿意花费成本提升安全性）</w:t>
      </w:r>
    </w:p>
    <w:p>
      <w:pPr>
        <w:spacing w:line="360" w:lineRule="auto"/>
        <w:rPr>
          <w:rFonts w:hint="eastAsia" w:ascii="仿宋" w:hAnsi="仿宋" w:eastAsia="仿宋" w:cs="仿宋"/>
          <w:b/>
          <w:bCs/>
          <w:sz w:val="24"/>
          <w:szCs w:val="32"/>
        </w:rPr>
      </w:pPr>
      <w:r>
        <w:rPr>
          <w:rFonts w:ascii="仿宋" w:hAnsi="仿宋" w:eastAsia="仿宋" w:cs="仿宋"/>
          <w:b/>
          <w:bCs/>
          <w:sz w:val="24"/>
        </w:rPr>
        <w:t>3</w:t>
      </w:r>
      <w:r>
        <w:rPr>
          <w:rFonts w:hint="eastAsia" w:ascii="仿宋" w:hAnsi="仿宋" w:eastAsia="仿宋" w:cs="仿宋"/>
          <w:b/>
          <w:bCs/>
          <w:sz w:val="24"/>
        </w:rPr>
        <w:t>、</w:t>
      </w:r>
      <w:r>
        <w:rPr>
          <w:rFonts w:hint="eastAsia" w:ascii="仿宋" w:hAnsi="仿宋" w:eastAsia="仿宋" w:cs="仿宋"/>
          <w:b/>
          <w:bCs/>
          <w:sz w:val="24"/>
          <w:szCs w:val="32"/>
        </w:rPr>
        <w:t>重视细分用户群体的数据安全需求，制定差异化的产品设计和营销手段</w:t>
      </w:r>
    </w:p>
    <w:p>
      <w:pPr>
        <w:spacing w:line="360" w:lineRule="auto"/>
        <w:ind w:firstLine="480" w:firstLineChars="200"/>
        <w:rPr>
          <w:rFonts w:ascii="仿宋" w:hAnsi="仿宋" w:eastAsia="仿宋" w:cs="仿宋"/>
          <w:sz w:val="24"/>
          <w:szCs w:val="32"/>
        </w:rPr>
      </w:pPr>
      <w:r>
        <w:rPr>
          <w:rFonts w:hint="eastAsia" w:ascii="仿宋" w:hAnsi="仿宋" w:eastAsia="仿宋" w:cs="仿宋"/>
          <w:sz w:val="24"/>
          <w:szCs w:val="32"/>
        </w:rPr>
        <w:t>随着当下消费者的家庭结构不断变化，独居青年、空巢老人、有娃家庭的规模逐渐扩大，多样化的家庭结构对家庭数据安全也提出了不同诉求。调研发现，独居青年尤其是独自租房居住会更在意家庭数据安全，对视频监控场景的数据安全特别上心；而居住在自有住房的有娃家庭或三代同堂家庭更在意便捷服务，其中家里的中老年人尤其注重健康监护场景的便捷服务。</w:t>
      </w:r>
    </w:p>
    <w:p>
      <w:pPr>
        <w:spacing w:line="360" w:lineRule="auto"/>
        <w:ind w:firstLine="480" w:firstLineChars="200"/>
        <w:rPr>
          <w:rFonts w:hint="eastAsia" w:ascii="仿宋" w:hAnsi="仿宋" w:eastAsia="仿宋" w:cs="仿宋"/>
          <w:sz w:val="24"/>
          <w:szCs w:val="32"/>
        </w:rPr>
      </w:pPr>
      <w:r>
        <w:rPr>
          <w:rFonts w:hint="eastAsia" w:ascii="仿宋" w:hAnsi="仿宋" w:eastAsia="仿宋" w:cs="仿宋"/>
          <w:sz w:val="24"/>
          <w:szCs w:val="32"/>
        </w:rPr>
        <w:t>深化不同用户群体的安全需求分析，针对用户在不同场景下的需求，定制开发功能、内容等差异化的数据安全防护产品和服务，更好地解决用户痛点，并利用大数据筛选目标群体进行产品场景化的营销推广。如打造针对独居青年的防入侵、防破解的超强加密视频监控产品，在出租率高的公寓住宅区通过电梯广告投放推广。</w:t>
      </w:r>
    </w:p>
    <w:p>
      <w:pPr>
        <w:spacing w:line="360" w:lineRule="auto"/>
        <w:rPr>
          <w:rFonts w:ascii="仿宋" w:hAnsi="仿宋" w:eastAsia="仿宋" w:cs="仿宋"/>
          <w:sz w:val="24"/>
          <w:szCs w:val="32"/>
        </w:rPr>
      </w:pPr>
    </w:p>
    <w:p>
      <w:pPr>
        <w:numPr>
          <w:ilvl w:val="0"/>
          <w:numId w:val="1"/>
        </w:numPr>
        <w:spacing w:line="360" w:lineRule="auto"/>
        <w:rPr>
          <w:rFonts w:hint="eastAsia" w:ascii="仿宋" w:hAnsi="仿宋" w:eastAsia="仿宋" w:cs="仿宋"/>
          <w:sz w:val="24"/>
          <w:szCs w:val="32"/>
        </w:rPr>
      </w:pPr>
      <w:r>
        <w:rPr>
          <w:rFonts w:hint="eastAsia" w:ascii="仿宋" w:hAnsi="仿宋" w:eastAsia="仿宋" w:cs="仿宋"/>
          <w:b/>
          <w:bCs/>
          <w:sz w:val="24"/>
          <w:szCs w:val="32"/>
        </w:rPr>
        <w:t>以海尔智家为例，</w:t>
      </w:r>
      <w:r>
        <w:rPr>
          <w:rFonts w:hint="eastAsia" w:ascii="仿宋" w:hAnsi="仿宋" w:eastAsia="仿宋" w:cs="仿宋"/>
          <w:b/>
          <w:bCs/>
          <w:sz w:val="24"/>
          <w:szCs w:val="32"/>
          <w:lang w:val="en-US" w:eastAsia="zh-CN"/>
        </w:rPr>
        <w:t>详解</w:t>
      </w:r>
      <w:r>
        <w:rPr>
          <w:rFonts w:hint="eastAsia" w:ascii="仿宋" w:hAnsi="仿宋" w:eastAsia="仿宋" w:cs="仿宋"/>
          <w:b/>
          <w:bCs/>
          <w:sz w:val="24"/>
          <w:szCs w:val="32"/>
        </w:rPr>
        <w:t>数据安全保护方法</w:t>
      </w:r>
    </w:p>
    <w:p>
      <w:pPr>
        <w:widowControl/>
        <w:spacing w:line="360" w:lineRule="auto"/>
        <w:ind w:firstLine="420"/>
        <w:jc w:val="left"/>
        <w:rPr>
          <w:rFonts w:hint="eastAsia" w:ascii="仿宋" w:hAnsi="仿宋" w:eastAsia="仿宋" w:cs="仿宋"/>
          <w:sz w:val="24"/>
          <w:szCs w:val="32"/>
          <w:lang w:val="en-US" w:eastAsia="zh-CN"/>
        </w:rPr>
      </w:pPr>
      <w:r>
        <w:rPr>
          <w:rFonts w:hint="eastAsia" w:ascii="仿宋" w:hAnsi="仿宋" w:eastAsia="仿宋" w:cs="仿宋"/>
          <w:sz w:val="24"/>
          <w:szCs w:val="32"/>
        </w:rPr>
        <w:t>用户</w:t>
      </w:r>
      <w:r>
        <w:rPr>
          <w:rFonts w:hint="eastAsia" w:ascii="仿宋" w:hAnsi="仿宋" w:eastAsia="仿宋" w:cs="仿宋"/>
          <w:sz w:val="24"/>
          <w:szCs w:val="32"/>
          <w:lang w:val="en-US" w:eastAsia="zh-CN"/>
        </w:rPr>
        <w:t>对</w:t>
      </w:r>
      <w:r>
        <w:rPr>
          <w:rFonts w:hint="eastAsia" w:ascii="仿宋" w:hAnsi="仿宋" w:eastAsia="仿宋" w:cs="仿宋"/>
          <w:sz w:val="24"/>
          <w:szCs w:val="32"/>
        </w:rPr>
        <w:t>数据安全</w:t>
      </w:r>
      <w:r>
        <w:rPr>
          <w:rFonts w:hint="eastAsia" w:ascii="仿宋" w:hAnsi="仿宋" w:eastAsia="仿宋" w:cs="仿宋"/>
          <w:sz w:val="24"/>
          <w:szCs w:val="32"/>
          <w:lang w:eastAsia="zh-CN"/>
        </w:rPr>
        <w:t>的</w:t>
      </w:r>
      <w:r>
        <w:rPr>
          <w:rFonts w:hint="eastAsia" w:ascii="仿宋" w:hAnsi="仿宋" w:eastAsia="仿宋" w:cs="仿宋"/>
          <w:sz w:val="24"/>
          <w:szCs w:val="32"/>
        </w:rPr>
        <w:t>意识已然觉醒</w:t>
      </w:r>
      <w:r>
        <w:rPr>
          <w:rFonts w:hint="eastAsia" w:ascii="仿宋" w:hAnsi="仿宋" w:eastAsia="仿宋" w:cs="仿宋"/>
          <w:sz w:val="24"/>
          <w:szCs w:val="32"/>
          <w:lang w:eastAsia="zh-CN"/>
        </w:rPr>
        <w:t>，</w:t>
      </w:r>
      <w:r>
        <w:rPr>
          <w:rFonts w:hint="eastAsia" w:ascii="仿宋" w:hAnsi="仿宋" w:eastAsia="仿宋" w:cs="仿宋"/>
          <w:sz w:val="24"/>
          <w:szCs w:val="32"/>
          <w:lang w:val="en-US" w:eastAsia="zh-CN"/>
        </w:rPr>
        <w:t>以海尔为代表的部分</w:t>
      </w:r>
      <w:r>
        <w:rPr>
          <w:rFonts w:hint="eastAsia" w:ascii="仿宋" w:hAnsi="仿宋" w:eastAsia="仿宋" w:cs="仿宋"/>
          <w:sz w:val="24"/>
          <w:szCs w:val="32"/>
        </w:rPr>
        <w:t>智家厂商快速</w:t>
      </w:r>
      <w:r>
        <w:rPr>
          <w:rFonts w:hint="eastAsia" w:ascii="仿宋" w:hAnsi="仿宋" w:eastAsia="仿宋" w:cs="仿宋"/>
          <w:sz w:val="24"/>
          <w:szCs w:val="32"/>
          <w:lang w:val="en-US" w:eastAsia="zh-CN"/>
        </w:rPr>
        <w:t>捕捉到市场信号，推出解决方案响应</w:t>
      </w:r>
      <w:r>
        <w:rPr>
          <w:rFonts w:hint="eastAsia" w:ascii="仿宋" w:hAnsi="仿宋" w:eastAsia="仿宋" w:cs="仿宋"/>
          <w:sz w:val="24"/>
          <w:szCs w:val="32"/>
        </w:rPr>
        <w:t>用户需求</w:t>
      </w:r>
      <w:r>
        <w:rPr>
          <w:rFonts w:hint="eastAsia" w:ascii="仿宋" w:hAnsi="仿宋" w:eastAsia="仿宋" w:cs="仿宋"/>
          <w:sz w:val="24"/>
          <w:szCs w:val="32"/>
          <w:lang w:eastAsia="zh-CN"/>
        </w:rPr>
        <w:t>。</w:t>
      </w:r>
      <w:r>
        <w:rPr>
          <w:rFonts w:hint="eastAsia" w:ascii="仿宋" w:hAnsi="仿宋" w:eastAsia="仿宋" w:cs="仿宋"/>
          <w:sz w:val="24"/>
          <w:szCs w:val="32"/>
        </w:rPr>
        <w:t>22年9月发布</w:t>
      </w:r>
      <w:r>
        <w:rPr>
          <w:rFonts w:hint="eastAsia" w:ascii="仿宋" w:hAnsi="仿宋" w:eastAsia="仿宋" w:cs="仿宋"/>
          <w:sz w:val="24"/>
          <w:szCs w:val="32"/>
          <w:lang w:eastAsia="zh-CN"/>
        </w:rPr>
        <w:t>的</w:t>
      </w:r>
      <w:r>
        <w:rPr>
          <w:rFonts w:hint="eastAsia" w:ascii="仿宋" w:hAnsi="仿宋" w:eastAsia="仿宋" w:cs="仿宋"/>
          <w:sz w:val="24"/>
          <w:szCs w:val="32"/>
        </w:rPr>
        <w:t>《海尔智家安全白皮书》</w:t>
      </w:r>
      <w:r>
        <w:rPr>
          <w:rFonts w:hint="eastAsia" w:ascii="仿宋" w:hAnsi="仿宋" w:eastAsia="仿宋" w:cs="仿宋"/>
          <w:sz w:val="24"/>
          <w:szCs w:val="32"/>
          <w:lang w:val="en-US" w:eastAsia="zh-CN"/>
        </w:rPr>
        <w:t>中，海尔构建了包含设备、通信、云、数据等多维度的安全体系（图3）。</w:t>
      </w:r>
    </w:p>
    <w:p>
      <w:pPr>
        <w:widowControl/>
        <w:spacing w:line="360" w:lineRule="auto"/>
        <w:jc w:val="left"/>
        <w:rPr>
          <w:rFonts w:hint="default" w:ascii="仿宋" w:hAnsi="仿宋" w:eastAsia="仿宋" w:cs="仿宋"/>
          <w:sz w:val="24"/>
          <w:szCs w:val="32"/>
          <w:lang w:val="en-US" w:eastAsia="zh-CN"/>
        </w:rPr>
      </w:pPr>
      <w:r>
        <w:rPr>
          <w:rFonts w:hint="eastAsia" w:ascii="仿宋" w:hAnsi="仿宋" w:eastAsia="仿宋" w:cs="仿宋"/>
          <w:sz w:val="24"/>
          <w:szCs w:val="32"/>
          <w:lang w:val="en-US" w:eastAsia="zh-CN"/>
        </w:rPr>
        <w:t>通过分析其架构和保护手段，并与业界做法做对比，总结出数据安全保护具体方法。</w:t>
      </w:r>
    </w:p>
    <w:p>
      <w:pPr>
        <w:spacing w:line="360" w:lineRule="auto"/>
        <w:jc w:val="center"/>
        <w:rPr>
          <w:rFonts w:ascii="仿宋" w:hAnsi="仿宋" w:eastAsia="仿宋" w:cs="仿宋"/>
          <w:sz w:val="24"/>
          <w:szCs w:val="32"/>
        </w:rPr>
      </w:pPr>
      <w:r>
        <w:rPr>
          <w:rFonts w:hint="eastAsia" w:ascii="仿宋" w:hAnsi="仿宋" w:eastAsia="仿宋" w:cs="仿宋"/>
          <w:sz w:val="24"/>
          <w:szCs w:val="32"/>
        </w:rPr>
        <w:drawing>
          <wp:inline distT="0" distB="0" distL="114300" distR="114300">
            <wp:extent cx="4300220" cy="2405380"/>
            <wp:effectExtent l="0" t="0" r="1270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4300220" cy="2405380"/>
                    </a:xfrm>
                    <a:prstGeom prst="rect">
                      <a:avLst/>
                    </a:prstGeom>
                    <a:noFill/>
                    <a:ln>
                      <a:noFill/>
                    </a:ln>
                  </pic:spPr>
                </pic:pic>
              </a:graphicData>
            </a:graphic>
          </wp:inline>
        </w:drawing>
      </w:r>
    </w:p>
    <w:p>
      <w:pPr>
        <w:spacing w:line="360" w:lineRule="auto"/>
        <w:jc w:val="center"/>
        <w:rPr>
          <w:rFonts w:ascii="仿宋" w:hAnsi="仿宋" w:eastAsia="仿宋" w:cs="仿宋"/>
          <w:sz w:val="24"/>
          <w:szCs w:val="32"/>
        </w:rPr>
      </w:pPr>
      <w:r>
        <w:rPr>
          <w:rFonts w:hint="eastAsia" w:ascii="仿宋" w:hAnsi="仿宋" w:eastAsia="仿宋" w:cs="仿宋"/>
          <w:szCs w:val="21"/>
        </w:rPr>
        <w:t>图3 海尔智家安全体系</w:t>
      </w:r>
    </w:p>
    <w:p>
      <w:pPr>
        <w:numPr>
          <w:ilvl w:val="0"/>
          <w:numId w:val="3"/>
        </w:numPr>
        <w:spacing w:line="360" w:lineRule="auto"/>
        <w:rPr>
          <w:rFonts w:hint="eastAsia" w:ascii="仿宋" w:hAnsi="仿宋" w:eastAsia="仿宋" w:cs="仿宋"/>
          <w:sz w:val="24"/>
          <w:szCs w:val="32"/>
        </w:rPr>
      </w:pPr>
      <w:r>
        <w:rPr>
          <w:rFonts w:hint="eastAsia" w:ascii="仿宋" w:hAnsi="仿宋" w:eastAsia="仿宋" w:cs="仿宋"/>
          <w:b/>
          <w:bCs/>
          <w:sz w:val="24"/>
          <w:szCs w:val="32"/>
          <w:lang w:val="en-US" w:eastAsia="zh-CN"/>
        </w:rPr>
        <w:t>采用多重技术手段，控制数据权限、提升使用容错率</w:t>
      </w:r>
    </w:p>
    <w:p>
      <w:pPr>
        <w:widowControl/>
        <w:spacing w:line="360" w:lineRule="auto"/>
        <w:ind w:firstLine="420"/>
        <w:jc w:val="left"/>
        <w:rPr>
          <w:rFonts w:ascii="仿宋" w:hAnsi="仿宋" w:eastAsia="仿宋" w:cs="仿宋"/>
          <w:sz w:val="24"/>
          <w:szCs w:val="32"/>
        </w:rPr>
      </w:pPr>
      <w:r>
        <w:rPr>
          <w:rFonts w:hint="eastAsia" w:ascii="仿宋" w:hAnsi="仿宋" w:eastAsia="仿宋" w:cs="仿宋"/>
          <w:sz w:val="24"/>
          <w:szCs w:val="32"/>
        </w:rPr>
        <w:t>海尔智家云数据系统使用多层次ACL数据访问授权机制，控制用户所能访问的数据内容及读写权限。针对用户敏感数据，采用了适当的脱敏算法进行处理，防止敏感数据被滥用和泄露。提供数据容灾热备功能，保护数据安全和提高数据的持续可用性。</w:t>
      </w:r>
    </w:p>
    <w:p>
      <w:pPr>
        <w:widowControl/>
        <w:spacing w:line="360" w:lineRule="auto"/>
        <w:ind w:firstLine="420"/>
        <w:jc w:val="left"/>
        <w:rPr>
          <w:rFonts w:ascii="仿宋" w:hAnsi="仿宋" w:eastAsia="仿宋" w:cs="仿宋"/>
          <w:sz w:val="24"/>
          <w:szCs w:val="32"/>
        </w:rPr>
      </w:pPr>
      <w:r>
        <w:rPr>
          <w:rFonts w:hint="eastAsia" w:ascii="仿宋" w:hAnsi="仿宋" w:eastAsia="仿宋" w:cs="仿宋"/>
          <w:sz w:val="24"/>
          <w:szCs w:val="32"/>
        </w:rPr>
        <w:t>数据存储方面，采用可弹性伸缩，具备容灾、备份、恢复、监控、迁移等功</w:t>
      </w:r>
      <w:bookmarkStart w:id="0" w:name="_GoBack"/>
      <w:bookmarkEnd w:id="0"/>
      <w:r>
        <w:rPr>
          <w:rFonts w:hint="eastAsia" w:ascii="仿宋" w:hAnsi="仿宋" w:eastAsia="仿宋" w:cs="仿宋"/>
          <w:sz w:val="24"/>
          <w:szCs w:val="32"/>
        </w:rPr>
        <w:t>能的云数据库服务，并提供多种安全加固功能，包括网络IP白名单、VPC网络、SSL安全传输，容灾备份、数据库审计等功能。云数据库NoSQL服务支持容灾切换，故障迁移自动完成，确保业务可用性。</w:t>
      </w:r>
    </w:p>
    <w:p>
      <w:pPr>
        <w:widowControl/>
        <w:numPr>
          <w:ilvl w:val="0"/>
          <w:numId w:val="3"/>
        </w:numPr>
        <w:spacing w:line="360" w:lineRule="auto"/>
        <w:jc w:val="left"/>
        <w:rPr>
          <w:rFonts w:hint="eastAsia" w:ascii="仿宋" w:hAnsi="仿宋" w:eastAsia="仿宋" w:cs="仿宋"/>
          <w:sz w:val="24"/>
          <w:szCs w:val="32"/>
        </w:rPr>
      </w:pPr>
      <w:r>
        <w:rPr>
          <w:rFonts w:hint="eastAsia" w:ascii="仿宋" w:hAnsi="仿宋" w:eastAsia="仿宋" w:cs="仿宋"/>
          <w:b/>
          <w:bCs/>
          <w:sz w:val="24"/>
          <w:szCs w:val="32"/>
          <w:lang w:val="en-US" w:eastAsia="zh-CN"/>
        </w:rPr>
        <w:t>加强数据流程管理，尊重用户意愿、分步骤保护隐私</w:t>
      </w:r>
    </w:p>
    <w:p>
      <w:pPr>
        <w:widowControl/>
        <w:spacing w:line="360" w:lineRule="auto"/>
        <w:ind w:firstLine="420"/>
        <w:jc w:val="left"/>
        <w:rPr>
          <w:rFonts w:ascii="仿宋" w:hAnsi="仿宋" w:eastAsia="仿宋" w:cs="仿宋"/>
          <w:sz w:val="24"/>
          <w:szCs w:val="32"/>
        </w:rPr>
      </w:pPr>
      <w:r>
        <w:rPr>
          <w:rFonts w:hint="eastAsia" w:ascii="仿宋" w:hAnsi="仿宋" w:eastAsia="仿宋" w:cs="仿宋"/>
          <w:sz w:val="24"/>
          <w:szCs w:val="32"/>
          <w:lang w:val="en-US" w:eastAsia="zh-CN"/>
        </w:rPr>
        <w:t>在</w:t>
      </w:r>
      <w:r>
        <w:rPr>
          <w:rFonts w:hint="eastAsia" w:ascii="仿宋" w:hAnsi="仿宋" w:eastAsia="仿宋" w:cs="仿宋"/>
          <w:sz w:val="24"/>
          <w:szCs w:val="32"/>
        </w:rPr>
        <w:t>数据采集、存储、使用的全流程中，按步骤制定规范保障个人隐私性安全。一是确保用户知情权。隐私条款必须包含收集的所有用户数据及这些数据用来提供的服务，并需获得用户的同意；二是数据采集采用最小化原则。对于敏感性数据进行分类，按照国家与行业主管部门相关规定及标准对个人信息进行分级分类保护；三是对隐私数据的存储采用多重加密机制，包括对密钥的访问控制、数据权限隔离、文件数据特殊字段加密或脱敏等；四是隐私数据的传输通过HTTPS/TLS1.2安全协议加密保护，针对数据访问进行授权和验证，保证最小访问授权。</w:t>
      </w:r>
    </w:p>
    <w:p>
      <w:pPr>
        <w:spacing w:line="360" w:lineRule="auto"/>
        <w:rPr>
          <w:rFonts w:ascii="仿宋" w:hAnsi="仿宋" w:eastAsia="仿宋" w:cs="仿宋"/>
          <w:sz w:val="24"/>
          <w:szCs w:val="32"/>
        </w:rPr>
      </w:pPr>
    </w:p>
    <w:p>
      <w:pPr>
        <w:numPr>
          <w:ilvl w:val="0"/>
          <w:numId w:val="1"/>
        </w:numPr>
        <w:spacing w:line="360" w:lineRule="auto"/>
        <w:rPr>
          <w:rFonts w:hint="eastAsia" w:ascii="仿宋" w:hAnsi="仿宋" w:eastAsia="仿宋" w:cs="仿宋"/>
          <w:b/>
          <w:bCs/>
          <w:sz w:val="24"/>
          <w:szCs w:val="32"/>
          <w:lang w:val="en-US" w:eastAsia="zh-CN"/>
        </w:rPr>
      </w:pPr>
      <w:r>
        <w:rPr>
          <w:rFonts w:hint="eastAsia" w:ascii="仿宋" w:hAnsi="仿宋" w:eastAsia="仿宋" w:cs="仿宋"/>
          <w:b/>
          <w:bCs/>
          <w:sz w:val="24"/>
          <w:szCs w:val="32"/>
          <w:lang w:val="en-US" w:eastAsia="zh-CN"/>
        </w:rPr>
        <w:t>启示及建议</w:t>
      </w:r>
    </w:p>
    <w:p>
      <w:pPr>
        <w:spacing w:line="360" w:lineRule="auto"/>
        <w:ind w:firstLine="420" w:firstLineChars="0"/>
        <w:rPr>
          <w:rFonts w:ascii="仿宋" w:hAnsi="仿宋" w:eastAsia="仿宋" w:cs="仿宋"/>
          <w:b w:val="0"/>
          <w:bCs w:val="0"/>
          <w:color w:val="auto"/>
          <w:sz w:val="24"/>
          <w:szCs w:val="32"/>
        </w:rPr>
      </w:pPr>
      <w:r>
        <w:rPr>
          <w:rFonts w:hint="eastAsia" w:ascii="仿宋" w:hAnsi="仿宋" w:eastAsia="仿宋" w:cs="仿宋"/>
          <w:b w:val="0"/>
          <w:bCs w:val="0"/>
          <w:color w:val="auto"/>
          <w:sz w:val="24"/>
          <w:szCs w:val="32"/>
        </w:rPr>
        <w:t>运营商作为数据出户的网络管道，具备加载数据安全能力的先天优势。运营商国企背景所积累的良好信誉，在安全领域也有利于提升用户信任度</w:t>
      </w:r>
      <w:r>
        <w:rPr>
          <w:rFonts w:hint="eastAsia" w:ascii="仿宋" w:hAnsi="仿宋" w:eastAsia="仿宋" w:cs="仿宋"/>
          <w:b w:val="0"/>
          <w:bCs w:val="0"/>
          <w:color w:val="auto"/>
          <w:sz w:val="24"/>
          <w:szCs w:val="32"/>
          <w:lang w:eastAsia="zh-CN"/>
        </w:rPr>
        <w:t>。</w:t>
      </w:r>
      <w:r>
        <w:rPr>
          <w:rFonts w:hint="eastAsia" w:ascii="仿宋" w:hAnsi="仿宋" w:eastAsia="仿宋" w:cs="仿宋"/>
          <w:b w:val="0"/>
          <w:bCs w:val="0"/>
          <w:color w:val="auto"/>
          <w:sz w:val="24"/>
          <w:szCs w:val="32"/>
          <w:lang w:val="en-US" w:eastAsia="zh-CN"/>
        </w:rPr>
        <w:t>总结前文分析的结论，运营商可在几方面重点发力。一是重视细分用户群体需求，制定差异化的产品设计和营销手段；二是以技术手段和流程管理双条线打造数据安全保护体系；三是</w:t>
      </w:r>
      <w:r>
        <w:rPr>
          <w:rFonts w:hint="eastAsia" w:ascii="仿宋" w:hAnsi="仿宋" w:eastAsia="仿宋" w:cs="仿宋"/>
          <w:b w:val="0"/>
          <w:bCs w:val="0"/>
          <w:color w:val="auto"/>
          <w:sz w:val="24"/>
          <w:szCs w:val="32"/>
        </w:rPr>
        <w:t>深度参与智家安全标准制定，对外发布白皮书，树立安全能力形象</w:t>
      </w:r>
      <w:r>
        <w:rPr>
          <w:rFonts w:hint="eastAsia" w:ascii="仿宋" w:hAnsi="仿宋" w:eastAsia="仿宋" w:cs="仿宋"/>
          <w:b w:val="0"/>
          <w:bCs w:val="0"/>
          <w:color w:val="auto"/>
          <w:sz w:val="24"/>
          <w:szCs w:val="32"/>
          <w:lang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2ABE9E"/>
    <w:multiLevelType w:val="singleLevel"/>
    <w:tmpl w:val="072ABE9E"/>
    <w:lvl w:ilvl="0" w:tentative="0">
      <w:start w:val="1"/>
      <w:numFmt w:val="decimal"/>
      <w:suff w:val="nothing"/>
      <w:lvlText w:val="%1、"/>
      <w:lvlJc w:val="left"/>
      <w:pPr>
        <w:ind w:left="420"/>
      </w:pPr>
    </w:lvl>
  </w:abstractNum>
  <w:abstractNum w:abstractNumId="1">
    <w:nsid w:val="118D751C"/>
    <w:multiLevelType w:val="multilevel"/>
    <w:tmpl w:val="118D751C"/>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3E9B5957"/>
    <w:multiLevelType w:val="singleLevel"/>
    <w:tmpl w:val="3E9B5957"/>
    <w:lvl w:ilvl="0" w:tentative="0">
      <w:start w:val="1"/>
      <w:numFmt w:val="chineseCounting"/>
      <w:suff w:val="nothing"/>
      <w:lvlText w:val="%1、"/>
      <w:lvlJc w:val="left"/>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JmYzlkM2VlZDNiMjZkZjY0MTBjODllMzk2NDRmODkifQ=="/>
  </w:docVars>
  <w:rsids>
    <w:rsidRoot w:val="5EBB376F"/>
    <w:rsid w:val="000E03AC"/>
    <w:rsid w:val="002D3333"/>
    <w:rsid w:val="003C0858"/>
    <w:rsid w:val="004272F1"/>
    <w:rsid w:val="00507477"/>
    <w:rsid w:val="008F4A30"/>
    <w:rsid w:val="00A76E52"/>
    <w:rsid w:val="00D1072D"/>
    <w:rsid w:val="00D11665"/>
    <w:rsid w:val="00E73904"/>
    <w:rsid w:val="00EB55B6"/>
    <w:rsid w:val="00F41C99"/>
    <w:rsid w:val="01B43451"/>
    <w:rsid w:val="020F49B3"/>
    <w:rsid w:val="05E530D0"/>
    <w:rsid w:val="062E2F57"/>
    <w:rsid w:val="08DB07BA"/>
    <w:rsid w:val="09347209"/>
    <w:rsid w:val="096416F2"/>
    <w:rsid w:val="0BBC0D77"/>
    <w:rsid w:val="0CF46EEB"/>
    <w:rsid w:val="11AA638B"/>
    <w:rsid w:val="141742C6"/>
    <w:rsid w:val="153320AA"/>
    <w:rsid w:val="171446E2"/>
    <w:rsid w:val="17AF353E"/>
    <w:rsid w:val="1DEB17B9"/>
    <w:rsid w:val="1DFA2A1E"/>
    <w:rsid w:val="25F80363"/>
    <w:rsid w:val="269C5261"/>
    <w:rsid w:val="27DC39BD"/>
    <w:rsid w:val="29A1762E"/>
    <w:rsid w:val="2A4A1280"/>
    <w:rsid w:val="2CD543F0"/>
    <w:rsid w:val="3062007E"/>
    <w:rsid w:val="30977539"/>
    <w:rsid w:val="32EE73AD"/>
    <w:rsid w:val="36B461AB"/>
    <w:rsid w:val="3EB1176C"/>
    <w:rsid w:val="3F2B4324"/>
    <w:rsid w:val="41B45912"/>
    <w:rsid w:val="431D5CA3"/>
    <w:rsid w:val="43FC18AB"/>
    <w:rsid w:val="4451127B"/>
    <w:rsid w:val="4597767B"/>
    <w:rsid w:val="46D52711"/>
    <w:rsid w:val="47A30EA1"/>
    <w:rsid w:val="4C832AC1"/>
    <w:rsid w:val="4E2B6F7F"/>
    <w:rsid w:val="5240522A"/>
    <w:rsid w:val="53670B95"/>
    <w:rsid w:val="54C634A0"/>
    <w:rsid w:val="54D65D5B"/>
    <w:rsid w:val="55ED110F"/>
    <w:rsid w:val="57D9365A"/>
    <w:rsid w:val="59E54F88"/>
    <w:rsid w:val="5A54290A"/>
    <w:rsid w:val="5A5A4B48"/>
    <w:rsid w:val="5BD7541B"/>
    <w:rsid w:val="5E8B1BDC"/>
    <w:rsid w:val="5EBB376F"/>
    <w:rsid w:val="633C59D3"/>
    <w:rsid w:val="691D4656"/>
    <w:rsid w:val="6E645FA5"/>
    <w:rsid w:val="73FC0A2E"/>
    <w:rsid w:val="74E97204"/>
    <w:rsid w:val="76BA1D3C"/>
    <w:rsid w:val="77F71288"/>
    <w:rsid w:val="797B6317"/>
    <w:rsid w:val="7A5275FA"/>
    <w:rsid w:val="7A811C8D"/>
    <w:rsid w:val="7E6028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5"/>
    <w:qFormat/>
    <w:uiPriority w:val="0"/>
    <w:pPr>
      <w:jc w:val="left"/>
    </w:pPr>
  </w:style>
  <w:style w:type="paragraph" w:styleId="4">
    <w:name w:val="Balloon Text"/>
    <w:basedOn w:val="1"/>
    <w:link w:val="17"/>
    <w:qFormat/>
    <w:uiPriority w:val="0"/>
    <w:rPr>
      <w:sz w:val="18"/>
      <w:szCs w:val="18"/>
    </w:rPr>
  </w:style>
  <w:style w:type="paragraph" w:styleId="5">
    <w:name w:val="footer"/>
    <w:basedOn w:val="1"/>
    <w:link w:val="14"/>
    <w:qFormat/>
    <w:uiPriority w:val="0"/>
    <w:pPr>
      <w:tabs>
        <w:tab w:val="center" w:pos="4153"/>
        <w:tab w:val="right" w:pos="8306"/>
      </w:tabs>
      <w:snapToGrid w:val="0"/>
      <w:jc w:val="left"/>
    </w:pPr>
    <w:rPr>
      <w:sz w:val="18"/>
      <w:szCs w:val="18"/>
    </w:rPr>
  </w:style>
  <w:style w:type="paragraph" w:styleId="6">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6"/>
    <w:qFormat/>
    <w:uiPriority w:val="0"/>
    <w:rPr>
      <w:b/>
      <w:bCs/>
    </w:rPr>
  </w:style>
  <w:style w:type="table" w:styleId="9">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annotation reference"/>
    <w:basedOn w:val="10"/>
    <w:qFormat/>
    <w:uiPriority w:val="0"/>
    <w:rPr>
      <w:sz w:val="21"/>
      <w:szCs w:val="21"/>
    </w:rPr>
  </w:style>
  <w:style w:type="paragraph" w:styleId="12">
    <w:name w:val="List Paragraph"/>
    <w:basedOn w:val="1"/>
    <w:qFormat/>
    <w:uiPriority w:val="99"/>
    <w:pPr>
      <w:ind w:firstLine="420" w:firstLineChars="200"/>
    </w:pPr>
  </w:style>
  <w:style w:type="character" w:customStyle="1" w:styleId="13">
    <w:name w:val="页眉 字符"/>
    <w:basedOn w:val="10"/>
    <w:link w:val="6"/>
    <w:qFormat/>
    <w:uiPriority w:val="0"/>
    <w:rPr>
      <w:rFonts w:asciiTheme="minorHAnsi" w:hAnsiTheme="minorHAnsi" w:eastAsiaTheme="minorEastAsia" w:cstheme="minorBidi"/>
      <w:kern w:val="2"/>
      <w:sz w:val="18"/>
      <w:szCs w:val="18"/>
    </w:rPr>
  </w:style>
  <w:style w:type="character" w:customStyle="1" w:styleId="14">
    <w:name w:val="页脚 字符"/>
    <w:basedOn w:val="10"/>
    <w:link w:val="5"/>
    <w:qFormat/>
    <w:uiPriority w:val="0"/>
    <w:rPr>
      <w:rFonts w:asciiTheme="minorHAnsi" w:hAnsiTheme="minorHAnsi" w:eastAsiaTheme="minorEastAsia" w:cstheme="minorBidi"/>
      <w:kern w:val="2"/>
      <w:sz w:val="18"/>
      <w:szCs w:val="18"/>
    </w:rPr>
  </w:style>
  <w:style w:type="character" w:customStyle="1" w:styleId="15">
    <w:name w:val="批注文字 字符"/>
    <w:basedOn w:val="10"/>
    <w:link w:val="3"/>
    <w:qFormat/>
    <w:uiPriority w:val="0"/>
    <w:rPr>
      <w:rFonts w:asciiTheme="minorHAnsi" w:hAnsiTheme="minorHAnsi" w:eastAsiaTheme="minorEastAsia" w:cstheme="minorBidi"/>
      <w:kern w:val="2"/>
      <w:sz w:val="21"/>
      <w:szCs w:val="24"/>
    </w:rPr>
  </w:style>
  <w:style w:type="character" w:customStyle="1" w:styleId="16">
    <w:name w:val="批注主题 字符"/>
    <w:basedOn w:val="15"/>
    <w:link w:val="7"/>
    <w:qFormat/>
    <w:uiPriority w:val="0"/>
    <w:rPr>
      <w:rFonts w:asciiTheme="minorHAnsi" w:hAnsiTheme="minorHAnsi" w:eastAsiaTheme="minorEastAsia" w:cstheme="minorBidi"/>
      <w:b/>
      <w:bCs/>
      <w:kern w:val="2"/>
      <w:sz w:val="21"/>
      <w:szCs w:val="24"/>
    </w:rPr>
  </w:style>
  <w:style w:type="character" w:customStyle="1" w:styleId="17">
    <w:name w:val="批注框文本 字符"/>
    <w:basedOn w:val="10"/>
    <w:link w:val="4"/>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chart" Target="charts/chart2.xml"/><Relationship Id="rId4" Type="http://schemas.openxmlformats.org/officeDocument/2006/relationships/chart" Target="charts/chart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Workbook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87015742343548"/>
          <c:y val="0.0827535354067364"/>
          <c:w val="0.235600296531679"/>
          <c:h val="0.545400240521774"/>
        </c:manualLayout>
      </c:layout>
      <c:pieChart>
        <c:varyColors val="1"/>
        <c:ser>
          <c:idx val="0"/>
          <c:order val="0"/>
          <c:tx>
            <c:strRef>
              <c:f>Sheet1!$B$1</c:f>
              <c:strCache>
                <c:ptCount val="1"/>
                <c:pt idx="0">
                  <c:v>销售额</c:v>
                </c:pt>
              </c:strCache>
            </c:strRef>
          </c:tx>
          <c:spPr/>
          <c:explosion val="0"/>
          <c:dPt>
            <c:idx val="0"/>
            <c:bubble3D val="0"/>
            <c:spPr>
              <a:solidFill>
                <a:schemeClr val="accent2"/>
              </a:solidFill>
              <a:ln w="19050">
                <a:solidFill>
                  <a:schemeClr val="lt1"/>
                </a:solidFill>
              </a:ln>
              <a:effectLst/>
            </c:spPr>
          </c:dPt>
          <c:dPt>
            <c:idx val="1"/>
            <c:bubble3D val="0"/>
            <c:spPr>
              <a:solidFill>
                <a:srgbClr val="0070C0"/>
              </a:solidFill>
              <a:ln w="19050">
                <a:solidFill>
                  <a:schemeClr val="lt1"/>
                </a:solidFill>
              </a:ln>
              <a:effectLst/>
            </c:spPr>
          </c:dPt>
          <c:dPt>
            <c:idx val="2"/>
            <c:bubble3D val="0"/>
            <c:spPr>
              <a:solidFill>
                <a:schemeClr val="bg1">
                  <a:lumMod val="65000"/>
                </a:schemeClr>
              </a:solidFill>
              <a:ln w="19050">
                <a:solidFill>
                  <a:schemeClr val="lt1"/>
                </a:solidFill>
              </a:ln>
              <a:effectLst/>
            </c:spPr>
          </c:dPt>
          <c:dLbls>
            <c:dLbl>
              <c:idx val="2"/>
              <c:layout>
                <c:manualLayout>
                  <c:x val="0.033396216756315"/>
                  <c:y val="0.0850055741360089"/>
                </c:manualLayout>
              </c:layout>
              <c:dLblPos val="bestFit"/>
              <c:showLegendKey val="0"/>
              <c:showVal val="1"/>
              <c:showCatName val="0"/>
              <c:showSerName val="0"/>
              <c:showPercent val="0"/>
              <c:showBubbleSize val="0"/>
              <c:extLst>
                <c:ext xmlns:c15="http://schemas.microsoft.com/office/drawing/2012/chart" uri="{CE6537A1-D6FC-4f65-9D91-7224C49458BB}">
                  <c15:layout/>
                </c:ext>
              </c:extLst>
            </c:dLbl>
            <c:numFmt formatCode="0.0%" sourceLinked="0"/>
            <c:spPr>
              <a:noFill/>
              <a:ln>
                <a:noFill/>
              </a:ln>
              <a:effectLst/>
            </c:spPr>
            <c:txPr>
              <a:bodyPr rot="0" spcFirstLastPara="1" vertOverflow="ellipsis" vert="horz" wrap="square" lIns="38100" tIns="19050" rIns="38100" bIns="19050" anchor="ctr" anchorCtr="1"/>
              <a:lstStyle/>
              <a:p>
                <a:pPr>
                  <a:defRPr lang="zh-CN" sz="800" b="0" i="0" u="none" strike="noStrike" kern="1200" baseline="0">
                    <a:solidFill>
                      <a:schemeClr val="tx1">
                        <a:lumMod val="75000"/>
                        <a:lumOff val="25000"/>
                      </a:schemeClr>
                    </a:solidFill>
                    <a:latin typeface="微软雅黑" panose="020B0503020204020204" pitchFamily="2" charset="-122"/>
                    <a:ea typeface="微软雅黑" panose="020B0503020204020204" pitchFamily="2" charset="-122"/>
                    <a:cs typeface="+mn-cs"/>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坚决保证数据安全，不在乎更高效便捷的服务</c:v>
                </c:pt>
                <c:pt idx="1">
                  <c:v>愿意为了更高效便捷的服务，承担一定的数据安全风险</c:v>
                </c:pt>
                <c:pt idx="2">
                  <c:v>数据安全风险无处不在，不必在意，只想享受更高效便捷的服务</c:v>
                </c:pt>
              </c:strCache>
            </c:strRef>
          </c:cat>
          <c:val>
            <c:numRef>
              <c:f>Sheet1!$B$2:$B$4</c:f>
              <c:numCache>
                <c:formatCode>0.00%</c:formatCode>
                <c:ptCount val="3"/>
                <c:pt idx="0">
                  <c:v>0.465</c:v>
                </c:pt>
                <c:pt idx="1">
                  <c:v>0.449</c:v>
                </c:pt>
                <c:pt idx="2">
                  <c:v>0.085</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800" b="0" i="0" u="none" strike="noStrike" kern="1200" baseline="0">
              <a:solidFill>
                <a:schemeClr val="tx1">
                  <a:lumMod val="65000"/>
                  <a:lumOff val="35000"/>
                </a:schemeClr>
              </a:solidFill>
              <a:latin typeface="微软雅黑" panose="020B0503020204020204" pitchFamily="2" charset="-122"/>
              <a:ea typeface="微软雅黑" panose="020B0503020204020204" pitchFamily="2" charset="-122"/>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800">
          <a:latin typeface="微软雅黑" panose="020B0503020204020204" pitchFamily="2" charset="-122"/>
          <a:ea typeface="微软雅黑" panose="020B0503020204020204" pitchFamily="2"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总体</c:v>
                </c:pt>
              </c:strCache>
            </c:strRef>
          </c:tx>
          <c:spPr>
            <a:solidFill>
              <a:schemeClr val="accent2"/>
            </a:solidFill>
            <a:ln>
              <a:noFill/>
            </a:ln>
            <a:effectLst/>
          </c:spPr>
          <c:invertIfNegative val="0"/>
          <c:dLbls>
            <c:numFmt formatCode="0.0%" sourceLinked="0"/>
            <c:spPr>
              <a:noFill/>
              <a:ln>
                <a:noFill/>
              </a:ln>
              <a:effectLst/>
            </c:spPr>
            <c:txPr>
              <a:bodyPr rot="0" spcFirstLastPara="1" vertOverflow="ellipsis" vert="horz" wrap="square" lIns="38100" tIns="19050" rIns="38100" bIns="19050" anchor="ctr" anchorCtr="1"/>
              <a:lstStyle/>
              <a:p>
                <a:pPr>
                  <a:defRPr lang="zh-CN" sz="800" b="0" i="0" u="none" strike="noStrike" kern="1200" baseline="0">
                    <a:solidFill>
                      <a:schemeClr val="tx1">
                        <a:lumMod val="75000"/>
                        <a:lumOff val="25000"/>
                      </a:schemeClr>
                    </a:solidFill>
                    <a:latin typeface="微软雅黑" panose="020B0503020204020204" pitchFamily="2" charset="-122"/>
                    <a:ea typeface="微软雅黑" panose="020B0503020204020204" pitchFamily="2" charset="-122"/>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360等专业安全公司</c:v>
                </c:pt>
                <c:pt idx="1">
                  <c:v>华为、小米等科技公司</c:v>
                </c:pt>
                <c:pt idx="2">
                  <c:v>运营商</c:v>
                </c:pt>
              </c:strCache>
            </c:strRef>
          </c:cat>
          <c:val>
            <c:numRef>
              <c:f>Sheet1!$B$2:$B$4</c:f>
              <c:numCache>
                <c:formatCode>0.00%</c:formatCode>
                <c:ptCount val="3"/>
                <c:pt idx="0">
                  <c:v>0.435</c:v>
                </c:pt>
                <c:pt idx="1">
                  <c:v>0.285</c:v>
                </c:pt>
                <c:pt idx="2" c:formatCode="0%">
                  <c:v>0.28</c:v>
                </c:pt>
              </c:numCache>
            </c:numRef>
          </c:val>
        </c:ser>
        <c:ser>
          <c:idx val="1"/>
          <c:order val="1"/>
          <c:tx>
            <c:strRef>
              <c:f>Sheet1!$C$1</c:f>
              <c:strCache>
                <c:ptCount val="1"/>
                <c:pt idx="0">
                  <c:v>25岁以下年轻人</c:v>
                </c:pt>
              </c:strCache>
            </c:strRef>
          </c:tx>
          <c:spPr>
            <a:solidFill>
              <a:schemeClr val="accent1">
                <a:lumMod val="40000"/>
                <a:lumOff val="60000"/>
              </a:schemeClr>
            </a:solidFill>
            <a:ln>
              <a:noFill/>
            </a:ln>
            <a:effectLst/>
          </c:spPr>
          <c:invertIfNegative val="0"/>
          <c:dLbls>
            <c:numFmt formatCode="0.0%" sourceLinked="0"/>
            <c:spPr>
              <a:noFill/>
              <a:ln>
                <a:noFill/>
              </a:ln>
              <a:effectLst/>
            </c:spPr>
            <c:txPr>
              <a:bodyPr rot="0" spcFirstLastPara="1" vertOverflow="ellipsis" vert="horz" wrap="square" lIns="38100" tIns="19050" rIns="38100" bIns="19050" anchor="ctr" anchorCtr="1"/>
              <a:lstStyle/>
              <a:p>
                <a:pPr>
                  <a:defRPr lang="zh-CN" sz="800" b="0" i="0" u="none" strike="noStrike" kern="1200" baseline="0">
                    <a:solidFill>
                      <a:schemeClr val="tx1">
                        <a:lumMod val="75000"/>
                        <a:lumOff val="25000"/>
                      </a:schemeClr>
                    </a:solidFill>
                    <a:latin typeface="微软雅黑" panose="020B0503020204020204" pitchFamily="2" charset="-122"/>
                    <a:ea typeface="微软雅黑" panose="020B0503020204020204" pitchFamily="2" charset="-122"/>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360等专业安全公司</c:v>
                </c:pt>
                <c:pt idx="1">
                  <c:v>华为、小米等科技公司</c:v>
                </c:pt>
                <c:pt idx="2">
                  <c:v>运营商</c:v>
                </c:pt>
              </c:strCache>
            </c:strRef>
          </c:cat>
          <c:val>
            <c:numRef>
              <c:f>Sheet1!$C$2:$C$4</c:f>
              <c:numCache>
                <c:formatCode>0.00%</c:formatCode>
                <c:ptCount val="3"/>
                <c:pt idx="0">
                  <c:v>0.375</c:v>
                </c:pt>
                <c:pt idx="1">
                  <c:v>0.375</c:v>
                </c:pt>
                <c:pt idx="2" c:formatCode="0%">
                  <c:v>0.25</c:v>
                </c:pt>
              </c:numCache>
            </c:numRef>
          </c:val>
        </c:ser>
        <c:ser>
          <c:idx val="2"/>
          <c:order val="2"/>
          <c:tx>
            <c:strRef>
              <c:f>Sheet1!$D$1</c:f>
              <c:strCache>
                <c:ptCount val="1"/>
                <c:pt idx="0">
                  <c:v>26-45岁中青年群体</c:v>
                </c:pt>
              </c:strCache>
            </c:strRef>
          </c:tx>
          <c:spPr>
            <a:solidFill>
              <a:schemeClr val="accent1"/>
            </a:solidFill>
            <a:ln>
              <a:noFill/>
            </a:ln>
            <a:effectLst/>
          </c:spPr>
          <c:invertIfNegative val="0"/>
          <c:dLbls>
            <c:numFmt formatCode="0.0%" sourceLinked="0"/>
            <c:spPr>
              <a:noFill/>
              <a:ln>
                <a:noFill/>
              </a:ln>
              <a:effectLst/>
            </c:spPr>
            <c:txPr>
              <a:bodyPr rot="0" spcFirstLastPara="1" vertOverflow="ellipsis" vert="horz" wrap="square" lIns="38100" tIns="19050" rIns="38100" bIns="19050" anchor="ctr" anchorCtr="1"/>
              <a:lstStyle/>
              <a:p>
                <a:pPr>
                  <a:defRPr lang="zh-CN" sz="800" b="0" i="0" u="none" strike="noStrike" kern="1200" baseline="0">
                    <a:solidFill>
                      <a:schemeClr val="tx1">
                        <a:lumMod val="75000"/>
                        <a:lumOff val="25000"/>
                      </a:schemeClr>
                    </a:solidFill>
                    <a:latin typeface="微软雅黑" panose="020B0503020204020204" pitchFamily="2" charset="-122"/>
                    <a:ea typeface="微软雅黑" panose="020B0503020204020204" pitchFamily="2" charset="-122"/>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360等专业安全公司</c:v>
                </c:pt>
                <c:pt idx="1">
                  <c:v>华为、小米等科技公司</c:v>
                </c:pt>
                <c:pt idx="2">
                  <c:v>运营商</c:v>
                </c:pt>
              </c:strCache>
            </c:strRef>
          </c:cat>
          <c:val>
            <c:numRef>
              <c:f>Sheet1!$D$2:$D$4</c:f>
              <c:numCache>
                <c:formatCode>0.00%</c:formatCode>
                <c:ptCount val="3"/>
                <c:pt idx="0">
                  <c:v>0.473</c:v>
                </c:pt>
                <c:pt idx="1">
                  <c:v>0.275</c:v>
                </c:pt>
                <c:pt idx="2">
                  <c:v>0.252</c:v>
                </c:pt>
              </c:numCache>
            </c:numRef>
          </c:val>
        </c:ser>
        <c:ser>
          <c:idx val="3"/>
          <c:order val="3"/>
          <c:tx>
            <c:strRef>
              <c:f>Sheet1!$E$1</c:f>
              <c:strCache>
                <c:ptCount val="1"/>
                <c:pt idx="0">
                  <c:v>45岁以上中老年人</c:v>
                </c:pt>
              </c:strCache>
            </c:strRef>
          </c:tx>
          <c:spPr>
            <a:solidFill>
              <a:schemeClr val="accent5"/>
            </a:solidFill>
            <a:ln>
              <a:noFill/>
            </a:ln>
            <a:effectLst/>
          </c:spPr>
          <c:invertIfNegative val="0"/>
          <c:dLbls>
            <c:numFmt formatCode="0.0%" sourceLinked="0"/>
            <c:spPr>
              <a:noFill/>
              <a:ln>
                <a:noFill/>
              </a:ln>
              <a:effectLst/>
            </c:spPr>
            <c:txPr>
              <a:bodyPr rot="0" spcFirstLastPara="1" vertOverflow="ellipsis" vert="horz" wrap="square" lIns="38100" tIns="19050" rIns="38100" bIns="19050" anchor="ctr" anchorCtr="1"/>
              <a:lstStyle/>
              <a:p>
                <a:pPr>
                  <a:defRPr lang="zh-CN" sz="800" b="0" i="0" u="none" strike="noStrike" kern="1200" baseline="0">
                    <a:solidFill>
                      <a:schemeClr val="tx1">
                        <a:lumMod val="75000"/>
                        <a:lumOff val="25000"/>
                      </a:schemeClr>
                    </a:solidFill>
                    <a:latin typeface="微软雅黑" panose="020B0503020204020204" pitchFamily="2" charset="-122"/>
                    <a:ea typeface="微软雅黑" panose="020B0503020204020204" pitchFamily="2" charset="-122"/>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360等专业安全公司</c:v>
                </c:pt>
                <c:pt idx="1">
                  <c:v>华为、小米等科技公司</c:v>
                </c:pt>
                <c:pt idx="2">
                  <c:v>运营商</c:v>
                </c:pt>
              </c:strCache>
            </c:strRef>
          </c:cat>
          <c:val>
            <c:numRef>
              <c:f>Sheet1!$E$2:$E$4</c:f>
              <c:numCache>
                <c:formatCode>0.00%</c:formatCode>
                <c:ptCount val="3"/>
                <c:pt idx="0">
                  <c:v>0.348</c:v>
                </c:pt>
                <c:pt idx="1">
                  <c:v>0.284</c:v>
                </c:pt>
                <c:pt idx="2">
                  <c:v>0.368</c:v>
                </c:pt>
              </c:numCache>
            </c:numRef>
          </c:val>
        </c:ser>
        <c:dLbls>
          <c:showLegendKey val="0"/>
          <c:showVal val="1"/>
          <c:showCatName val="0"/>
          <c:showSerName val="0"/>
          <c:showPercent val="0"/>
          <c:showBubbleSize val="0"/>
        </c:dLbls>
        <c:gapWidth val="219"/>
        <c:overlap val="-27"/>
        <c:axId val="703219176"/>
        <c:axId val="703218192"/>
      </c:barChart>
      <c:catAx>
        <c:axId val="703219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800" b="0" i="0" u="none" strike="noStrike" kern="1200" baseline="0">
                <a:solidFill>
                  <a:schemeClr val="tx1">
                    <a:lumMod val="65000"/>
                    <a:lumOff val="35000"/>
                  </a:schemeClr>
                </a:solidFill>
                <a:latin typeface="微软雅黑" panose="020B0503020204020204" pitchFamily="2" charset="-122"/>
                <a:ea typeface="微软雅黑" panose="020B0503020204020204" pitchFamily="2" charset="-122"/>
                <a:cs typeface="+mn-cs"/>
              </a:defRPr>
            </a:pPr>
          </a:p>
        </c:txPr>
        <c:crossAx val="703218192"/>
        <c:crosses val="autoZero"/>
        <c:auto val="1"/>
        <c:lblAlgn val="ctr"/>
        <c:lblOffset val="100"/>
        <c:noMultiLvlLbl val="0"/>
      </c:catAx>
      <c:valAx>
        <c:axId val="703218192"/>
        <c:scaling>
          <c:orientation val="minMax"/>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lang="zh-CN" sz="800" b="0" i="0" u="none" strike="noStrike" kern="1200" baseline="0">
                <a:solidFill>
                  <a:schemeClr val="tx1">
                    <a:lumMod val="65000"/>
                    <a:lumOff val="35000"/>
                  </a:schemeClr>
                </a:solidFill>
                <a:latin typeface="微软雅黑" panose="020B0503020204020204" pitchFamily="2" charset="-122"/>
                <a:ea typeface="微软雅黑" panose="020B0503020204020204" pitchFamily="2" charset="-122"/>
                <a:cs typeface="+mn-cs"/>
              </a:defRPr>
            </a:pPr>
          </a:p>
        </c:txPr>
        <c:crossAx val="703219176"/>
        <c:crosses val="autoZero"/>
        <c:crossBetween val="between"/>
        <c:majorUnit val="0.1"/>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800" b="0" i="0" u="none" strike="noStrike" kern="1200" baseline="0">
              <a:solidFill>
                <a:schemeClr val="tx1">
                  <a:lumMod val="65000"/>
                  <a:lumOff val="35000"/>
                </a:schemeClr>
              </a:solidFill>
              <a:latin typeface="微软雅黑" panose="020B0503020204020204" pitchFamily="2" charset="-122"/>
              <a:ea typeface="微软雅黑" panose="020B0503020204020204" pitchFamily="2" charset="-122"/>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1000">
          <a:latin typeface="微软雅黑" panose="020B0503020204020204" pitchFamily="2" charset="-122"/>
          <a:ea typeface="微软雅黑" panose="020B0503020204020204" pitchFamily="2"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5"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5" kern="1200"/>
  </cs:chartArea>
  <cs:dataLabel>
    <cs:lnRef idx="0"/>
    <cs:fillRef idx="0"/>
    <cs:effectRef idx="0"/>
    <cs:fontRef idx="minor">
      <a:schemeClr val="tx1">
        <a:lumMod val="75000"/>
        <a:lumOff val="25000"/>
      </a:schemeClr>
    </cs:fontRef>
    <cs:defRPr sz="1195"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5"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5"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5"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5"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5"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5"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5"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5"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5"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5"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5"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5"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5"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5"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3822</Words>
  <Characters>3910</Characters>
  <Lines>30</Lines>
  <Paragraphs>8</Paragraphs>
  <TotalTime>13</TotalTime>
  <ScaleCrop>false</ScaleCrop>
  <LinksUpToDate>false</LinksUpToDate>
  <CharactersWithSpaces>3916</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2022-11-18T02:12:00Z</dcterms:created>
  <dc:creator>海慈</dc:creator>
  <cp:lastModifiedBy>海慈</cp:lastModifiedBy>
  <dcterms:modified xsi:type="dcterms:W3CDTF">2022-12-26T06:36:37Z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F46A0B03761C411C8BB9DBE060414C4F</vt:lpwstr>
  </property>
</Properties>
</file>