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750"/>
        <w:spacing w:before="212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数字政府应用型厂商研究</w:t>
      </w:r>
    </w:p>
    <w:p>
      <w:pPr>
        <w:ind w:left="2410"/>
        <w:spacing w:before="94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及运营商策略建议</w:t>
      </w:r>
    </w:p>
    <w:p>
      <w:pPr>
        <w:ind w:left="2931"/>
        <w:spacing w:before="331" w:line="213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3"/>
        </w:rPr>
        <w:t>文/</w:t>
      </w:r>
      <w:r>
        <w:rPr>
          <w:rFonts w:ascii="STKaiti" w:hAnsi="STKaiti" w:eastAsia="STKaiti" w:cs="STKaiti"/>
          <w:sz w:val="30"/>
          <w:szCs w:val="30"/>
          <w:spacing w:val="22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3"/>
        </w:rPr>
        <w:t>陈晓佳</w:t>
      </w:r>
      <w:r>
        <w:rPr>
          <w:rFonts w:ascii="STKaiti" w:hAnsi="STKaiti" w:eastAsia="STKaiti" w:cs="STKaiti"/>
          <w:sz w:val="30"/>
          <w:szCs w:val="30"/>
          <w:spacing w:val="10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3"/>
        </w:rPr>
        <w:t>虞苏妍</w:t>
      </w:r>
    </w:p>
    <w:p>
      <w:pPr>
        <w:spacing w:line="402" w:lineRule="auto"/>
        <w:rPr>
          <w:rFonts w:ascii="Arial"/>
          <w:sz w:val="21"/>
        </w:rPr>
      </w:pPr>
      <w:r/>
    </w:p>
    <w:p>
      <w:pPr>
        <w:pStyle w:val="BodyText"/>
        <w:ind w:left="25" w:right="129" w:firstLine="603"/>
        <w:spacing w:before="98" w:line="259" w:lineRule="auto"/>
        <w:jc w:val="both"/>
        <w:rPr/>
      </w:pPr>
      <w:r>
        <w:rPr>
          <w:spacing w:val="-4"/>
        </w:rPr>
        <w:t>我国数字政府建设进入应用场景创新落地的新阶</w:t>
      </w:r>
      <w:r>
        <w:rPr>
          <w:spacing w:val="-5"/>
        </w:rPr>
        <w:t>段。在第十</w:t>
      </w:r>
      <w:r>
        <w:rPr>
          <w:spacing w:val="-4"/>
        </w:rPr>
        <w:t>七届中国电子政务论坛上，中国电信提出，应用创新将成为数字</w:t>
      </w:r>
      <w:r>
        <w:rPr/>
        <w:t>政府建设的重要手段，各级政府正在融合运用新技术、大数据、</w:t>
      </w:r>
      <w:r>
        <w:rPr>
          <w:spacing w:val="-4"/>
        </w:rPr>
        <w:t>通用能力，开展应用场景的创新，推动政府治理体系和治理能力</w:t>
      </w:r>
      <w:r>
        <w:rPr>
          <w:spacing w:val="-9"/>
        </w:rPr>
        <w:t>的现代化。</w:t>
      </w:r>
    </w:p>
    <w:p>
      <w:pPr>
        <w:ind w:firstLine="998"/>
        <w:spacing w:before="118" w:line="4039" w:lineRule="exact"/>
        <w:rPr/>
      </w:pPr>
      <w:r>
        <w:rPr>
          <w:position w:val="-80"/>
        </w:rPr>
        <w:drawing>
          <wp:inline distT="0" distB="0" distL="0" distR="0">
            <wp:extent cx="4023359" cy="2564649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23359" cy="256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01"/>
        <w:spacing w:before="188" w:line="215" w:lineRule="auto"/>
        <w:outlineLvl w:val="0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7"/>
        </w:rPr>
        <w:t>图</w:t>
      </w:r>
      <w:r>
        <w:rPr>
          <w:rFonts w:ascii="KaiTi" w:hAnsi="KaiTi" w:eastAsia="KaiTi" w:cs="KaiTi"/>
          <w:sz w:val="30"/>
          <w:szCs w:val="30"/>
          <w:spacing w:val="-46"/>
        </w:rPr>
        <w:t xml:space="preserve"> </w:t>
      </w:r>
      <w:r>
        <w:rPr>
          <w:rFonts w:ascii="KaiTi" w:hAnsi="KaiTi" w:eastAsia="KaiTi" w:cs="KaiTi"/>
          <w:sz w:val="30"/>
          <w:szCs w:val="30"/>
          <w:spacing w:val="-7"/>
        </w:rPr>
        <w:t>1</w:t>
      </w:r>
      <w:r>
        <w:rPr>
          <w:rFonts w:ascii="KaiTi" w:hAnsi="KaiTi" w:eastAsia="KaiTi" w:cs="KaiTi"/>
          <w:sz w:val="30"/>
          <w:szCs w:val="30"/>
          <w:spacing w:val="-7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7"/>
        </w:rPr>
        <w:t>数字政府市场空间预测（</w:t>
      </w:r>
      <w:r>
        <w:rPr>
          <w:rFonts w:ascii="KaiTi" w:hAnsi="KaiTi" w:eastAsia="KaiTi" w:cs="KaiTi"/>
          <w:sz w:val="30"/>
          <w:szCs w:val="30"/>
          <w:spacing w:val="-56"/>
        </w:rPr>
        <w:t xml:space="preserve"> </w:t>
      </w:r>
      <w:r>
        <w:rPr>
          <w:rFonts w:ascii="KaiTi" w:hAnsi="KaiTi" w:eastAsia="KaiTi" w:cs="KaiTi"/>
          <w:sz w:val="30"/>
          <w:szCs w:val="30"/>
          <w:spacing w:val="-7"/>
        </w:rPr>
        <w:t>IDC</w:t>
      </w:r>
      <w:r>
        <w:rPr>
          <w:rFonts w:ascii="KaiTi" w:hAnsi="KaiTi" w:eastAsia="KaiTi" w:cs="KaiTi"/>
          <w:sz w:val="30"/>
          <w:szCs w:val="30"/>
          <w:spacing w:val="-7"/>
        </w:rPr>
        <w:t xml:space="preserve"> </w:t>
      </w:r>
      <w:r>
        <w:rPr>
          <w:rFonts w:ascii="KaiTi" w:hAnsi="KaiTi" w:eastAsia="KaiTi" w:cs="KaiTi"/>
          <w:sz w:val="30"/>
          <w:szCs w:val="30"/>
          <w:spacing w:val="-7"/>
        </w:rPr>
        <w:t>20</w:t>
      </w:r>
      <w:r>
        <w:rPr>
          <w:rFonts w:ascii="KaiTi" w:hAnsi="KaiTi" w:eastAsia="KaiTi" w:cs="KaiTi"/>
          <w:sz w:val="30"/>
          <w:szCs w:val="30"/>
          <w:spacing w:val="-8"/>
        </w:rPr>
        <w:t>23）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25" w:right="237" w:firstLine="603"/>
        <w:spacing w:before="98" w:line="261" w:lineRule="auto"/>
        <w:rPr/>
      </w:pPr>
      <w:r>
        <w:rPr>
          <w:spacing w:val="-4"/>
        </w:rPr>
        <w:t>数字政府应用市场空间广阔。各级政府积极推动</w:t>
      </w:r>
      <w:r>
        <w:rPr>
          <w:spacing w:val="-5"/>
        </w:rPr>
        <w:t>数字化技术</w:t>
      </w:r>
      <w:r>
        <w:rPr>
          <w:spacing w:val="-3"/>
        </w:rPr>
        <w:t>在垂直业务领域的应用，提升履职效能。</w:t>
      </w:r>
    </w:p>
    <w:p>
      <w:pPr>
        <w:pStyle w:val="BodyText"/>
        <w:ind w:left="25" w:right="237" w:firstLine="629"/>
        <w:spacing w:before="270" w:line="261" w:lineRule="auto"/>
        <w:rPr/>
      </w:pPr>
      <w:r>
        <w:rPr>
          <w:spacing w:val="-5"/>
        </w:rPr>
        <w:t>中央层面，金税四期、智慧检务、财政预算一体</w:t>
      </w:r>
      <w:r>
        <w:rPr>
          <w:spacing w:val="-6"/>
        </w:rPr>
        <w:t>化等重大工</w:t>
      </w:r>
      <w:r>
        <w:rPr>
          <w:spacing w:val="-3"/>
        </w:rPr>
        <w:t>程接连启动并持续推进，带来市场增量。</w:t>
      </w:r>
    </w:p>
    <w:p>
      <w:pPr>
        <w:pStyle w:val="BodyText"/>
        <w:ind w:left="33" w:right="237" w:firstLine="592"/>
        <w:spacing w:before="273" w:line="259" w:lineRule="auto"/>
        <w:rPr/>
      </w:pPr>
      <w:r>
        <w:rPr>
          <w:spacing w:val="-15"/>
        </w:rPr>
        <w:t>地方层面，着力打造智能高效、泛在丰富的应用体系，以</w:t>
      </w:r>
      <w:r>
        <w:rPr>
          <w:spacing w:val="-16"/>
        </w:rPr>
        <w:t>“三</w:t>
      </w:r>
      <w:r>
        <w:rPr>
          <w:spacing w:val="-16"/>
        </w:rPr>
        <w:t>融五跨”的发展要求为指引，在公共服务、政务运行、社会管理、</w:t>
      </w:r>
    </w:p>
    <w:p>
      <w:pPr>
        <w:pStyle w:val="BodyText"/>
        <w:ind w:left="34"/>
        <w:spacing w:before="1" w:line="219" w:lineRule="auto"/>
        <w:rPr/>
      </w:pPr>
      <w:r>
        <w:rPr>
          <w:spacing w:val="8"/>
        </w:rPr>
        <w:t>市场监管、经济调节多领域开展实践探索。根据 </w:t>
      </w:r>
      <w:r>
        <w:rPr>
          <w:rFonts w:ascii="Times New Roman" w:hAnsi="Times New Roman" w:eastAsia="Times New Roman" w:cs="Times New Roman"/>
        </w:rPr>
        <w:t>IDC</w:t>
      </w:r>
      <w:r>
        <w:rPr>
          <w:rFonts w:ascii="Times New Roman" w:hAnsi="Times New Roman" w:eastAsia="Times New Roman" w:cs="Times New Roman"/>
          <w:spacing w:val="8"/>
        </w:rPr>
        <w:t xml:space="preserve">  </w:t>
      </w:r>
      <w:r>
        <w:rPr>
          <w:spacing w:val="8"/>
        </w:rPr>
        <w:t>预测，</w:t>
      </w:r>
    </w:p>
    <w:p>
      <w:pPr>
        <w:pStyle w:val="BodyText"/>
        <w:spacing w:before="63" w:line="233" w:lineRule="auto"/>
        <w:jc w:val="right"/>
        <w:rPr/>
      </w:pPr>
      <w:r>
        <w:rPr>
          <w:rFonts w:ascii="Times New Roman" w:hAnsi="Times New Roman" w:eastAsia="Times New Roman" w:cs="Times New Roman"/>
          <w:spacing w:val="-2"/>
        </w:rPr>
        <w:t>2021~2026 </w:t>
      </w:r>
      <w:r>
        <w:rPr>
          <w:spacing w:val="-2"/>
        </w:rPr>
        <w:t>年数字政府应用解决方案市场规模年均增长率达</w:t>
      </w:r>
      <w:r>
        <w:rPr>
          <w:rFonts w:ascii="Times New Roman" w:hAnsi="Times New Roman" w:eastAsia="Times New Roman" w:cs="Times New Roman"/>
          <w:spacing w:val="-2"/>
        </w:rPr>
        <w:t>20%</w:t>
      </w:r>
      <w:r>
        <w:rPr>
          <w:spacing w:val="-2"/>
        </w:rPr>
        <w:t>，</w:t>
      </w:r>
    </w:p>
    <w:p>
      <w:pPr>
        <w:spacing w:line="233" w:lineRule="auto"/>
        <w:sectPr>
          <w:pgSz w:w="11907" w:h="16839"/>
          <w:pgMar w:top="1431" w:right="1562" w:bottom="0" w:left="1785" w:header="0" w:footer="0" w:gutter="0"/>
        </w:sectPr>
        <w:rPr/>
      </w:pPr>
    </w:p>
    <w:p>
      <w:pPr>
        <w:pStyle w:val="BodyText"/>
        <w:ind w:left="20"/>
        <w:spacing w:before="88" w:line="233" w:lineRule="auto"/>
        <w:rPr/>
      </w:pPr>
      <w:r>
        <w:rPr>
          <w:rFonts w:ascii="Times New Roman" w:hAnsi="Times New Roman" w:eastAsia="Times New Roman" w:cs="Times New Roman"/>
          <w:spacing w:val="-3"/>
        </w:rPr>
        <w:t>2026 </w:t>
      </w:r>
      <w:r>
        <w:rPr>
          <w:spacing w:val="-3"/>
        </w:rPr>
        <w:t>年整体规模超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550 </w:t>
      </w:r>
      <w:r>
        <w:rPr>
          <w:spacing w:val="-3"/>
        </w:rPr>
        <w:t>亿元。</w:t>
      </w:r>
    </w:p>
    <w:p>
      <w:pPr>
        <w:spacing w:line="389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一、数字政府应用市场竞争格局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23" w:right="252" w:firstLine="604"/>
        <w:spacing w:before="98" w:line="258" w:lineRule="auto"/>
        <w:jc w:val="both"/>
        <w:rPr/>
      </w:pPr>
      <w:r>
        <w:rPr>
          <w:spacing w:val="-2"/>
        </w:rPr>
        <w:t>我国传统的政务</w:t>
      </w:r>
      <w:r>
        <w:rPr>
          <w:spacing w:val="-1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IT</w:t>
      </w:r>
      <w:r>
        <w:rPr>
          <w:rFonts w:ascii="Times New Roman" w:hAnsi="Times New Roman" w:eastAsia="Times New Roman" w:cs="Times New Roman"/>
          <w:spacing w:val="52"/>
        </w:rPr>
        <w:t xml:space="preserve"> </w:t>
      </w:r>
      <w:r>
        <w:rPr>
          <w:spacing w:val="-2"/>
        </w:rPr>
        <w:t>系统建设的项目制属性极强，对软硬件</w:t>
      </w:r>
      <w:r>
        <w:rPr>
          <w:spacing w:val="-8"/>
        </w:rPr>
        <w:t>一体化、特定业务和场景的定制化开发需求多，</w:t>
      </w:r>
      <w:r>
        <w:rPr>
          <w:spacing w:val="-33"/>
        </w:rPr>
        <w:t xml:space="preserve"> </w:t>
      </w:r>
      <w:r>
        <w:rPr>
          <w:spacing w:val="-8"/>
        </w:rPr>
        <w:t>利好系统集成商</w:t>
      </w:r>
      <w:r>
        <w:rPr>
          <w:spacing w:val="-7"/>
        </w:rPr>
        <w:t>和软件总包商。整体来看，传统集成</w:t>
      </w:r>
      <w:r>
        <w:rPr>
          <w:rFonts w:ascii="Times New Roman" w:hAnsi="Times New Roman" w:eastAsia="Times New Roman" w:cs="Times New Roman"/>
          <w:spacing w:val="-7"/>
        </w:rPr>
        <w:t>/</w:t>
      </w:r>
      <w:r>
        <w:rPr>
          <w:spacing w:val="-7"/>
        </w:rPr>
        <w:t>总包大厂的龙头地位依然稳</w:t>
      </w:r>
      <w:r>
        <w:rPr>
          <w:spacing w:val="-3"/>
        </w:rPr>
        <w:t>固，</w:t>
      </w:r>
      <w:r>
        <w:rPr>
          <w:rFonts w:ascii="Times New Roman" w:hAnsi="Times New Roman" w:eastAsia="Times New Roman" w:cs="Times New Roman"/>
          <w:spacing w:val="-3"/>
        </w:rPr>
        <w:t>2021</w:t>
      </w:r>
      <w:r>
        <w:rPr>
          <w:rFonts w:ascii="Times New Roman" w:hAnsi="Times New Roman" w:eastAsia="Times New Roman" w:cs="Times New Roman"/>
          <w:spacing w:val="44"/>
        </w:rPr>
        <w:t xml:space="preserve"> </w:t>
      </w:r>
      <w:r>
        <w:rPr>
          <w:spacing w:val="-3"/>
        </w:rPr>
        <w:t>年数字政府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IT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spacing w:val="-3"/>
        </w:rPr>
        <w:t>解决方案整体市场份额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Top7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spacing w:val="-3"/>
        </w:rPr>
        <w:t>厂商均为</w:t>
      </w:r>
      <w:r>
        <w:rPr>
          <w:spacing w:val="-9"/>
        </w:rPr>
        <w:t>传统集成大厂。但在各细分领域， 格局出现变化，厂商专业化趋</w:t>
      </w:r>
      <w:r>
        <w:rPr>
          <w:spacing w:val="-10"/>
        </w:rPr>
        <w:t>势明显。</w:t>
      </w:r>
    </w:p>
    <w:p>
      <w:pPr>
        <w:pStyle w:val="BodyText"/>
        <w:ind w:left="25" w:right="148" w:firstLine="601"/>
        <w:spacing w:before="284" w:line="259" w:lineRule="auto"/>
        <w:jc w:val="both"/>
        <w:rPr/>
      </w:pPr>
      <w:r>
        <w:rPr>
          <w:spacing w:val="-1"/>
        </w:rPr>
        <w:t>根据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IDC </w:t>
      </w:r>
      <w:r>
        <w:rPr>
          <w:spacing w:val="-1"/>
        </w:rPr>
        <w:t>发布的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2022 </w:t>
      </w:r>
      <w:r>
        <w:rPr>
          <w:spacing w:val="-1"/>
        </w:rPr>
        <w:t>年数字政府百强榜，各领域</w:t>
      </w:r>
      <w:r>
        <w:rPr>
          <w:spacing w:val="-2"/>
        </w:rPr>
        <w:t>头部厂商</w:t>
      </w:r>
      <w:r>
        <w:rPr/>
        <w:t>名单与整体市场有较大区别。各厂商从技术、商业模式、渠道、</w:t>
      </w:r>
      <w:r>
        <w:rPr>
          <w:spacing w:val="-8"/>
        </w:rPr>
        <w:t>业务拓展、生态合作等多维度提升竞争力，</w:t>
      </w:r>
      <w:r>
        <w:rPr>
          <w:spacing w:val="-34"/>
        </w:rPr>
        <w:t xml:space="preserve"> </w:t>
      </w:r>
      <w:r>
        <w:rPr>
          <w:spacing w:val="-8"/>
        </w:rPr>
        <w:t>形成和巩固领域内优</w:t>
      </w:r>
      <w:r>
        <w:rPr>
          <w:spacing w:val="-14"/>
        </w:rPr>
        <w:t>势。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ind w:firstLine="98"/>
        <w:spacing w:line="3605" w:lineRule="exact"/>
        <w:rPr/>
      </w:pPr>
      <w:r>
        <w:rPr>
          <w:position w:val="-72"/>
        </w:rPr>
        <w:drawing>
          <wp:inline distT="0" distB="0" distL="0" distR="0">
            <wp:extent cx="5166359" cy="2289505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66359" cy="22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76"/>
        <w:spacing w:before="260" w:line="215" w:lineRule="auto"/>
        <w:outlineLvl w:val="0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图</w:t>
      </w:r>
      <w:r>
        <w:rPr>
          <w:rFonts w:ascii="KaiTi" w:hAnsi="KaiTi" w:eastAsia="KaiTi" w:cs="KaiTi"/>
          <w:sz w:val="30"/>
          <w:szCs w:val="30"/>
          <w:spacing w:val="-58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2</w:t>
      </w:r>
      <w:r>
        <w:rPr>
          <w:rFonts w:ascii="KaiTi" w:hAnsi="KaiTi" w:eastAsia="KaiTi" w:cs="KaiTi"/>
          <w:sz w:val="30"/>
          <w:szCs w:val="30"/>
          <w:spacing w:val="-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3"/>
        </w:rPr>
        <w:t>数字政府应用市场竞争格局（IDC）</w:t>
      </w:r>
    </w:p>
    <w:p>
      <w:pPr>
        <w:spacing w:line="414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二、厂商提升核心竞争力的主要举措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．提升新兴技术应用能力</w:t>
      </w:r>
    </w:p>
    <w:p>
      <w:pPr>
        <w:pStyle w:val="BodyText"/>
        <w:ind w:left="26" w:firstLine="598"/>
        <w:spacing w:before="319" w:line="262" w:lineRule="auto"/>
        <w:jc w:val="both"/>
        <w:rPr/>
      </w:pPr>
      <w:r>
        <w:rPr>
          <w:spacing w:val="-6"/>
        </w:rPr>
        <w:t>在政策驱动下，新兴技术在数字政府中的采用比率越来越高。</w:t>
      </w:r>
      <w:r>
        <w:rPr>
          <w:spacing w:val="-2"/>
        </w:rPr>
        <w:t>根据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IDC</w:t>
      </w:r>
      <w:r>
        <w:rPr>
          <w:rFonts w:ascii="Times New Roman" w:hAnsi="Times New Roman" w:eastAsia="Times New Roman" w:cs="Times New Roman"/>
          <w:spacing w:val="52"/>
        </w:rPr>
        <w:t xml:space="preserve"> </w:t>
      </w:r>
      <w:r>
        <w:rPr>
          <w:spacing w:val="-2"/>
        </w:rPr>
        <w:t>数据，政府行业云计算应用率接近 </w:t>
      </w:r>
      <w:r>
        <w:rPr>
          <w:rFonts w:ascii="Times New Roman" w:hAnsi="Times New Roman" w:eastAsia="Times New Roman" w:cs="Times New Roman"/>
          <w:spacing w:val="-3"/>
        </w:rPr>
        <w:t>70%</w:t>
      </w:r>
      <w:r>
        <w:rPr>
          <w:spacing w:val="-3"/>
        </w:rPr>
        <w:t>，分领域应用</w:t>
      </w:r>
      <w:r>
        <w:rPr>
          <w:spacing w:val="-2"/>
        </w:rPr>
        <w:t>率最高达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90%</w:t>
      </w:r>
      <w:r>
        <w:rPr>
          <w:spacing w:val="-2"/>
        </w:rPr>
        <w:t>；在公共服务等先行领域，大数据和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AI</w:t>
      </w:r>
      <w:r>
        <w:rPr>
          <w:rFonts w:ascii="Times New Roman" w:hAnsi="Times New Roman" w:eastAsia="Times New Roman" w:cs="Times New Roman"/>
          <w:spacing w:val="44"/>
          <w:w w:val="101"/>
        </w:rPr>
        <w:t xml:space="preserve"> </w:t>
      </w:r>
      <w:r>
        <w:rPr>
          <w:spacing w:val="-2"/>
        </w:rPr>
        <w:t>的应用率</w:t>
      </w:r>
    </w:p>
    <w:p>
      <w:pPr>
        <w:spacing w:line="262" w:lineRule="auto"/>
        <w:sectPr>
          <w:pgSz w:w="11907" w:h="16839"/>
          <w:pgMar w:top="1431" w:right="1543" w:bottom="0" w:left="1785" w:header="0" w:footer="0" w:gutter="0"/>
        </w:sectPr>
        <w:rPr/>
      </w:pPr>
    </w:p>
    <w:p>
      <w:pPr>
        <w:pStyle w:val="BodyText"/>
        <w:ind w:left="28" w:right="247" w:hanging="3"/>
        <w:spacing w:before="86" w:line="254" w:lineRule="auto"/>
        <w:rPr/>
      </w:pPr>
      <w:r>
        <w:rPr>
          <w:spacing w:val="-1"/>
        </w:rPr>
        <w:t>达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60~70%</w:t>
      </w:r>
      <w:r>
        <w:rPr>
          <w:spacing w:val="-1"/>
        </w:rPr>
        <w:t>。与之相应，数字政府应用厂商加强新技</w:t>
      </w:r>
      <w:r>
        <w:rPr>
          <w:spacing w:val="-2"/>
        </w:rPr>
        <w:t>术在核心业</w:t>
      </w:r>
      <w:r>
        <w:rPr>
          <w:spacing w:val="-3"/>
        </w:rPr>
        <w:t>务领域的应用，提升产品和方案的竞争力。</w:t>
      </w:r>
    </w:p>
    <w:p>
      <w:pPr>
        <w:ind w:firstLine="126"/>
        <w:spacing w:before="97" w:line="3410" w:lineRule="exact"/>
        <w:rPr/>
      </w:pPr>
      <w:r>
        <w:rPr>
          <w:position w:val="-68"/>
        </w:rPr>
        <w:drawing>
          <wp:inline distT="0" distB="0" distL="0" distR="0">
            <wp:extent cx="5122163" cy="2165604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2163" cy="216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01"/>
        <w:spacing w:before="79" w:line="215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图</w:t>
      </w:r>
      <w:r>
        <w:rPr>
          <w:rFonts w:ascii="KaiTi" w:hAnsi="KaiTi" w:eastAsia="KaiTi" w:cs="KaiTi"/>
          <w:sz w:val="30"/>
          <w:szCs w:val="30"/>
          <w:spacing w:val="-51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3</w:t>
      </w:r>
      <w:r>
        <w:rPr>
          <w:rFonts w:ascii="KaiTi" w:hAnsi="KaiTi" w:eastAsia="KaiTi" w:cs="KaiTi"/>
          <w:sz w:val="30"/>
          <w:szCs w:val="30"/>
          <w:spacing w:val="-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3"/>
        </w:rPr>
        <w:t>新兴技术在数字政府中的应用及厂商重点布局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624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2</w:t>
      </w:r>
      <w:r>
        <w:rPr>
          <w:b/>
          <w:bCs/>
          <w:spacing w:val="-2"/>
        </w:rPr>
        <w:t>．商业模式向产品化、</w:t>
      </w:r>
      <w:r>
        <w:rPr>
          <w:rFonts w:ascii="Times New Roman" w:hAnsi="Times New Roman" w:eastAsia="Times New Roman" w:cs="Times New Roman"/>
          <w:b/>
          <w:bCs/>
          <w:spacing w:val="-2"/>
        </w:rPr>
        <w:t>SaaS </w:t>
      </w:r>
      <w:r>
        <w:rPr>
          <w:b/>
          <w:bCs/>
          <w:spacing w:val="-2"/>
        </w:rPr>
        <w:t>化转型</w:t>
      </w:r>
    </w:p>
    <w:p>
      <w:pPr>
        <w:ind w:firstLine="57"/>
        <w:spacing w:before="88" w:line="3293" w:lineRule="exact"/>
        <w:rPr/>
      </w:pPr>
      <w:r>
        <w:rPr>
          <w:position w:val="-65"/>
        </w:rPr>
        <w:drawing>
          <wp:inline distT="0" distB="0" distL="0" distR="0">
            <wp:extent cx="5213603" cy="209153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13603" cy="209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663"/>
        <w:spacing w:before="51" w:line="230" w:lineRule="auto"/>
        <w:outlineLvl w:val="0"/>
        <w:rPr>
          <w:rFonts w:ascii="KaiTi" w:hAnsi="KaiTi" w:eastAsia="KaiTi" w:cs="KaiTi"/>
          <w:sz w:val="15"/>
          <w:szCs w:val="15"/>
        </w:rPr>
      </w:pPr>
      <w:r>
        <w:rPr>
          <w:rFonts w:ascii="KaiTi" w:hAnsi="KaiTi" w:eastAsia="KaiTi" w:cs="KaiTi"/>
          <w:sz w:val="30"/>
          <w:szCs w:val="30"/>
          <w:spacing w:val="-3"/>
        </w:rPr>
        <w:t>图</w:t>
      </w:r>
      <w:r>
        <w:rPr>
          <w:rFonts w:ascii="KaiTi" w:hAnsi="KaiTi" w:eastAsia="KaiTi" w:cs="KaiTi"/>
          <w:sz w:val="30"/>
          <w:szCs w:val="30"/>
          <w:spacing w:val="-65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4</w:t>
      </w:r>
      <w:r>
        <w:rPr>
          <w:rFonts w:ascii="KaiTi" w:hAnsi="KaiTi" w:eastAsia="KaiTi" w:cs="KaiTi"/>
          <w:sz w:val="30"/>
          <w:szCs w:val="30"/>
          <w:spacing w:val="-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3"/>
        </w:rPr>
        <w:t>新点软件架构体系和代码复用率</w:t>
      </w:r>
      <w:r>
        <w:rPr>
          <w:rFonts w:ascii="KaiTi" w:hAnsi="KaiTi" w:eastAsia="KaiTi" w:cs="KaiTi"/>
          <w:sz w:val="15"/>
          <w:szCs w:val="15"/>
          <w:spacing w:val="-3"/>
          <w:position w:val="14"/>
        </w:rPr>
        <w:t>1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25" w:firstLine="598"/>
        <w:spacing w:before="98" w:line="261" w:lineRule="auto"/>
        <w:jc w:val="both"/>
        <w:rPr/>
      </w:pPr>
      <w:r>
        <w:rPr>
          <w:spacing w:val="-4"/>
        </w:rPr>
        <w:t>传统的政府信息化项目定制模式，在单项目营业成本和研发</w:t>
      </w:r>
      <w:r>
        <w:rPr>
          <w:spacing w:val="-4"/>
        </w:rPr>
        <w:t>投入方面难以实现边际递减，影响厂商的利润率。为改善这一情</w:t>
      </w:r>
      <w:r>
        <w:rPr>
          <w:spacing w:val="-4"/>
        </w:rPr>
        <w:t>况，以新点软件、博思软件、南威软件为代表的多家厂商开始探</w:t>
      </w:r>
      <w:r>
        <w:rPr>
          <w:spacing w:val="-4"/>
        </w:rPr>
        <w:t>索核心业务从“解决方案模式”向“产品模式”转型，以研发流</w:t>
      </w:r>
      <w:r>
        <w:rPr>
          <w:spacing w:val="-5"/>
        </w:rPr>
        <w:t>程标准化推进产品标准化：基于深厚客户基础和行业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Know</w:t>
      </w:r>
      <w:r>
        <w:rPr>
          <w:rFonts w:ascii="Times New Roman" w:hAnsi="Times New Roman" w:eastAsia="Times New Roman" w:cs="Times New Roman"/>
          <w:spacing w:val="-6"/>
        </w:rPr>
        <w:t>-How</w:t>
      </w:r>
      <w:r>
        <w:rPr>
          <w:spacing w:val="-6"/>
        </w:rPr>
        <w:t>，</w:t>
      </w:r>
      <w:r>
        <w:rPr>
          <w:spacing w:val="-8"/>
        </w:rPr>
        <w:t>梳理底层核心技术、客户基本业务需求和流程，</w:t>
      </w:r>
      <w:r>
        <w:rPr>
          <w:spacing w:val="-34"/>
        </w:rPr>
        <w:t xml:space="preserve"> </w:t>
      </w:r>
      <w:r>
        <w:rPr>
          <w:spacing w:val="-8"/>
        </w:rPr>
        <w:t>抽取共性可复用</w:t>
      </w:r>
      <w:r>
        <w:rPr>
          <w:spacing w:val="-4"/>
        </w:rPr>
        <w:t>的功能特征模块，整合打造一体化集成开发平台，形成标准化组</w:t>
      </w:r>
      <w:r>
        <w:rPr>
          <w:spacing w:val="-6"/>
        </w:rPr>
        <w:t>件</w:t>
      </w:r>
      <w:r>
        <w:rPr>
          <w:rFonts w:ascii="Times New Roman" w:hAnsi="Times New Roman" w:eastAsia="Times New Roman" w:cs="Times New Roman"/>
          <w:spacing w:val="-6"/>
        </w:rPr>
        <w:t>+</w:t>
      </w:r>
      <w:r>
        <w:rPr>
          <w:spacing w:val="-6"/>
        </w:rPr>
        <w:t>基础版软件产品的产品体系框架，在此</w:t>
      </w:r>
      <w:r>
        <w:rPr>
          <w:spacing w:val="-7"/>
        </w:rPr>
        <w:t>基础上输出标准软件，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>
        <w:pict>
          <v:shape id="_x0000_s2" style="position:absolute;margin-left:0.72599pt;margin-top:9.15231pt;mso-position-vertical-relative:text;mso-position-horizontal-relative:text;width:144.05pt;height:0.5pt;z-index:251658240;" fillcolor="#000000" filled="true" stroked="false" coordsize="2881,10" coordorigin="0,0" path="m0,9l2880,9l2880,0l0,0l0,9xe"/>
        </w:pict>
      </w:r>
      <w:r/>
    </w:p>
    <w:p>
      <w:pPr>
        <w:ind w:left="22"/>
        <w:spacing w:before="72" w:line="298" w:lineRule="exact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2"/>
          <w:position w:val="12"/>
        </w:rPr>
        <w:t>1</w:t>
      </w:r>
      <w:r>
        <w:rPr>
          <w:rFonts w:ascii="DengXian" w:hAnsi="DengXian" w:eastAsia="DengXian" w:cs="DengXian"/>
          <w:sz w:val="11"/>
          <w:szCs w:val="11"/>
          <w:spacing w:val="11"/>
          <w:position w:val="12"/>
        </w:rPr>
        <w:t xml:space="preserve">   </w:t>
      </w:r>
      <w:r>
        <w:rPr>
          <w:rFonts w:ascii="DengXian" w:hAnsi="DengXian" w:eastAsia="DengXian" w:cs="DengXian"/>
          <w:sz w:val="21"/>
          <w:szCs w:val="21"/>
          <w:spacing w:val="-2"/>
          <w:position w:val="2"/>
        </w:rPr>
        <w:t>来源：新点软件招股说明书</w:t>
      </w:r>
    </w:p>
    <w:p>
      <w:pPr>
        <w:spacing w:line="298" w:lineRule="exact"/>
        <w:sectPr>
          <w:pgSz w:w="11907" w:h="16839"/>
          <w:pgMar w:top="1431" w:right="1562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pStyle w:val="BodyText"/>
        <w:ind w:left="26" w:right="103" w:firstLine="33"/>
        <w:spacing w:before="87" w:line="257" w:lineRule="auto"/>
        <w:jc w:val="both"/>
        <w:rPr/>
      </w:pPr>
      <w:r>
        <w:rPr>
          <w:spacing w:val="2"/>
        </w:rPr>
        <w:t>以及代码复用率高的二次开发</w:t>
      </w:r>
      <w:r>
        <w:rPr>
          <w:rFonts w:ascii="Times New Roman" w:hAnsi="Times New Roman" w:eastAsia="Times New Roman" w:cs="Times New Roman"/>
          <w:spacing w:val="2"/>
        </w:rPr>
        <w:t>/</w:t>
      </w:r>
      <w:r>
        <w:rPr>
          <w:spacing w:val="2"/>
        </w:rPr>
        <w:t>定制软件，以较低的边际成本实</w:t>
      </w:r>
      <w:r>
        <w:rPr>
          <w:spacing w:val="-3"/>
        </w:rPr>
        <w:t>现快速扩张。部分厂商在此基础上开展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toG</w:t>
      </w:r>
      <w:r>
        <w:rPr>
          <w:rFonts w:ascii="Times New Roman" w:hAnsi="Times New Roman" w:eastAsia="Times New Roman" w:cs="Times New Roman"/>
          <w:spacing w:val="50"/>
        </w:rPr>
        <w:t xml:space="preserve"> </w:t>
      </w:r>
      <w:r>
        <w:rPr>
          <w:spacing w:val="-3"/>
        </w:rPr>
        <w:t>的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SaaS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3"/>
        </w:rPr>
        <w:t>化商业模式</w:t>
      </w:r>
      <w:r>
        <w:rPr>
          <w:spacing w:val="1"/>
        </w:rPr>
        <w:t>创新，如南威软件在福建推行“一网协同”的“服务订阅</w:t>
      </w:r>
      <w:r>
        <w:rPr>
          <w:rFonts w:ascii="Times New Roman" w:hAnsi="Times New Roman" w:eastAsia="Times New Roman" w:cs="Times New Roman"/>
          <w:spacing w:val="1"/>
        </w:rPr>
        <w:t>+</w:t>
      </w:r>
      <w:r>
        <w:rPr>
          <w:spacing w:val="1"/>
        </w:rPr>
        <w:t>”模</w:t>
      </w:r>
      <w:r>
        <w:rPr>
          <w:spacing w:val="-2"/>
        </w:rPr>
        <w:t>式，已与省、市层面三十多家政府单位签订了服务订阅合同。</w:t>
      </w:r>
    </w:p>
    <w:p>
      <w:pPr>
        <w:pStyle w:val="BodyText"/>
        <w:ind w:left="621"/>
        <w:spacing w:before="28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．拓展销售</w:t>
      </w:r>
      <w:r>
        <w:rPr>
          <w:rFonts w:ascii="Times New Roman" w:hAnsi="Times New Roman" w:eastAsia="Times New Roman" w:cs="Times New Roman"/>
          <w:b/>
          <w:bCs/>
          <w:spacing w:val="-3"/>
        </w:rPr>
        <w:t>/</w:t>
      </w:r>
      <w:r>
        <w:rPr>
          <w:b/>
          <w:bCs/>
          <w:spacing w:val="-3"/>
        </w:rPr>
        <w:t>服务渠道，实现地域扩张</w:t>
      </w:r>
    </w:p>
    <w:p>
      <w:pPr>
        <w:pStyle w:val="BodyText"/>
        <w:ind w:left="25" w:right="106" w:firstLine="617"/>
        <w:spacing w:before="317" w:line="258" w:lineRule="auto"/>
        <w:jc w:val="both"/>
        <w:rPr/>
      </w:pPr>
      <w:r>
        <w:rPr>
          <w:spacing w:val="3"/>
        </w:rPr>
        <w:t>随着数字政府建设推进，多家深入参与中央和先进省</w:t>
      </w:r>
      <w:r>
        <w:rPr>
          <w:rFonts w:ascii="Times New Roman" w:hAnsi="Times New Roman" w:eastAsia="Times New Roman" w:cs="Times New Roman"/>
          <w:spacing w:val="3"/>
        </w:rPr>
        <w:t>/</w:t>
      </w:r>
      <w:r>
        <w:rPr>
          <w:spacing w:val="3"/>
        </w:rPr>
        <w:t>市数</w:t>
      </w:r>
      <w:r>
        <w:rPr>
          <w:spacing w:val="-4"/>
        </w:rPr>
        <w:t>字化应用建设的厂商开始布局全国市场，实现业务经验和能力的</w:t>
      </w:r>
      <w:r>
        <w:rPr>
          <w:spacing w:val="-9"/>
        </w:rPr>
        <w:t>复制推广。当前各厂商销售模式以直销为主，</w:t>
      </w:r>
      <w:r>
        <w:rPr>
          <w:spacing w:val="-76"/>
        </w:rPr>
        <w:t xml:space="preserve"> </w:t>
      </w:r>
      <w:r>
        <w:rPr>
          <w:spacing w:val="-9"/>
        </w:rPr>
        <w:t>以拓展自有销售</w:t>
      </w:r>
      <w:r>
        <w:rPr>
          <w:rFonts w:ascii="Times New Roman" w:hAnsi="Times New Roman" w:eastAsia="Times New Roman" w:cs="Times New Roman"/>
          <w:spacing w:val="-9"/>
        </w:rPr>
        <w:t>/</w:t>
      </w:r>
      <w:r>
        <w:rPr>
          <w:spacing w:val="-9"/>
        </w:rPr>
        <w:t>服</w:t>
      </w:r>
      <w:r>
        <w:rPr>
          <w:spacing w:val="-4"/>
        </w:rPr>
        <w:t>务渠道为重点拓展全国市场，主要有以下两种模式：一是通过资</w:t>
      </w:r>
      <w:r>
        <w:rPr>
          <w:spacing w:val="-4"/>
        </w:rPr>
        <w:t>本收购本地厂商获得客户拓展基础，代表厂商为博思软件；二是</w:t>
      </w:r>
      <w:r>
        <w:rPr>
          <w:spacing w:val="-8"/>
        </w:rPr>
        <w:t>设立区域总部、分公司等属地机构拓展当地市场，</w:t>
      </w:r>
      <w:r>
        <w:rPr>
          <w:spacing w:val="-34"/>
        </w:rPr>
        <w:t xml:space="preserve"> </w:t>
      </w:r>
      <w:r>
        <w:rPr>
          <w:spacing w:val="-8"/>
        </w:rPr>
        <w:t>代表厂商为南</w:t>
      </w:r>
      <w:r>
        <w:rPr>
          <w:spacing w:val="-4"/>
        </w:rPr>
        <w:t>威软件、新点软件。产品化程度较高的厂商已开展代理及分销模</w:t>
      </w:r>
      <w:r>
        <w:rPr>
          <w:spacing w:val="-6"/>
        </w:rPr>
        <w:t>式，如博思软件开展全国范围内分销伙伴招募计划，</w:t>
      </w:r>
      <w:r>
        <w:rPr>
          <w:rFonts w:ascii="Times New Roman" w:hAnsi="Times New Roman" w:eastAsia="Times New Roman" w:cs="Times New Roman"/>
          <w:spacing w:val="-6"/>
        </w:rPr>
        <w:t>2022 </w:t>
      </w:r>
      <w:r>
        <w:rPr>
          <w:spacing w:val="-6"/>
        </w:rPr>
        <w:t>年代理</w:t>
      </w:r>
      <w:r>
        <w:rPr>
          <w:spacing w:val="-1"/>
        </w:rPr>
        <w:t>分销模式收入同比</w:t>
      </w:r>
      <w:r>
        <w:rPr>
          <w:rFonts w:ascii="Times New Roman" w:hAnsi="Times New Roman" w:eastAsia="Times New Roman" w:cs="Times New Roman"/>
          <w:spacing w:val="-1"/>
        </w:rPr>
        <w:t>+36%</w:t>
      </w:r>
      <w:r>
        <w:rPr>
          <w:spacing w:val="-1"/>
        </w:rPr>
        <w:t>，占总营收比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4.15%</w:t>
      </w:r>
      <w:r>
        <w:rPr>
          <w:spacing w:val="-1"/>
        </w:rPr>
        <w:t>，同比</w:t>
      </w:r>
      <w:r>
        <w:rPr>
          <w:rFonts w:ascii="Times New Roman" w:hAnsi="Times New Roman" w:eastAsia="Times New Roman" w:cs="Times New Roman"/>
          <w:spacing w:val="-1"/>
        </w:rPr>
        <w:t>+0.41pp</w:t>
      </w:r>
      <w:r>
        <w:rPr>
          <w:spacing w:val="-1"/>
        </w:rPr>
        <w:t>。</w:t>
      </w:r>
    </w:p>
    <w:p>
      <w:pPr>
        <w:ind w:firstLine="57"/>
        <w:spacing w:before="116" w:line="3689" w:lineRule="exact"/>
        <w:rPr/>
      </w:pPr>
      <w:r>
        <w:rPr>
          <w:position w:val="-73"/>
        </w:rPr>
        <w:pict>
          <v:group id="_x0000_s4" style="mso-position-vertical-relative:line;mso-position-horizontal-relative:char;width:410.4pt;height:184.45pt;" filled="false" stroked="false" coordsize="8207,3688" coordorigin="0,0">
            <v:shape id="_x0000_s6" style="position:absolute;left:14;top:14;width:8180;height:3660;" filled="false" stroked="false" type="#_x0000_t75">
              <v:imagedata o:title="" r:id="rId5"/>
            </v:shape>
            <v:shape id="_x0000_s8" style="position:absolute;left:-20;top:-20;width:8247;height:372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8197" w:type="dxa"/>
                      <w:tblInd w:w="25" w:type="dxa"/>
                      <w:tblLayout w:type="fixed"/>
                      <w:tblBorders>
                        <w:left w:val="single" w:color="D9D9D9" w:sz="4" w:space="0"/>
                        <w:bottom w:val="single" w:color="D9D9D9" w:sz="4" w:space="0"/>
                        <w:right w:val="single" w:color="D9D9D9" w:sz="4" w:space="0"/>
                        <w:top w:val="single" w:color="D9D9D9" w:sz="4" w:space="0"/>
                      </w:tblBorders>
                    </w:tblPr>
                    <w:tblGrid>
                      <w:gridCol w:w="8197"/>
                    </w:tblGrid>
                    <w:tr>
                      <w:trPr>
                        <w:trHeight w:val="3668" w:hRule="atLeast"/>
                      </w:trPr>
                      <w:tc>
                        <w:tcPr>
                          <w:tcW w:w="8197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ind w:left="1176"/>
        <w:spacing w:before="89" w:line="216" w:lineRule="auto"/>
        <w:outlineLvl w:val="0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图</w:t>
      </w:r>
      <w:r>
        <w:rPr>
          <w:rFonts w:ascii="KaiTi" w:hAnsi="KaiTi" w:eastAsia="KaiTi" w:cs="KaiTi"/>
          <w:sz w:val="30"/>
          <w:szCs w:val="30"/>
          <w:spacing w:val="-56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5</w:t>
      </w:r>
      <w:r>
        <w:rPr>
          <w:rFonts w:ascii="KaiTi" w:hAnsi="KaiTi" w:eastAsia="KaiTi" w:cs="KaiTi"/>
          <w:sz w:val="30"/>
          <w:szCs w:val="30"/>
          <w:spacing w:val="-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3"/>
        </w:rPr>
        <w:t>厂商拓展自有销售/服务渠道的主要模式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624"/>
        <w:spacing w:before="98" w:line="232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4</w:t>
      </w:r>
      <w:r>
        <w:rPr>
          <w:b/>
          <w:bCs/>
          <w:spacing w:val="-2"/>
        </w:rPr>
        <w:t>．围绕政府数据价值流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2"/>
          <w:position w:val="10"/>
        </w:rPr>
        <w:t>2</w:t>
      </w:r>
      <w:r>
        <w:rPr>
          <w:b/>
          <w:bCs/>
          <w:spacing w:val="-2"/>
        </w:rPr>
        <w:t>各环节开展业务拓展</w:t>
      </w:r>
    </w:p>
    <w:p>
      <w:pPr>
        <w:pStyle w:val="BodyText"/>
        <w:ind w:left="22" w:firstLine="602"/>
        <w:spacing w:before="321" w:line="260" w:lineRule="auto"/>
        <w:jc w:val="both"/>
        <w:rPr/>
      </w:pPr>
      <w:r>
        <w:rPr/>
        <w:t>政府拥有庞大的数据资源，未来的核心使命是释放其价值。</w:t>
      </w:r>
      <w:r>
        <w:rPr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IDC </w:t>
      </w:r>
      <w:r>
        <w:rPr>
          <w:spacing w:val="-3"/>
        </w:rPr>
        <w:t>提出了数字政府的数据价值流模型，政府内部通</w:t>
      </w:r>
      <w:r>
        <w:rPr>
          <w:spacing w:val="-4"/>
        </w:rPr>
        <w:t>过数据共享</w:t>
      </w:r>
      <w:r>
        <w:rPr>
          <w:spacing w:val="-9"/>
        </w:rPr>
        <w:t>系统进行数据跨部门、跨区域的共享， 提升业务的便利性；通过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>
        <w:pict>
          <v:shape id="_x0000_s10" style="position:absolute;margin-left:0.72599pt;margin-top:10.2464pt;mso-position-vertical-relative:text;mso-position-horizontal-relative:text;width:144.05pt;height:0.5pt;z-index:251659264;" fillcolor="#000000" filled="true" stroked="false" coordsize="2881,10" coordorigin="0,0" path="m0,9l2880,9l2880,0l0,0l0,9xe"/>
        </w:pict>
      </w:r>
      <w:r/>
    </w:p>
    <w:p>
      <w:pPr>
        <w:ind w:left="20"/>
        <w:spacing w:before="72" w:line="298" w:lineRule="exact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1"/>
          <w:position w:val="12"/>
        </w:rPr>
        <w:t>2</w:t>
      </w:r>
      <w:r>
        <w:rPr>
          <w:rFonts w:ascii="DengXian" w:hAnsi="DengXian" w:eastAsia="DengXian" w:cs="DengXian"/>
          <w:sz w:val="11"/>
          <w:szCs w:val="11"/>
          <w:spacing w:val="7"/>
          <w:w w:val="103"/>
          <w:position w:val="12"/>
        </w:rPr>
        <w:t xml:space="preserve">   </w:t>
      </w:r>
      <w:r>
        <w:rPr>
          <w:rFonts w:ascii="DengXian" w:hAnsi="DengXian" w:eastAsia="DengXian" w:cs="DengXian"/>
          <w:sz w:val="21"/>
          <w:szCs w:val="21"/>
          <w:spacing w:val="-1"/>
          <w:position w:val="2"/>
        </w:rPr>
        <w:t>来源：IDC 2023</w:t>
      </w:r>
    </w:p>
    <w:p>
      <w:pPr>
        <w:spacing w:line="298" w:lineRule="exact"/>
        <w:sectPr>
          <w:pgSz w:w="11907" w:h="16839"/>
          <w:pgMar w:top="1431" w:right="1689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pStyle w:val="BodyText"/>
        <w:ind w:left="25" w:firstLine="3"/>
        <w:spacing w:before="91" w:line="259" w:lineRule="auto"/>
        <w:jc w:val="both"/>
        <w:rPr/>
      </w:pPr>
      <w:r>
        <w:rPr>
          <w:spacing w:val="-4"/>
        </w:rPr>
        <w:t>数据开放平台加大公共数据向企业和个人的开放，满足公众对公</w:t>
      </w:r>
      <w:r>
        <w:rPr>
          <w:spacing w:val="-4"/>
        </w:rPr>
        <w:t>共数据的需求，催生新的业态。数字政府应用厂商在政府的数据</w:t>
      </w:r>
      <w:r>
        <w:rPr>
          <w:spacing w:val="-4"/>
        </w:rPr>
        <w:t>价值流各环节具备项目经验和能力积累，目前正在各环节开展业</w:t>
      </w:r>
      <w:r>
        <w:rPr>
          <w:spacing w:val="-11"/>
        </w:rPr>
        <w:t>务实践：面向政府客户，帮助其实现数据的有效</w:t>
      </w:r>
      <w:r>
        <w:rPr>
          <w:spacing w:val="-12"/>
        </w:rPr>
        <w:t>治理和高效共享；</w:t>
      </w:r>
      <w:r>
        <w:rPr>
          <w:spacing w:val="-9"/>
        </w:rPr>
        <w:t>面向企业、个人等数据消费者， 开发应用产品，实现数据的普惠</w:t>
      </w:r>
      <w:r>
        <w:rPr>
          <w:spacing w:val="-12"/>
        </w:rPr>
        <w:t>利用。</w:t>
      </w:r>
    </w:p>
    <w:p>
      <w:pPr>
        <w:ind w:firstLine="218"/>
        <w:spacing w:before="56" w:line="4070" w:lineRule="exact"/>
        <w:rPr/>
      </w:pPr>
      <w:r>
        <w:rPr>
          <w:position w:val="-81"/>
        </w:rPr>
        <w:pict>
          <v:group id="_x0000_s12" style="mso-position-vertical-relative:line;mso-position-horizontal-relative:char;width:394.45pt;height:203.55pt;" filled="false" stroked="false" coordsize="7889,4071" coordorigin="0,0">
            <v:shape id="_x0000_s14" style="position:absolute;left:14;top:14;width:7860;height:4042;" filled="false" stroked="false" type="#_x0000_t75">
              <v:imagedata o:title="" r:id="rId6"/>
            </v:shape>
            <v:shape id="_x0000_s16" style="position:absolute;left:-20;top:-20;width:7929;height:41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7878" w:type="dxa"/>
                      <w:tblInd w:w="25" w:type="dxa"/>
                      <w:tblLayout w:type="fixed"/>
                      <w:tblBorders>
                        <w:left w:val="single" w:color="A6A6A6" w:sz="4" w:space="0"/>
                        <w:bottom w:val="single" w:color="A6A6A6" w:sz="4" w:space="0"/>
                        <w:right w:val="single" w:color="A6A6A6" w:sz="4" w:space="0"/>
                        <w:top w:val="single" w:color="A6A6A6" w:sz="4" w:space="0"/>
                      </w:tblBorders>
                    </w:tblPr>
                    <w:tblGrid>
                      <w:gridCol w:w="7878"/>
                    </w:tblGrid>
                    <w:tr>
                      <w:trPr>
                        <w:trHeight w:val="4050" w:hRule="atLeast"/>
                      </w:trPr>
                      <w:tc>
                        <w:tcPr>
                          <w:tcW w:w="7878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ind w:left="1552"/>
        <w:spacing w:before="216" w:line="216" w:lineRule="auto"/>
        <w:outlineLvl w:val="0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47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6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厂商围绕政府数据开展的业务实践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627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5</w:t>
      </w:r>
      <w:r>
        <w:rPr>
          <w:b/>
          <w:bCs/>
          <w:spacing w:val="-3"/>
        </w:rPr>
        <w:t>．与国资背景和行业头部企业进行多维度生态合作</w:t>
      </w:r>
    </w:p>
    <w:p>
      <w:pPr>
        <w:ind w:firstLine="638"/>
        <w:spacing w:before="102" w:line="4392" w:lineRule="exact"/>
        <w:rPr/>
      </w:pPr>
      <w:r>
        <w:rPr>
          <w:position w:val="-87"/>
        </w:rPr>
        <w:drawing>
          <wp:inline distT="0" distB="0" distL="0" distR="0">
            <wp:extent cx="4742688" cy="2788920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2688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927"/>
        <w:spacing w:before="210" w:line="215" w:lineRule="auto"/>
        <w:outlineLvl w:val="0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45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7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厂商生态合作主要举措-2022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628"/>
        <w:spacing w:before="98" w:line="219" w:lineRule="auto"/>
        <w:rPr/>
      </w:pPr>
      <w:r>
        <w:rPr>
          <w:spacing w:val="-5"/>
        </w:rPr>
        <w:t>数字政府应用厂商积极融入行业头部厂商生态，在资本、技</w:t>
      </w:r>
    </w:p>
    <w:p>
      <w:pPr>
        <w:spacing w:line="219" w:lineRule="auto"/>
        <w:sectPr>
          <w:pgSz w:w="11907" w:h="16839"/>
          <w:pgMar w:top="1431" w:right="1720" w:bottom="0" w:left="1785" w:header="0" w:footer="0" w:gutter="0"/>
        </w:sectPr>
        <w:rPr/>
      </w:pPr>
    </w:p>
    <w:p>
      <w:pPr>
        <w:pStyle w:val="BodyText"/>
        <w:ind w:left="27" w:right="12" w:firstLine="1"/>
        <w:spacing w:before="90" w:line="258" w:lineRule="auto"/>
        <w:jc w:val="both"/>
        <w:rPr/>
      </w:pPr>
      <w:r>
        <w:rPr>
          <w:spacing w:val="-4"/>
        </w:rPr>
        <w:t>术协作、方案共创、市场开拓等多维度进行合作。各厂商早期的</w:t>
      </w:r>
      <w:r>
        <w:rPr>
          <w:spacing w:val="-6"/>
        </w:rPr>
        <w:t>合作对象以百度、阿里云、腾讯、华为等互联网和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ICT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spacing w:val="-6"/>
        </w:rPr>
        <w:t>头部厂商</w:t>
      </w:r>
      <w:r>
        <w:rPr>
          <w:spacing w:val="-1"/>
        </w:rPr>
        <w:t>为主。随着国资企业在数字政府市场地位的提升，自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2022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spacing w:val="-2"/>
        </w:rPr>
        <w:t>年以</w:t>
      </w:r>
      <w:r>
        <w:rPr>
          <w:spacing w:val="-4"/>
        </w:rPr>
        <w:t>来，多家厂商加强与电信运营商、本地数字政府平台公司等国资</w:t>
      </w:r>
      <w:r>
        <w:rPr>
          <w:spacing w:val="-7"/>
        </w:rPr>
        <w:t>背景单位的合作。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ind w:left="676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三、启示与建议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25" w:right="9" w:firstLine="603"/>
        <w:spacing w:before="98" w:line="259" w:lineRule="auto"/>
        <w:jc w:val="both"/>
        <w:rPr/>
      </w:pPr>
      <w:r>
        <w:rPr>
          <w:spacing w:val="-4"/>
        </w:rPr>
        <w:t>数字政府应用服务市场竞争激烈，各细分领域内</w:t>
      </w:r>
      <w:r>
        <w:rPr>
          <w:spacing w:val="-5"/>
        </w:rPr>
        <w:t>正经历需求</w:t>
      </w:r>
      <w:r>
        <w:rPr>
          <w:spacing w:val="-4"/>
        </w:rPr>
        <w:t>升级和梯队之争，以应用软件开发商为主体的市场格局也面临来</w:t>
      </w:r>
      <w:r>
        <w:rPr>
          <w:spacing w:val="-4"/>
        </w:rPr>
        <w:t>自金融科技、云服务商等其他类型的厂商的挑战。各厂商为增强</w:t>
      </w:r>
      <w:r>
        <w:rPr>
          <w:spacing w:val="-4"/>
        </w:rPr>
        <w:t>自身竞争力而进行多方位的转型，积极融入国资和行业头部大厂</w:t>
      </w:r>
      <w:r>
        <w:rPr>
          <w:spacing w:val="-4"/>
        </w:rPr>
        <w:t>生态，进行新兴技术能力积累、商业模式转型、渠道能力突破以</w:t>
      </w:r>
      <w:r>
        <w:rPr>
          <w:spacing w:val="-4"/>
        </w:rPr>
        <w:t>及挖掘数据要素市场的新机会。中国电信应以“生态赋能者”的</w:t>
      </w:r>
      <w:r>
        <w:rPr>
          <w:spacing w:val="1"/>
        </w:rPr>
        <w:t>定位参与数字政府应用市场的发展，以资源</w:t>
      </w:r>
      <w:r>
        <w:rPr>
          <w:rFonts w:ascii="Times New Roman" w:hAnsi="Times New Roman" w:eastAsia="Times New Roman" w:cs="Times New Roman"/>
          <w:spacing w:val="1"/>
        </w:rPr>
        <w:t>+</w:t>
      </w:r>
      <w:r>
        <w:rPr>
          <w:spacing w:val="1"/>
        </w:rPr>
        <w:t>共创的方式与各领</w:t>
      </w:r>
      <w:r>
        <w:rPr>
          <w:spacing w:val="-4"/>
        </w:rPr>
        <w:t>域优势厂商开展合作，在促进应用供给端繁荣的同时提升自身业</w:t>
      </w:r>
      <w:r>
        <w:rPr>
          <w:spacing w:val="-4"/>
        </w:rPr>
        <w:t>务价值，把握下一阶段市场先机。</w:t>
      </w:r>
    </w:p>
    <w:p>
      <w:pPr>
        <w:pStyle w:val="BodyText"/>
        <w:ind w:left="636"/>
        <w:spacing w:before="27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．加强能力平台研发</w:t>
      </w:r>
    </w:p>
    <w:p>
      <w:pPr>
        <w:pStyle w:val="BodyText"/>
        <w:ind w:left="19" w:right="15" w:firstLine="606"/>
        <w:spacing w:before="323" w:line="264" w:lineRule="auto"/>
        <w:jc w:val="both"/>
        <w:rPr/>
      </w:pPr>
      <w:r>
        <w:rPr>
          <w:spacing w:val="-10"/>
        </w:rPr>
        <w:t>加快天翼云、大数据、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AI </w:t>
      </w:r>
      <w:r>
        <w:rPr>
          <w:spacing w:val="-10"/>
        </w:rPr>
        <w:t>等能力研发，同时汇聚行业优势能</w:t>
      </w:r>
      <w:r>
        <w:rPr>
          <w:spacing w:val="-3"/>
        </w:rPr>
        <w:t>力，构建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aPaaS </w:t>
      </w:r>
      <w:r>
        <w:rPr>
          <w:spacing w:val="-3"/>
        </w:rPr>
        <w:t>平台，向合作伙伴提供数字能力底座，输</w:t>
      </w:r>
      <w:r>
        <w:rPr>
          <w:spacing w:val="-4"/>
        </w:rPr>
        <w:t>出连接</w:t>
      </w:r>
      <w:r>
        <w:rPr>
          <w:rFonts w:ascii="Times New Roman" w:hAnsi="Times New Roman" w:eastAsia="Times New Roman" w:cs="Times New Roman"/>
          <w:spacing w:val="-3"/>
        </w:rPr>
        <w:t>+</w:t>
      </w:r>
      <w:r>
        <w:rPr>
          <w:spacing w:val="-3"/>
        </w:rPr>
        <w:t>算力</w:t>
      </w:r>
      <w:r>
        <w:rPr>
          <w:rFonts w:ascii="Times New Roman" w:hAnsi="Times New Roman" w:eastAsia="Times New Roman" w:cs="Times New Roman"/>
          <w:spacing w:val="-3"/>
        </w:rPr>
        <w:t>+</w:t>
      </w:r>
      <w:r>
        <w:rPr>
          <w:spacing w:val="-3"/>
        </w:rPr>
        <w:t>新兴技术能力，助力行业应用建设。</w:t>
      </w:r>
    </w:p>
    <w:p>
      <w:pPr>
        <w:pStyle w:val="BodyText"/>
        <w:ind w:left="624"/>
        <w:spacing w:before="250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．助力合作伙伴实现产品化商业模式转型</w:t>
      </w:r>
    </w:p>
    <w:p>
      <w:pPr>
        <w:pStyle w:val="BodyText"/>
        <w:ind w:left="14" w:right="9" w:firstLine="616"/>
        <w:spacing w:before="317" w:line="258" w:lineRule="auto"/>
        <w:jc w:val="both"/>
        <w:rPr/>
      </w:pPr>
      <w:r>
        <w:rPr>
          <w:spacing w:val="-7"/>
        </w:rPr>
        <w:t>一是共创标准化产品和共性能力组件。</w:t>
      </w:r>
      <w:r>
        <w:rPr>
          <w:rFonts w:ascii="Times New Roman" w:hAnsi="Times New Roman" w:eastAsia="Times New Roman" w:cs="Times New Roman"/>
          <w:spacing w:val="-7"/>
        </w:rPr>
        <w:t>Gartner </w:t>
      </w:r>
      <w:r>
        <w:rPr>
          <w:spacing w:val="-7"/>
        </w:rPr>
        <w:t>提出“可组合</w:t>
      </w:r>
      <w:r>
        <w:rPr>
          <w:spacing w:val="-4"/>
        </w:rPr>
        <w:t>的政府应用”（</w:t>
      </w:r>
      <w:r>
        <w:rPr>
          <w:rFonts w:ascii="Times New Roman" w:hAnsi="Times New Roman" w:eastAsia="Times New Roman" w:cs="Times New Roman"/>
          <w:spacing w:val="-4"/>
        </w:rPr>
        <w:t>Composable</w:t>
      </w:r>
      <w:r>
        <w:rPr>
          <w:rFonts w:ascii="Times New Roman" w:hAnsi="Times New Roman" w:eastAsia="Times New Roman" w:cs="Times New Roman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Government Applications</w:t>
      </w:r>
      <w:r>
        <w:rPr>
          <w:spacing w:val="-4"/>
        </w:rPr>
        <w:t>）是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2023 </w:t>
      </w:r>
      <w:r>
        <w:rPr>
          <w:spacing w:val="-4"/>
        </w:rPr>
        <w:t>年</w:t>
      </w:r>
      <w:r>
        <w:rPr>
          <w:spacing w:val="-6"/>
        </w:rPr>
        <w:t>政府行业技术趋势之一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3</w:t>
      </w:r>
      <w:r>
        <w:rPr>
          <w:spacing w:val="-6"/>
        </w:rPr>
        <w:t>。中国电信可与应用厂</w:t>
      </w:r>
      <w:r>
        <w:rPr>
          <w:spacing w:val="-7"/>
        </w:rPr>
        <w:t>商合作，梳理行业</w:t>
      </w:r>
      <w:r>
        <w:rPr>
          <w:rFonts w:ascii="Times New Roman" w:hAnsi="Times New Roman" w:eastAsia="Times New Roman" w:cs="Times New Roman"/>
          <w:spacing w:val="-6"/>
        </w:rPr>
        <w:t>/</w:t>
      </w:r>
      <w:r>
        <w:rPr>
          <w:spacing w:val="-6"/>
        </w:rPr>
        <w:t>场景共性需求，基于统一的技术架构和开发平台，打</w:t>
      </w:r>
      <w:r>
        <w:rPr>
          <w:spacing w:val="-7"/>
        </w:rPr>
        <w:t>造标准化的</w:t>
      </w:r>
      <w:r>
        <w:rPr>
          <w:spacing w:val="-6"/>
        </w:rPr>
        <w:t>产品</w:t>
      </w:r>
      <w:r>
        <w:rPr>
          <w:rFonts w:ascii="Times New Roman" w:hAnsi="Times New Roman" w:eastAsia="Times New Roman" w:cs="Times New Roman"/>
          <w:spacing w:val="-6"/>
        </w:rPr>
        <w:t>/</w:t>
      </w:r>
      <w:r>
        <w:rPr>
          <w:spacing w:val="-6"/>
        </w:rPr>
        <w:t>能力模块，以快速打包组合的方式形成解决方案，</w:t>
      </w:r>
      <w:r>
        <w:rPr>
          <w:spacing w:val="-7"/>
        </w:rPr>
        <w:t>实现降低</w:t>
      </w:r>
      <w:r>
        <w:rPr>
          <w:spacing w:val="-3"/>
        </w:rPr>
        <w:t>成本和敏捷交付，迅速应对客户需求变化。</w:t>
      </w:r>
    </w:p>
    <w:p>
      <w:pPr>
        <w:spacing w:line="430" w:lineRule="auto"/>
        <w:rPr>
          <w:rFonts w:ascii="Arial"/>
          <w:sz w:val="21"/>
        </w:rPr>
      </w:pPr>
      <w:r>
        <w:pict>
          <v:shape id="_x0000_s18" style="position:absolute;margin-left:0.72599pt;margin-top:18.2763pt;mso-position-vertical-relative:text;mso-position-horizontal-relative:text;width:144.05pt;height:0.5pt;z-index:251661312;" fillcolor="#000000" filled="true" stroked="false" coordsize="2881,10" coordorigin="0,0" path="m0,9l2880,9l2880,0l0,0l0,9xe"/>
        </w:pict>
      </w:r>
      <w:r/>
    </w:p>
    <w:p>
      <w:pPr>
        <w:ind w:left="17" w:right="865" w:firstLine="2"/>
        <w:spacing w:before="71" w:line="237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position w:val="10"/>
        </w:rPr>
        <w:t>3   </w:t>
      </w:r>
      <w:r>
        <w:rPr>
          <w:rFonts w:ascii="DengXian" w:hAnsi="DengXian" w:eastAsia="DengXian" w:cs="DengXian"/>
          <w:sz w:val="21"/>
          <w:szCs w:val="21"/>
        </w:rPr>
        <w:t>《Top Technology T</w:t>
      </w:r>
      <w:r>
        <w:rPr>
          <w:rFonts w:ascii="DengXian" w:hAnsi="DengXian" w:eastAsia="DengXian" w:cs="DengXian"/>
          <w:sz w:val="21"/>
          <w:szCs w:val="21"/>
          <w:spacing w:val="-1"/>
        </w:rPr>
        <w:t>rends 2023:Government  》,Led</w:t>
      </w:r>
      <w:r>
        <w:rPr>
          <w:rFonts w:ascii="DengXian" w:hAnsi="DengXian" w:eastAsia="DengXian" w:cs="DengXian"/>
          <w:sz w:val="21"/>
          <w:szCs w:val="21"/>
          <w:spacing w:val="15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1"/>
        </w:rPr>
        <w:t>by Arthur</w:t>
      </w:r>
      <w:r>
        <w:rPr>
          <w:rFonts w:ascii="DengXian" w:hAnsi="DengXian" w:eastAsia="DengXian" w:cs="DengXian"/>
          <w:sz w:val="21"/>
          <w:szCs w:val="21"/>
          <w:spacing w:val="19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1"/>
        </w:rPr>
        <w:t>Mickoleit,</w:t>
      </w:r>
      <w:r>
        <w:rPr>
          <w:rFonts w:ascii="DengXian" w:hAnsi="DengXian" w:eastAsia="DengXian" w:cs="DengXian"/>
          <w:sz w:val="21"/>
          <w:szCs w:val="21"/>
          <w:spacing w:val="19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1"/>
        </w:rPr>
        <w:t>Director</w:t>
      </w:r>
      <w:r>
        <w:rPr>
          <w:rFonts w:ascii="DengXian" w:hAnsi="DengXian" w:eastAsia="DengXian" w:cs="DengXian"/>
          <w:sz w:val="21"/>
          <w:szCs w:val="21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1"/>
        </w:rPr>
        <w:t>Analyst,Gartner 2023</w:t>
      </w:r>
    </w:p>
    <w:p>
      <w:pPr>
        <w:spacing w:line="237" w:lineRule="auto"/>
        <w:sectPr>
          <w:pgSz w:w="11907" w:h="16839"/>
          <w:pgMar w:top="1431" w:right="1785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pStyle w:val="BodyText"/>
        <w:ind w:left="25" w:firstLine="605"/>
        <w:spacing w:before="87" w:line="259" w:lineRule="auto"/>
        <w:jc w:val="both"/>
        <w:rPr/>
      </w:pPr>
      <w:r>
        <w:rPr>
          <w:spacing w:val="-7"/>
        </w:rPr>
        <w:t>二是提前卡位应用分发关键环节。随着数字政府建设的深化，</w:t>
      </w:r>
      <w:r>
        <w:rPr>
          <w:spacing w:val="-4"/>
        </w:rPr>
        <w:t>多地政府通过建设应用分发平台，探索打造“一地创新、各地复</w:t>
      </w:r>
      <w:r>
        <w:rPr>
          <w:spacing w:val="-4"/>
        </w:rPr>
        <w:t>用”的推广新模式，如广东的“粤复用”数字政府应用超市、陕</w:t>
      </w:r>
      <w:r>
        <w:rPr>
          <w:spacing w:val="-4"/>
        </w:rPr>
        <w:t>西吕梁联合华为打造的政务应用分发平台等。中国电信已完成国</w:t>
      </w:r>
      <w:r>
        <w:rPr>
          <w:spacing w:val="-4"/>
        </w:rPr>
        <w:t>资央企</w:t>
      </w:r>
      <w:r>
        <w:rPr>
          <w:spacing w:val="-1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SaaS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spacing w:val="-4"/>
        </w:rPr>
        <w:t>应用服务共享平台的建设和应用软件的适配及引入，</w:t>
      </w:r>
      <w:r>
        <w:rPr>
          <w:spacing w:val="-1"/>
        </w:rPr>
        <w:t>从中积累的经验可向 </w:t>
      </w:r>
      <w:r>
        <w:rPr>
          <w:rFonts w:ascii="Times New Roman" w:hAnsi="Times New Roman" w:eastAsia="Times New Roman" w:cs="Times New Roman"/>
          <w:spacing w:val="-1"/>
        </w:rPr>
        <w:t>G  </w:t>
      </w:r>
      <w:r>
        <w:rPr>
          <w:spacing w:val="-1"/>
        </w:rPr>
        <w:t>端复制，向各级政府客户提供应用分发</w:t>
      </w:r>
      <w:r>
        <w:rPr>
          <w:spacing w:val="-4"/>
        </w:rPr>
        <w:t>平台建运一体化服务，推动成熟应用在地区间的复制，同时帮助</w:t>
      </w:r>
      <w:r>
        <w:rPr>
          <w:spacing w:val="-5"/>
        </w:rPr>
        <w:t>合作伙伴产品落地推广。</w:t>
      </w:r>
    </w:p>
    <w:p>
      <w:pPr>
        <w:pStyle w:val="BodyText"/>
        <w:ind w:left="621"/>
        <w:spacing w:before="272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．构建全面协同的渠道和服务生态体系</w:t>
      </w:r>
    </w:p>
    <w:p>
      <w:pPr>
        <w:pStyle w:val="BodyText"/>
        <w:ind w:left="25" w:right="124" w:firstLine="617"/>
        <w:spacing w:before="315" w:line="259" w:lineRule="auto"/>
        <w:rPr/>
      </w:pPr>
      <w:r>
        <w:rPr>
          <w:spacing w:val="-5"/>
        </w:rPr>
        <w:t>随着数字政府建设深化，政府客户对服务商有了更高的能力</w:t>
      </w:r>
      <w:r>
        <w:rPr/>
        <w:t>要求：一是要对客户的核心业务场景和流程有深入全面的理解；</w:t>
      </w:r>
      <w:r>
        <w:rPr>
          <w:spacing w:val="-6"/>
        </w:rPr>
        <w:t>二是要提供下沉至县</w:t>
      </w:r>
      <w:r>
        <w:rPr>
          <w:rFonts w:ascii="Times New Roman" w:hAnsi="Times New Roman" w:eastAsia="Times New Roman" w:cs="Times New Roman"/>
          <w:spacing w:val="-6"/>
        </w:rPr>
        <w:t>/</w:t>
      </w:r>
      <w:r>
        <w:rPr>
          <w:spacing w:val="-6"/>
        </w:rPr>
        <w:t>区乡</w:t>
      </w:r>
      <w:r>
        <w:rPr>
          <w:rFonts w:ascii="Times New Roman" w:hAnsi="Times New Roman" w:eastAsia="Times New Roman" w:cs="Times New Roman"/>
          <w:spacing w:val="-6"/>
        </w:rPr>
        <w:t>/</w:t>
      </w:r>
      <w:r>
        <w:rPr>
          <w:spacing w:val="-6"/>
        </w:rPr>
        <w:t>镇街层级的属地化、建运一体化服务。</w:t>
      </w:r>
      <w:r>
        <w:rPr/>
        <w:t>中国电信应与应用型厂商建立全面协同的渠道和服务生态合作，</w:t>
      </w:r>
      <w:r>
        <w:rPr>
          <w:spacing w:val="-4"/>
        </w:rPr>
        <w:t>发挥各自能力优势，实现多方共赢：一是与合作伙伴共同打造面</w:t>
      </w:r>
      <w:r>
        <w:rPr>
          <w:spacing w:val="-4"/>
        </w:rPr>
        <w:t>向垂直领域的数字化转型解决方案；二是与优质合作伙伴开展商</w:t>
      </w:r>
      <w:r>
        <w:rPr/>
        <w:t>机拓展</w:t>
      </w:r>
      <w:r>
        <w:rPr>
          <w:rFonts w:ascii="Times New Roman" w:hAnsi="Times New Roman" w:eastAsia="Times New Roman" w:cs="Times New Roman"/>
        </w:rPr>
        <w:t>-</w:t>
      </w:r>
      <w:r>
        <w:rPr/>
        <w:t>获客</w:t>
      </w:r>
      <w:r>
        <w:rPr>
          <w:rFonts w:ascii="Times New Roman" w:hAnsi="Times New Roman" w:eastAsia="Times New Roman" w:cs="Times New Roman"/>
        </w:rPr>
        <w:t>-</w:t>
      </w:r>
      <w:r>
        <w:rPr/>
        <w:t>交付实施全流程合作和资源共享</w:t>
      </w:r>
      <w:r>
        <w:rPr>
          <w:spacing w:val="-1"/>
        </w:rPr>
        <w:t>，保障交付质量；</w:t>
      </w:r>
      <w:r>
        <w:rPr>
          <w:spacing w:val="-4"/>
        </w:rPr>
        <w:t>三是强化自有本地团队的中后期服务能力，除了系统运维、应急</w:t>
      </w:r>
      <w:r>
        <w:rPr>
          <w:spacing w:val="-8"/>
        </w:rPr>
        <w:t>响应、性能拓展等常规能力之外，</w:t>
      </w:r>
      <w:r>
        <w:rPr>
          <w:spacing w:val="-34"/>
        </w:rPr>
        <w:t xml:space="preserve"> </w:t>
      </w:r>
      <w:r>
        <w:rPr>
          <w:spacing w:val="-8"/>
        </w:rPr>
        <w:t>打造适应于数字政府长效运营</w:t>
      </w:r>
      <w:r>
        <w:rPr>
          <w:spacing w:val="-6"/>
        </w:rPr>
        <w:t>机制的产品服务。</w:t>
      </w:r>
    </w:p>
    <w:p>
      <w:pPr>
        <w:pStyle w:val="BodyText"/>
        <w:ind w:left="624"/>
        <w:spacing w:before="276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4</w:t>
      </w:r>
      <w:r>
        <w:rPr>
          <w:b/>
          <w:bCs/>
          <w:spacing w:val="-3"/>
        </w:rPr>
        <w:t>．共同打造数据产品</w:t>
      </w:r>
    </w:p>
    <w:p>
      <w:pPr>
        <w:pStyle w:val="BodyText"/>
        <w:ind w:left="26" w:right="230" w:firstLine="616"/>
        <w:spacing w:before="323" w:line="259" w:lineRule="auto"/>
        <w:jc w:val="both"/>
        <w:rPr/>
      </w:pPr>
      <w:r>
        <w:pict>
          <v:shape id="_x0000_s20" style="position:absolute;margin-left:0.72599pt;margin-top:213.289pt;mso-position-vertical-relative:text;mso-position-horizontal-relative:text;width:144.05pt;height:0.5pt;z-index:251662336;" fillcolor="#000000" filled="true" stroked="false" coordsize="2881,10" coordorigin="0,0" path="m0,9l2880,9l2880,0l0,0l0,9xe"/>
        </w:pict>
      </w:r>
      <w:r>
        <w:rPr>
          <w:spacing w:val="-5"/>
        </w:rPr>
        <w:t>随着我国公共数据资源开放的深化，应用厂商积极探索公共</w:t>
      </w:r>
      <w:r>
        <w:rPr>
          <w:spacing w:val="-5"/>
        </w:rPr>
        <w:t>数据增值开发利用，打造面向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G/B/C </w:t>
      </w:r>
      <w:r>
        <w:rPr>
          <w:spacing w:val="-5"/>
        </w:rPr>
        <w:t>端客户的数据产品。市场对</w:t>
      </w:r>
      <w:r>
        <w:rPr>
          <w:spacing w:val="-4"/>
        </w:rPr>
        <w:t>数据产品开发厂商的能力要求包括：内外部数据采集能力；数据</w:t>
      </w:r>
      <w:r>
        <w:rPr>
          <w:spacing w:val="-4"/>
        </w:rPr>
        <w:t>治理、资产管理工具和服务、数据挖掘分析的技术能力、数据要</w:t>
      </w:r>
      <w:r>
        <w:rPr>
          <w:spacing w:val="-7"/>
        </w:rPr>
        <w:t>素流通全流程服务能力</w:t>
      </w:r>
      <w:r>
        <w:rPr>
          <w:rFonts w:ascii="Times New Roman" w:hAnsi="Times New Roman" w:eastAsia="Times New Roman" w:cs="Times New Roman"/>
          <w:sz w:val="18"/>
          <w:szCs w:val="18"/>
          <w:spacing w:val="-7"/>
          <w:position w:val="10"/>
        </w:rPr>
        <w:t>4</w:t>
      </w:r>
      <w:r>
        <w:rPr>
          <w:spacing w:val="-7"/>
        </w:rPr>
        <w:t>。中国电信可基于自身优势，赋能合作伙</w:t>
      </w:r>
      <w:r>
        <w:rPr>
          <w:spacing w:val="-4"/>
        </w:rPr>
        <w:t>伴：一是在安全合规前提下加大企业数据的开放共享，丰富高质</w:t>
      </w:r>
      <w:r>
        <w:rPr>
          <w:spacing w:val="-4"/>
        </w:rPr>
        <w:t>量数据供给。二是为数据产品化提供全价值链数字化技术能力及</w:t>
      </w:r>
      <w:r>
        <w:rPr>
          <w:spacing w:val="-9"/>
        </w:rPr>
        <w:t>运营服务。三是发挥安全能力优势， 依托区块链、隐私计算等数</w:t>
      </w:r>
      <w:r>
        <w:rPr>
          <w:spacing w:val="-2"/>
        </w:rPr>
        <w:t>字技术为数据资产化提供可信流通底座，保障数据流通安全。</w:t>
      </w:r>
    </w:p>
    <w:p>
      <w:pPr>
        <w:ind w:left="16"/>
        <w:spacing w:before="289" w:line="294" w:lineRule="exact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1"/>
          <w:position w:val="12"/>
        </w:rPr>
        <w:t>4</w:t>
      </w:r>
      <w:r>
        <w:rPr>
          <w:rFonts w:ascii="DengXian" w:hAnsi="DengXian" w:eastAsia="DengXian" w:cs="DengXian"/>
          <w:sz w:val="11"/>
          <w:szCs w:val="11"/>
          <w:spacing w:val="12"/>
          <w:w w:val="102"/>
          <w:position w:val="12"/>
        </w:rPr>
        <w:t xml:space="preserve">   </w:t>
      </w:r>
      <w:r>
        <w:rPr>
          <w:rFonts w:ascii="DengXian" w:hAnsi="DengXian" w:eastAsia="DengXian" w:cs="DengXian"/>
          <w:sz w:val="21"/>
          <w:szCs w:val="21"/>
          <w:spacing w:val="-1"/>
          <w:position w:val="2"/>
        </w:rPr>
        <w:t>爱分析《2023 数据产品开发市场厂商评估报告》</w:t>
      </w:r>
    </w:p>
    <w:p>
      <w:pPr>
        <w:spacing w:line="294" w:lineRule="exact"/>
        <w:sectPr>
          <w:pgSz w:w="11907" w:h="16839"/>
          <w:pgMar w:top="1431" w:right="1566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ind w:left="39"/>
        <w:spacing w:before="97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</w:t>
      </w:r>
      <w:r>
        <w:rPr>
          <w:rFonts w:ascii="KaiTi" w:hAnsi="KaiTi" w:eastAsia="KaiTi" w:cs="KaiTi"/>
          <w:sz w:val="30"/>
          <w:szCs w:val="30"/>
          <w:spacing w:val="-2"/>
        </w:rPr>
        <w:t>战略发展研究所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135407</wp:posOffset>
            </wp:positionH>
            <wp:positionV relativeFrom="paragraph">
              <wp:posOffset>57847</wp:posOffset>
            </wp:positionV>
            <wp:extent cx="992123" cy="1277111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2123" cy="1277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left="2432"/>
        <w:spacing w:before="91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3"/>
        </w:rPr>
        <w:t>陈晓佳</w:t>
      </w:r>
      <w:r>
        <w:rPr>
          <w:rFonts w:ascii="KaiTi" w:hAnsi="KaiTi" w:eastAsia="KaiTi" w:cs="KaiTi"/>
          <w:sz w:val="28"/>
          <w:szCs w:val="28"/>
          <w:spacing w:val="-3"/>
        </w:rPr>
        <w:t xml:space="preserve"> </w:t>
      </w:r>
      <w:r>
        <w:rPr>
          <w:rFonts w:ascii="KaiTi" w:hAnsi="KaiTi" w:eastAsia="KaiTi" w:cs="KaiTi"/>
          <w:sz w:val="28"/>
          <w:szCs w:val="28"/>
          <w:spacing w:val="-3"/>
        </w:rPr>
        <w:t>【18022301991】</w:t>
      </w:r>
    </w:p>
    <w:p>
      <w:pPr>
        <w:ind w:left="2402" w:right="333" w:firstLine="289"/>
        <w:spacing w:before="109" w:line="225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硕士，主要从事运营商竞争研究、产数市场</w:t>
      </w:r>
      <w:r>
        <w:rPr>
          <w:rFonts w:ascii="KaiTi" w:hAnsi="KaiTi" w:eastAsia="KaiTi" w:cs="KaiTi"/>
          <w:sz w:val="28"/>
          <w:szCs w:val="28"/>
          <w:spacing w:val="-7"/>
        </w:rPr>
        <w:t>研究等。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135407</wp:posOffset>
            </wp:positionH>
            <wp:positionV relativeFrom="paragraph">
              <wp:posOffset>21685</wp:posOffset>
            </wp:positionV>
            <wp:extent cx="992123" cy="1389888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2123" cy="1389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78" w:lineRule="auto"/>
        <w:rPr>
          <w:rFonts w:ascii="Arial"/>
          <w:sz w:val="21"/>
        </w:rPr>
      </w:pPr>
      <w:r/>
    </w:p>
    <w:p>
      <w:pPr>
        <w:ind w:left="2409"/>
        <w:spacing w:before="91" w:line="222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5"/>
        </w:rPr>
        <w:t>虞苏妍</w:t>
      </w:r>
    </w:p>
    <w:p>
      <w:pPr>
        <w:ind w:left="2413" w:right="333" w:firstLine="303"/>
        <w:spacing w:before="110" w:line="222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高级工程师，长期从事产业研究及战略评估</w:t>
      </w:r>
      <w:r>
        <w:rPr>
          <w:rFonts w:ascii="KaiTi" w:hAnsi="KaiTi" w:eastAsia="KaiTi" w:cs="KaiTi"/>
          <w:sz w:val="28"/>
          <w:szCs w:val="28"/>
          <w:spacing w:val="-2"/>
        </w:rPr>
        <w:t>等，近年来专注产业数字化、数字政府领域。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jpeg"/><Relationship Id="rId8" Type="http://schemas.openxmlformats.org/officeDocument/2006/relationships/image" Target="media/image8.jpeg"/><Relationship Id="rId7" Type="http://schemas.openxmlformats.org/officeDocument/2006/relationships/image" Target="media/image7.pn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png"/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dcterms:created xsi:type="dcterms:W3CDTF">2023-07-24T16:28:58Z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2025-11-04T15:55:02</vt:filetime>
  </property>
</Properties>
</file>