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974" w:rsidRDefault="00604C8D">
      <w:pPr>
        <w:ind w:firstLineChars="0" w:firstLine="0"/>
        <w:jc w:val="center"/>
        <w:rPr>
          <w:rFonts w:ascii="Times New Roman" w:eastAsia="方正小标宋简体" w:hAnsi="Times New Roman" w:cs="Times New Roman"/>
          <w:sz w:val="32"/>
          <w:szCs w:val="32"/>
        </w:rPr>
      </w:pPr>
      <w:r>
        <w:rPr>
          <w:rFonts w:ascii="Times New Roman" w:eastAsia="方正小标宋简体" w:hAnsi="Times New Roman" w:cs="Times New Roman"/>
          <w:sz w:val="32"/>
          <w:szCs w:val="32"/>
        </w:rPr>
        <w:t>数据中心能效</w:t>
      </w:r>
      <w:r>
        <w:rPr>
          <w:rFonts w:ascii="Times New Roman" w:eastAsia="方正小标宋简体" w:hAnsi="Times New Roman" w:cs="Times New Roman"/>
          <w:sz w:val="32"/>
          <w:szCs w:val="32"/>
        </w:rPr>
        <w:t>阶梯电价</w:t>
      </w:r>
      <w:r>
        <w:rPr>
          <w:rFonts w:ascii="Times New Roman" w:eastAsia="方正小标宋简体" w:hAnsi="Times New Roman" w:cs="Times New Roman"/>
          <w:sz w:val="32"/>
          <w:szCs w:val="32"/>
        </w:rPr>
        <w:t>政策下运营商策略分析</w:t>
      </w:r>
    </w:p>
    <w:p w:rsidR="00884974" w:rsidRDefault="00884974">
      <w:pPr>
        <w:ind w:firstLine="480"/>
        <w:rPr>
          <w:rFonts w:ascii="Times New Roman" w:hAnsi="Times New Roman" w:cs="Times New Roman"/>
        </w:rPr>
      </w:pPr>
    </w:p>
    <w:p w:rsidR="00884974" w:rsidRDefault="00604C8D">
      <w:pPr>
        <w:ind w:firstLine="480"/>
        <w:jc w:val="left"/>
        <w:rPr>
          <w:rFonts w:ascii="Times New Roman" w:hAnsi="Times New Roman" w:cs="Times New Roman"/>
        </w:rPr>
      </w:pPr>
      <w:r>
        <w:rPr>
          <w:rFonts w:ascii="Times New Roman" w:hAnsi="Times New Roman" w:cs="Times New Roman"/>
        </w:rPr>
        <w:t>2024</w:t>
      </w:r>
      <w:r>
        <w:rPr>
          <w:rFonts w:ascii="Times New Roman" w:hAnsi="Times New Roman" w:cs="Times New Roman"/>
        </w:rPr>
        <w:t>年</w:t>
      </w:r>
      <w:r>
        <w:rPr>
          <w:rFonts w:ascii="Times New Roman" w:hAnsi="Times New Roman" w:cs="Times New Roman"/>
        </w:rPr>
        <w:t>7</w:t>
      </w:r>
      <w:r>
        <w:rPr>
          <w:rFonts w:ascii="Times New Roman" w:hAnsi="Times New Roman" w:cs="Times New Roman"/>
        </w:rPr>
        <w:t>月，数据中心能效阶梯电价政策写入国家政策文件，推动</w:t>
      </w:r>
      <w:r>
        <w:rPr>
          <w:rFonts w:ascii="Times New Roman" w:hAnsi="Times New Roman" w:cs="Times New Roman"/>
        </w:rPr>
        <w:t>建立全国统一的工业重点领域阶梯电价政策</w:t>
      </w:r>
      <w:r>
        <w:rPr>
          <w:rFonts w:ascii="Times New Roman" w:hAnsi="Times New Roman" w:cs="Times New Roman"/>
        </w:rPr>
        <w:t>。</w:t>
      </w:r>
      <w:r>
        <w:rPr>
          <w:rFonts w:ascii="Times New Roman" w:hAnsi="Times New Roman" w:cs="Times New Roman" w:hint="eastAsia"/>
        </w:rPr>
        <w:t>近年来，</w:t>
      </w:r>
      <w:r>
        <w:rPr>
          <w:rFonts w:ascii="Times New Roman" w:hAnsi="Times New Roman" w:cs="Times New Roman"/>
        </w:rPr>
        <w:t>浙江、北京、上海、安徽、广东多地</w:t>
      </w:r>
      <w:r>
        <w:rPr>
          <w:rFonts w:ascii="Times New Roman" w:hAnsi="Times New Roman" w:cs="Times New Roman" w:hint="eastAsia"/>
        </w:rPr>
        <w:t>陆续</w:t>
      </w:r>
      <w:r>
        <w:rPr>
          <w:rFonts w:ascii="Times New Roman" w:hAnsi="Times New Roman" w:cs="Times New Roman"/>
        </w:rPr>
        <w:t>出台数据中心能效阶梯电价政策，对当地数据中心用电策略带来一定影响。</w:t>
      </w:r>
      <w:r>
        <w:rPr>
          <w:rFonts w:ascii="Times New Roman" w:hAnsi="Times New Roman" w:cs="Times New Roman"/>
        </w:rPr>
        <w:t>2024</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月北京进一步明确阶梯电价政策，并计划</w:t>
      </w:r>
      <w:r>
        <w:rPr>
          <w:rFonts w:ascii="Times New Roman" w:hAnsi="Times New Roman" w:cs="Times New Roman"/>
        </w:rPr>
        <w:t>2026</w:t>
      </w:r>
      <w:r>
        <w:rPr>
          <w:rFonts w:ascii="Times New Roman" w:hAnsi="Times New Roman" w:cs="Times New Roman"/>
        </w:rPr>
        <w:t>年起对</w:t>
      </w:r>
      <w:r>
        <w:rPr>
          <w:rFonts w:ascii="Times New Roman" w:hAnsi="Times New Roman" w:cs="Times New Roman"/>
        </w:rPr>
        <w:t>PUE</w:t>
      </w:r>
      <w:r>
        <w:rPr>
          <w:rFonts w:ascii="Times New Roman" w:hAnsi="Times New Roman" w:cs="Times New Roman"/>
        </w:rPr>
        <w:t>值超标的数据中心征收差别电价电费。截至目前，我国仍</w:t>
      </w:r>
      <w:r>
        <w:rPr>
          <w:rFonts w:ascii="Times New Roman" w:hAnsi="Times New Roman" w:cs="Times New Roman"/>
        </w:rPr>
        <w:t>存在较多老旧落后数据中心，实际运行的</w:t>
      </w:r>
      <w:r>
        <w:rPr>
          <w:rFonts w:ascii="Times New Roman" w:hAnsi="Times New Roman" w:cs="Times New Roman"/>
        </w:rPr>
        <w:t>PUE</w:t>
      </w:r>
      <w:r>
        <w:rPr>
          <w:rFonts w:ascii="Times New Roman" w:hAnsi="Times New Roman" w:cs="Times New Roman"/>
        </w:rPr>
        <w:t>与国家</w:t>
      </w:r>
      <w:r>
        <w:rPr>
          <w:rFonts w:ascii="Times New Roman" w:hAnsi="Times New Roman" w:cs="Times New Roman"/>
        </w:rPr>
        <w:t>/</w:t>
      </w:r>
      <w:r>
        <w:rPr>
          <w:rFonts w:ascii="Times New Roman" w:hAnsi="Times New Roman" w:cs="Times New Roman"/>
        </w:rPr>
        <w:t>地方标准仍存在差距，能效阶梯电价将大幅提高数据中心用电成本，</w:t>
      </w:r>
      <w:r>
        <w:rPr>
          <w:rFonts w:ascii="Times New Roman" w:hAnsi="Times New Roman" w:cs="Times New Roman"/>
        </w:rPr>
        <w:t>有必要</w:t>
      </w:r>
      <w:r>
        <w:rPr>
          <w:rFonts w:ascii="Times New Roman" w:hAnsi="Times New Roman" w:cs="Times New Roman"/>
        </w:rPr>
        <w:t>跟进政策变化，针对性制定相关应对</w:t>
      </w:r>
      <w:r>
        <w:rPr>
          <w:rFonts w:ascii="Times New Roman" w:hAnsi="Times New Roman" w:cs="Times New Roman"/>
        </w:rPr>
        <w:t>策略，</w:t>
      </w:r>
      <w:r>
        <w:rPr>
          <w:rFonts w:ascii="Times New Roman" w:hAnsi="Times New Roman" w:cs="Times New Roman"/>
        </w:rPr>
        <w:t>以降低数据中心用电成本，提升市场竞争力</w:t>
      </w:r>
      <w:r>
        <w:rPr>
          <w:rFonts w:ascii="Times New Roman" w:hAnsi="Times New Roman" w:cs="Times New Roman"/>
        </w:rPr>
        <w:t>。</w:t>
      </w:r>
    </w:p>
    <w:p w:rsidR="00884974" w:rsidRDefault="00884974">
      <w:pPr>
        <w:ind w:firstLine="480"/>
        <w:rPr>
          <w:rFonts w:ascii="Times New Roman" w:hAnsi="Times New Roman" w:cs="Times New Roman"/>
        </w:rPr>
      </w:pPr>
    </w:p>
    <w:p w:rsidR="00884974" w:rsidRDefault="00604C8D">
      <w:pPr>
        <w:pStyle w:val="1"/>
        <w:ind w:firstLine="480"/>
        <w:rPr>
          <w:rFonts w:ascii="Times New Roman" w:hAnsi="Times New Roman" w:cs="Times New Roman"/>
        </w:rPr>
      </w:pPr>
      <w:r>
        <w:rPr>
          <w:rFonts w:ascii="Times New Roman" w:hAnsi="Times New Roman" w:cs="Times New Roman"/>
        </w:rPr>
        <w:t>一、数据中心能效阶梯电价政策现状与趋势判断</w:t>
      </w:r>
    </w:p>
    <w:p w:rsidR="00884974" w:rsidRDefault="00604C8D">
      <w:pPr>
        <w:pStyle w:val="2"/>
        <w:ind w:firstLine="480"/>
        <w:rPr>
          <w:rFonts w:ascii="Times New Roman" w:hAnsi="Times New Roman" w:cs="Times New Roman"/>
        </w:rPr>
      </w:pPr>
      <w:r>
        <w:rPr>
          <w:rFonts w:ascii="Times New Roman" w:hAnsi="Times New Roman" w:cs="Times New Roman"/>
        </w:rPr>
        <w:t>（一）能效阶梯电价政策从地方走向全国</w:t>
      </w:r>
    </w:p>
    <w:p w:rsidR="00884974" w:rsidRDefault="00604C8D">
      <w:pPr>
        <w:ind w:firstLine="482"/>
        <w:rPr>
          <w:rFonts w:ascii="Times New Roman" w:hAnsi="Times New Roman" w:cs="Times New Roman"/>
        </w:rPr>
      </w:pPr>
      <w:r>
        <w:rPr>
          <w:rFonts w:ascii="Times New Roman" w:hAnsi="Times New Roman" w:cs="Times New Roman"/>
          <w:b/>
          <w:bCs/>
        </w:rPr>
        <w:t>近年来，</w:t>
      </w:r>
      <w:r>
        <w:rPr>
          <w:rFonts w:ascii="Times New Roman" w:hAnsi="Times New Roman" w:cs="Times New Roman" w:hint="eastAsia"/>
          <w:b/>
          <w:bCs/>
        </w:rPr>
        <w:t>我国</w:t>
      </w:r>
      <w:r>
        <w:rPr>
          <w:rFonts w:ascii="Times New Roman" w:hAnsi="Times New Roman" w:cs="Times New Roman"/>
          <w:b/>
          <w:bCs/>
        </w:rPr>
        <w:t>数据中心能效阶梯电价政策推行</w:t>
      </w:r>
      <w:r>
        <w:rPr>
          <w:rFonts w:ascii="Times New Roman" w:hAnsi="Times New Roman" w:cs="Times New Roman"/>
          <w:b/>
          <w:bCs/>
        </w:rPr>
        <w:t>地区</w:t>
      </w:r>
      <w:r>
        <w:rPr>
          <w:rFonts w:ascii="Times New Roman" w:hAnsi="Times New Roman" w:cs="Times New Roman"/>
          <w:b/>
          <w:bCs/>
        </w:rPr>
        <w:t>逐步扩大</w:t>
      </w:r>
      <w:r>
        <w:rPr>
          <w:rFonts w:ascii="Times New Roman" w:hAnsi="Times New Roman" w:cs="Times New Roman"/>
          <w:b/>
          <w:bCs/>
        </w:rPr>
        <w:t>，并集中在东部</w:t>
      </w:r>
      <w:r>
        <w:rPr>
          <w:rFonts w:ascii="Times New Roman" w:hAnsi="Times New Roman" w:cs="Times New Roman" w:hint="eastAsia"/>
          <w:b/>
          <w:bCs/>
        </w:rPr>
        <w:t>发达</w:t>
      </w:r>
      <w:r>
        <w:rPr>
          <w:rFonts w:ascii="Times New Roman" w:hAnsi="Times New Roman" w:cs="Times New Roman" w:hint="eastAsia"/>
          <w:b/>
          <w:bCs/>
        </w:rPr>
        <w:t>省份</w:t>
      </w:r>
      <w:r>
        <w:rPr>
          <w:rFonts w:ascii="Times New Roman" w:hAnsi="Times New Roman" w:cs="Times New Roman"/>
          <w:b/>
          <w:bCs/>
        </w:rPr>
        <w:t>。</w:t>
      </w:r>
      <w:r>
        <w:rPr>
          <w:rFonts w:ascii="Times New Roman" w:hAnsi="Times New Roman" w:cs="Times New Roman"/>
        </w:rPr>
        <w:t>根据数据中心能效水平差距执行阶梯电价的政策，浙江最早于</w:t>
      </w:r>
      <w:r>
        <w:rPr>
          <w:rFonts w:ascii="Times New Roman" w:hAnsi="Times New Roman" w:cs="Times New Roman"/>
        </w:rPr>
        <w:t>2021</w:t>
      </w:r>
      <w:r>
        <w:rPr>
          <w:rFonts w:ascii="Times New Roman" w:hAnsi="Times New Roman" w:cs="Times New Roman"/>
        </w:rPr>
        <w:t>年发布有关政策征求意见，上海、北京、安徽、广东等地相继于</w:t>
      </w:r>
      <w:r>
        <w:rPr>
          <w:rFonts w:ascii="Times New Roman" w:hAnsi="Times New Roman" w:cs="Times New Roman"/>
        </w:rPr>
        <w:t>2022-2023</w:t>
      </w:r>
      <w:r>
        <w:rPr>
          <w:rFonts w:ascii="Times New Roman" w:hAnsi="Times New Roman" w:cs="Times New Roman"/>
        </w:rPr>
        <w:t>年期间，发布相关政策，其中上海、北京、安徽已出台</w:t>
      </w:r>
      <w:r>
        <w:rPr>
          <w:rFonts w:ascii="Times New Roman" w:hAnsi="Times New Roman" w:cs="Times New Roman" w:hint="eastAsia"/>
        </w:rPr>
        <w:t>具体</w:t>
      </w:r>
      <w:r>
        <w:rPr>
          <w:rFonts w:ascii="Times New Roman" w:hAnsi="Times New Roman" w:cs="Times New Roman"/>
        </w:rPr>
        <w:t>要求。</w:t>
      </w:r>
    </w:p>
    <w:p w:rsidR="00884974" w:rsidRDefault="00604C8D">
      <w:pPr>
        <w:ind w:firstLine="482"/>
        <w:rPr>
          <w:rFonts w:ascii="Times New Roman" w:hAnsi="Times New Roman" w:cs="Times New Roman"/>
          <w:b/>
          <w:bCs/>
        </w:rPr>
      </w:pPr>
      <w:r>
        <w:rPr>
          <w:rFonts w:ascii="Times New Roman" w:hAnsi="Times New Roman" w:cs="Times New Roman"/>
          <w:b/>
          <w:bCs/>
        </w:rPr>
        <w:t>数据中心能效阶梯电价政策受到国家层面的重视，并首次体现在国家政策之中。</w:t>
      </w:r>
      <w:r>
        <w:rPr>
          <w:rFonts w:ascii="Times New Roman" w:hAnsi="Times New Roman" w:cs="Times New Roman"/>
        </w:rPr>
        <w:t>2024</w:t>
      </w:r>
      <w:r>
        <w:rPr>
          <w:rFonts w:ascii="Times New Roman" w:hAnsi="Times New Roman" w:cs="Times New Roman"/>
        </w:rPr>
        <w:t>年</w:t>
      </w:r>
      <w:r>
        <w:rPr>
          <w:rFonts w:ascii="Times New Roman" w:hAnsi="Times New Roman" w:cs="Times New Roman"/>
        </w:rPr>
        <w:t>7</w:t>
      </w:r>
      <w:r>
        <w:rPr>
          <w:rFonts w:ascii="Times New Roman" w:hAnsi="Times New Roman" w:cs="Times New Roman"/>
        </w:rPr>
        <w:t>月，国家</w:t>
      </w:r>
      <w:r>
        <w:rPr>
          <w:rFonts w:ascii="Times New Roman" w:hAnsi="Times New Roman" w:cs="Times New Roman" w:hint="eastAsia"/>
        </w:rPr>
        <w:t>发展改革</w:t>
      </w:r>
      <w:r>
        <w:rPr>
          <w:rFonts w:ascii="Times New Roman" w:hAnsi="Times New Roman" w:cs="Times New Roman"/>
        </w:rPr>
        <w:t>委</w:t>
      </w:r>
      <w:r>
        <w:rPr>
          <w:rFonts w:ascii="Times New Roman" w:hAnsi="Times New Roman" w:cs="Times New Roman" w:hint="eastAsia"/>
        </w:rPr>
        <w:t>等</w:t>
      </w:r>
      <w:r>
        <w:rPr>
          <w:rFonts w:ascii="Times New Roman" w:hAnsi="Times New Roman" w:cs="Times New Roman"/>
        </w:rPr>
        <w:t>印发《数据中心绿色低碳发展专项行动计划》，提出对</w:t>
      </w:r>
      <w:r>
        <w:rPr>
          <w:rFonts w:ascii="Times New Roman" w:hAnsi="Times New Roman" w:cs="Times New Roman"/>
        </w:rPr>
        <w:t>存量数据中心、在建和拟建数据中心执行能效阶梯电价</w:t>
      </w:r>
      <w:r>
        <w:rPr>
          <w:rFonts w:ascii="Times New Roman" w:hAnsi="Times New Roman" w:cs="Times New Roman"/>
        </w:rPr>
        <w:t>。这是数据中心能效阶梯电价政策首次在国家政策文件中体现。</w:t>
      </w:r>
      <w:r>
        <w:rPr>
          <w:rFonts w:ascii="Times New Roman" w:hAnsi="Times New Roman" w:cs="Times New Roman"/>
        </w:rPr>
        <w:t>预计</w:t>
      </w:r>
      <w:r>
        <w:rPr>
          <w:rFonts w:ascii="Times New Roman" w:hAnsi="Times New Roman" w:cs="Times New Roman"/>
        </w:rPr>
        <w:t>未来</w:t>
      </w:r>
      <w:r>
        <w:rPr>
          <w:rFonts w:ascii="Times New Roman" w:hAnsi="Times New Roman" w:cs="Times New Roman"/>
        </w:rPr>
        <w:t>将有更多</w:t>
      </w:r>
      <w:r>
        <w:rPr>
          <w:rFonts w:ascii="Times New Roman" w:hAnsi="Times New Roman" w:cs="Times New Roman" w:hint="eastAsia"/>
        </w:rPr>
        <w:t>省份</w:t>
      </w:r>
      <w:r>
        <w:rPr>
          <w:rFonts w:ascii="Times New Roman" w:hAnsi="Times New Roman" w:cs="Times New Roman"/>
        </w:rPr>
        <w:t>出台数据中心能效</w:t>
      </w:r>
      <w:r>
        <w:rPr>
          <w:rFonts w:ascii="Times New Roman" w:hAnsi="Times New Roman" w:cs="Times New Roman"/>
        </w:rPr>
        <w:t>阶梯电价政策。</w:t>
      </w:r>
    </w:p>
    <w:p w:rsidR="00884974" w:rsidRDefault="00604C8D">
      <w:pPr>
        <w:pStyle w:val="2"/>
        <w:ind w:firstLine="480"/>
        <w:rPr>
          <w:rFonts w:ascii="Times New Roman" w:hAnsi="Times New Roman" w:cs="Times New Roman"/>
          <w:b/>
          <w:bCs/>
        </w:rPr>
      </w:pPr>
      <w:r>
        <w:rPr>
          <w:rFonts w:ascii="Times New Roman" w:hAnsi="Times New Roman" w:cs="Times New Roman"/>
        </w:rPr>
        <w:t>（二）能效阶梯电价</w:t>
      </w:r>
      <w:r>
        <w:rPr>
          <w:rFonts w:ascii="Times New Roman" w:hAnsi="Times New Roman" w:cs="Times New Roman"/>
        </w:rPr>
        <w:t>PUE</w:t>
      </w:r>
      <w:r>
        <w:rPr>
          <w:rFonts w:ascii="Times New Roman" w:hAnsi="Times New Roman" w:cs="Times New Roman"/>
        </w:rPr>
        <w:t>值要求越趋严格</w:t>
      </w:r>
    </w:p>
    <w:p w:rsidR="00884974" w:rsidRDefault="00604C8D">
      <w:pPr>
        <w:ind w:firstLine="482"/>
        <w:rPr>
          <w:rFonts w:ascii="Times New Roman" w:hAnsi="Times New Roman" w:cs="Times New Roman"/>
        </w:rPr>
      </w:pPr>
      <w:r>
        <w:rPr>
          <w:rFonts w:ascii="Times New Roman" w:hAnsi="Times New Roman" w:cs="Times New Roman"/>
          <w:b/>
          <w:bCs/>
        </w:rPr>
        <w:t>随着数据中心能效限额标准加严，执行能效阶梯电价的</w:t>
      </w:r>
      <w:r>
        <w:rPr>
          <w:rFonts w:ascii="Times New Roman" w:hAnsi="Times New Roman" w:cs="Times New Roman"/>
          <w:b/>
          <w:bCs/>
        </w:rPr>
        <w:t>PUE</w:t>
      </w:r>
      <w:r>
        <w:rPr>
          <w:rFonts w:ascii="Times New Roman" w:hAnsi="Times New Roman" w:cs="Times New Roman"/>
          <w:b/>
          <w:bCs/>
        </w:rPr>
        <w:t>值将越来越低。</w:t>
      </w:r>
      <w:r>
        <w:rPr>
          <w:rFonts w:ascii="Times New Roman" w:hAnsi="Times New Roman" w:cs="Times New Roman"/>
        </w:rPr>
        <w:t>北京</w:t>
      </w:r>
      <w:r>
        <w:rPr>
          <w:rFonts w:ascii="Times New Roman" w:hAnsi="Times New Roman" w:cs="Times New Roman"/>
        </w:rPr>
        <w:t>2023</w:t>
      </w:r>
      <w:r>
        <w:rPr>
          <w:rFonts w:ascii="Times New Roman" w:hAnsi="Times New Roman" w:cs="Times New Roman"/>
        </w:rPr>
        <w:t>年</w:t>
      </w:r>
      <w:r>
        <w:rPr>
          <w:rFonts w:ascii="Times New Roman" w:hAnsi="Times New Roman" w:cs="Times New Roman"/>
        </w:rPr>
        <w:t>7</w:t>
      </w:r>
      <w:r>
        <w:rPr>
          <w:rFonts w:ascii="Times New Roman" w:hAnsi="Times New Roman" w:cs="Times New Roman"/>
        </w:rPr>
        <w:t>月发布政策</w:t>
      </w:r>
      <w:r>
        <w:rPr>
          <w:rFonts w:ascii="Times New Roman" w:hAnsi="Times New Roman" w:cs="Times New Roman" w:hint="eastAsia"/>
        </w:rPr>
        <w:t>，</w:t>
      </w:r>
      <w:r>
        <w:rPr>
          <w:rFonts w:ascii="Times New Roman" w:hAnsi="Times New Roman" w:cs="Times New Roman"/>
        </w:rPr>
        <w:t>对</w:t>
      </w:r>
      <w:r>
        <w:rPr>
          <w:rFonts w:ascii="Times New Roman" w:hAnsi="Times New Roman" w:cs="Times New Roman"/>
        </w:rPr>
        <w:t>PUE</w:t>
      </w:r>
      <w:r>
        <w:rPr>
          <w:rFonts w:ascii="Times New Roman" w:hAnsi="Times New Roman" w:cs="Times New Roman"/>
        </w:rPr>
        <w:t>值超过</w:t>
      </w:r>
      <w:r>
        <w:rPr>
          <w:rFonts w:ascii="Times New Roman" w:hAnsi="Times New Roman" w:cs="Times New Roman" w:hint="eastAsia"/>
        </w:rPr>
        <w:t>能效限定值</w:t>
      </w:r>
      <w:r>
        <w:rPr>
          <w:rFonts w:ascii="Times New Roman" w:hAnsi="Times New Roman" w:cs="Times New Roman"/>
        </w:rPr>
        <w:t>1.4</w:t>
      </w:r>
      <w:r>
        <w:rPr>
          <w:rFonts w:ascii="Times New Roman" w:hAnsi="Times New Roman" w:cs="Times New Roman"/>
        </w:rPr>
        <w:t>的数据中心执行用电加价</w:t>
      </w:r>
      <w:r>
        <w:rPr>
          <w:rFonts w:ascii="Times New Roman" w:hAnsi="Times New Roman" w:cs="Times New Roman" w:hint="eastAsia"/>
        </w:rPr>
        <w:t>。</w:t>
      </w:r>
      <w:r>
        <w:rPr>
          <w:rFonts w:ascii="Times New Roman" w:hAnsi="Times New Roman" w:cs="Times New Roman"/>
        </w:rPr>
        <w:t>随着</w:t>
      </w:r>
      <w:r>
        <w:rPr>
          <w:rFonts w:ascii="Times New Roman" w:hAnsi="Times New Roman" w:cs="Times New Roman" w:hint="eastAsia"/>
        </w:rPr>
        <w:t>北京地方标准</w:t>
      </w:r>
      <w:r>
        <w:rPr>
          <w:rFonts w:ascii="Times New Roman" w:hAnsi="Times New Roman" w:cs="Times New Roman"/>
        </w:rPr>
        <w:t>DB11/T</w:t>
      </w:r>
      <w:r>
        <w:rPr>
          <w:rFonts w:ascii="Times New Roman" w:hAnsi="Times New Roman" w:cs="Times New Roman"/>
        </w:rPr>
        <w:t xml:space="preserve"> </w:t>
      </w:r>
      <w:r>
        <w:rPr>
          <w:rFonts w:ascii="Times New Roman" w:hAnsi="Times New Roman" w:cs="Times New Roman"/>
        </w:rPr>
        <w:t>1139</w:t>
      </w:r>
      <w:r>
        <w:rPr>
          <w:rFonts w:ascii="Times New Roman" w:hAnsi="Times New Roman" w:cs="Times New Roman"/>
        </w:rPr>
        <w:t>《</w:t>
      </w:r>
      <w:r>
        <w:rPr>
          <w:rFonts w:ascii="Times New Roman" w:hAnsi="Times New Roman" w:cs="Times New Roman"/>
        </w:rPr>
        <w:t>数据中心能源效率限额</w:t>
      </w:r>
      <w:r>
        <w:rPr>
          <w:rFonts w:ascii="Times New Roman" w:hAnsi="Times New Roman" w:cs="Times New Roman"/>
        </w:rPr>
        <w:t>》修订</w:t>
      </w:r>
      <w:r>
        <w:rPr>
          <w:rFonts w:ascii="Times New Roman" w:hAnsi="Times New Roman" w:cs="Times New Roman" w:hint="eastAsia"/>
        </w:rPr>
        <w:t>，</w:t>
      </w:r>
      <w:r>
        <w:rPr>
          <w:rFonts w:ascii="Times New Roman" w:hAnsi="Times New Roman" w:cs="Times New Roman"/>
        </w:rPr>
        <w:t>数据中心能效限定值从</w:t>
      </w:r>
      <w:r>
        <w:rPr>
          <w:rFonts w:ascii="Times New Roman" w:hAnsi="Times New Roman" w:cs="Times New Roman"/>
        </w:rPr>
        <w:t>1.4</w:t>
      </w:r>
      <w:r>
        <w:rPr>
          <w:rFonts w:ascii="Times New Roman" w:hAnsi="Times New Roman" w:cs="Times New Roman"/>
        </w:rPr>
        <w:t>降至</w:t>
      </w:r>
      <w:r>
        <w:rPr>
          <w:rFonts w:ascii="Times New Roman" w:hAnsi="Times New Roman" w:cs="Times New Roman"/>
        </w:rPr>
        <w:t>1.35</w:t>
      </w:r>
      <w:r>
        <w:rPr>
          <w:rFonts w:ascii="Times New Roman" w:hAnsi="Times New Roman" w:cs="Times New Roman"/>
        </w:rPr>
        <w:t>，北京</w:t>
      </w:r>
      <w:r>
        <w:rPr>
          <w:rFonts w:ascii="Times New Roman" w:hAnsi="Times New Roman" w:cs="Times New Roman"/>
        </w:rPr>
        <w:t>2024</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月更新了数据中心能效阶梯电价政策，要求对</w:t>
      </w:r>
      <w:r>
        <w:rPr>
          <w:rFonts w:ascii="Times New Roman" w:hAnsi="Times New Roman" w:cs="Times New Roman"/>
        </w:rPr>
        <w:t>PUE</w:t>
      </w:r>
      <w:r>
        <w:rPr>
          <w:rFonts w:ascii="Times New Roman" w:hAnsi="Times New Roman" w:cs="Times New Roman"/>
        </w:rPr>
        <w:t>值超过</w:t>
      </w:r>
      <w:r>
        <w:rPr>
          <w:rFonts w:ascii="Times New Roman" w:hAnsi="Times New Roman" w:cs="Times New Roman"/>
        </w:rPr>
        <w:t>1.35</w:t>
      </w:r>
      <w:r>
        <w:rPr>
          <w:rFonts w:ascii="Times New Roman" w:hAnsi="Times New Roman" w:cs="Times New Roman"/>
        </w:rPr>
        <w:t>的数据中心执行用电加价。</w:t>
      </w:r>
    </w:p>
    <w:p w:rsidR="00884974" w:rsidRDefault="00604C8D">
      <w:pPr>
        <w:ind w:firstLineChars="0" w:firstLine="480"/>
        <w:rPr>
          <w:rFonts w:ascii="Times New Roman" w:hAnsi="Times New Roman" w:cs="Times New Roman"/>
        </w:rPr>
      </w:pPr>
      <w:r>
        <w:rPr>
          <w:rFonts w:ascii="Times New Roman" w:hAnsi="Times New Roman" w:cs="Times New Roman"/>
          <w:b/>
          <w:bCs/>
        </w:rPr>
        <w:t>执行能效阶梯电价的</w:t>
      </w:r>
      <w:r>
        <w:rPr>
          <w:rFonts w:ascii="Times New Roman" w:hAnsi="Times New Roman" w:cs="Times New Roman"/>
          <w:b/>
          <w:bCs/>
        </w:rPr>
        <w:t>PUE</w:t>
      </w:r>
      <w:r>
        <w:rPr>
          <w:rFonts w:ascii="Times New Roman" w:hAnsi="Times New Roman" w:cs="Times New Roman"/>
          <w:b/>
          <w:bCs/>
        </w:rPr>
        <w:t>值将从能效限定值向先进值演进。</w:t>
      </w:r>
      <w:r>
        <w:rPr>
          <w:rFonts w:ascii="Times New Roman" w:hAnsi="Times New Roman" w:cs="Times New Roman"/>
        </w:rPr>
        <w:t>根据</w:t>
      </w:r>
      <w:r>
        <w:rPr>
          <w:rFonts w:ascii="Times New Roman" w:hAnsi="Times New Roman" w:cs="Times New Roman"/>
        </w:rPr>
        <w:t>GB 40879</w:t>
      </w:r>
      <w:r>
        <w:rPr>
          <w:rFonts w:ascii="Times New Roman" w:hAnsi="Times New Roman" w:cs="Times New Roman"/>
        </w:rPr>
        <w:lastRenderedPageBreak/>
        <w:t>《数据中心能效限定值及能效等级》等标准，数据中心</w:t>
      </w:r>
      <w:r>
        <w:rPr>
          <w:rFonts w:ascii="Times New Roman" w:hAnsi="Times New Roman" w:cs="Times New Roman"/>
        </w:rPr>
        <w:t>PUE</w:t>
      </w:r>
      <w:r>
        <w:rPr>
          <w:rFonts w:ascii="Times New Roman" w:hAnsi="Times New Roman" w:cs="Times New Roman"/>
        </w:rPr>
        <w:t>值一般分为</w:t>
      </w:r>
      <w:r>
        <w:rPr>
          <w:rFonts w:ascii="Times New Roman" w:hAnsi="Times New Roman" w:cs="Times New Roman"/>
        </w:rPr>
        <w:t>1</w:t>
      </w:r>
      <w:r>
        <w:rPr>
          <w:rFonts w:ascii="Times New Roman" w:hAnsi="Times New Roman" w:cs="Times New Roman"/>
        </w:rPr>
        <w:t>级、</w:t>
      </w:r>
      <w:r>
        <w:rPr>
          <w:rFonts w:ascii="Times New Roman" w:hAnsi="Times New Roman" w:cs="Times New Roman"/>
        </w:rPr>
        <w:t>2</w:t>
      </w:r>
      <w:r>
        <w:rPr>
          <w:rFonts w:ascii="Times New Roman" w:hAnsi="Times New Roman" w:cs="Times New Roman"/>
        </w:rPr>
        <w:t>级、</w:t>
      </w:r>
      <w:r>
        <w:rPr>
          <w:rFonts w:ascii="Times New Roman" w:hAnsi="Times New Roman" w:cs="Times New Roman"/>
        </w:rPr>
        <w:t>3</w:t>
      </w:r>
      <w:r>
        <w:rPr>
          <w:rFonts w:ascii="Times New Roman" w:hAnsi="Times New Roman" w:cs="Times New Roman"/>
        </w:rPr>
        <w:t>级（相当于先进值、准入值、限定值）</w:t>
      </w:r>
      <w:r>
        <w:rPr>
          <w:rFonts w:ascii="Times New Roman" w:hAnsi="Times New Roman" w:cs="Times New Roman"/>
        </w:rPr>
        <w:t>三个等级。目前北京、上海等地区发布的政策中均以</w:t>
      </w:r>
      <w:r>
        <w:rPr>
          <w:rFonts w:ascii="Times New Roman" w:hAnsi="Times New Roman" w:cs="Times New Roman"/>
          <w:u w:val="single"/>
        </w:rPr>
        <w:t>能效限定值</w:t>
      </w:r>
      <w:r>
        <w:rPr>
          <w:rFonts w:ascii="Times New Roman" w:hAnsi="Times New Roman" w:cs="Times New Roman"/>
        </w:rPr>
        <w:t>作为执行数据中心用电加价的基础。</w:t>
      </w:r>
      <w:r>
        <w:rPr>
          <w:rFonts w:ascii="Times New Roman" w:hAnsi="Times New Roman" w:cs="Times New Roman"/>
        </w:rPr>
        <w:t>国家</w:t>
      </w:r>
      <w:r>
        <w:rPr>
          <w:rFonts w:ascii="Times New Roman" w:hAnsi="Times New Roman" w:cs="Times New Roman" w:hint="eastAsia"/>
        </w:rPr>
        <w:t>发展改革委等部门</w:t>
      </w:r>
      <w:r>
        <w:rPr>
          <w:rFonts w:ascii="Times New Roman" w:hAnsi="Times New Roman" w:cs="Times New Roman" w:hint="eastAsia"/>
        </w:rPr>
        <w:t>2024</w:t>
      </w:r>
      <w:r>
        <w:rPr>
          <w:rFonts w:ascii="Times New Roman" w:hAnsi="Times New Roman" w:cs="Times New Roman" w:hint="eastAsia"/>
        </w:rPr>
        <w:t>年</w:t>
      </w:r>
      <w:r>
        <w:rPr>
          <w:rFonts w:ascii="Times New Roman" w:hAnsi="Times New Roman" w:cs="Times New Roman" w:hint="eastAsia"/>
        </w:rPr>
        <w:t>提出，</w:t>
      </w:r>
      <w:r>
        <w:rPr>
          <w:rFonts w:ascii="Times New Roman" w:hAnsi="Times New Roman" w:cs="Times New Roman"/>
        </w:rPr>
        <w:t>研究对</w:t>
      </w:r>
      <w:r>
        <w:rPr>
          <w:rFonts w:ascii="Times New Roman" w:hAnsi="Times New Roman" w:cs="Times New Roman"/>
          <w:u w:val="single"/>
        </w:rPr>
        <w:t>能效低于节能水平的存量数据中心和能效未达到先进水平的在建、拟建数据中心</w:t>
      </w:r>
      <w:r>
        <w:rPr>
          <w:rFonts w:ascii="Times New Roman" w:hAnsi="Times New Roman" w:cs="Times New Roman"/>
        </w:rPr>
        <w:t>，依据</w:t>
      </w:r>
      <w:r>
        <w:rPr>
          <w:rFonts w:ascii="Times New Roman" w:hAnsi="Times New Roman" w:cs="Times New Roman"/>
        </w:rPr>
        <w:t>能效水平差距</w:t>
      </w:r>
      <w:r>
        <w:rPr>
          <w:rFonts w:ascii="Times New Roman" w:hAnsi="Times New Roman" w:cs="Times New Roman"/>
        </w:rPr>
        <w:t>执行能效阶梯电价。</w:t>
      </w:r>
      <w:r>
        <w:rPr>
          <w:rFonts w:ascii="Times New Roman" w:hAnsi="Times New Roman" w:cs="Times New Roman"/>
        </w:rPr>
        <w:t>预计执行用电加价的</w:t>
      </w:r>
      <w:r>
        <w:rPr>
          <w:rFonts w:ascii="Times New Roman" w:hAnsi="Times New Roman" w:cs="Times New Roman"/>
        </w:rPr>
        <w:t>PUE</w:t>
      </w:r>
      <w:r>
        <w:rPr>
          <w:rFonts w:ascii="Times New Roman" w:hAnsi="Times New Roman" w:cs="Times New Roman"/>
        </w:rPr>
        <w:t>值从限定值向先进值调整将是地区未来能效阶梯电价政策的重要方向。</w:t>
      </w:r>
    </w:p>
    <w:p w:rsidR="00884974" w:rsidRDefault="00604C8D">
      <w:pPr>
        <w:pStyle w:val="1"/>
        <w:numPr>
          <w:ilvl w:val="0"/>
          <w:numId w:val="1"/>
        </w:numPr>
        <w:ind w:firstLine="480"/>
        <w:rPr>
          <w:rFonts w:ascii="Times New Roman" w:hAnsi="Times New Roman" w:cs="Times New Roman"/>
        </w:rPr>
      </w:pPr>
      <w:r>
        <w:rPr>
          <w:rFonts w:ascii="Times New Roman" w:hAnsi="Times New Roman" w:cs="Times New Roman"/>
        </w:rPr>
        <w:t>数据中心能效阶梯电价对运营商的影响</w:t>
      </w:r>
    </w:p>
    <w:p w:rsidR="00884974" w:rsidRDefault="00604C8D">
      <w:pPr>
        <w:ind w:firstLine="480"/>
        <w:rPr>
          <w:rFonts w:ascii="Times New Roman" w:hAnsi="Times New Roman" w:cs="Times New Roman"/>
        </w:rPr>
      </w:pPr>
      <w:r>
        <w:rPr>
          <w:rFonts w:ascii="Times New Roman" w:hAnsi="Times New Roman" w:cs="Times New Roman"/>
        </w:rPr>
        <w:t>能效阶梯电价对数据中心用电成本，及其市场竞争力带来极大挑战。</w:t>
      </w:r>
    </w:p>
    <w:p w:rsidR="00884974" w:rsidRDefault="00604C8D">
      <w:pPr>
        <w:pStyle w:val="2"/>
        <w:ind w:firstLine="480"/>
        <w:rPr>
          <w:rFonts w:ascii="Times New Roman" w:hAnsi="Times New Roman" w:cs="Times New Roman"/>
        </w:rPr>
      </w:pPr>
      <w:r>
        <w:rPr>
          <w:rFonts w:ascii="Times New Roman" w:hAnsi="Times New Roman" w:cs="Times New Roman"/>
        </w:rPr>
        <w:t>（</w:t>
      </w:r>
      <w:r>
        <w:rPr>
          <w:rFonts w:ascii="Times New Roman" w:hAnsi="Times New Roman" w:cs="Times New Roman"/>
        </w:rPr>
        <w:t>一</w:t>
      </w:r>
      <w:r>
        <w:rPr>
          <w:rFonts w:ascii="Times New Roman" w:hAnsi="Times New Roman" w:cs="Times New Roman"/>
        </w:rPr>
        <w:t>）</w:t>
      </w:r>
      <w:r>
        <w:rPr>
          <w:rFonts w:ascii="Times New Roman" w:hAnsi="Times New Roman" w:cs="Times New Roman"/>
        </w:rPr>
        <w:t>增加数据中心用电成本</w:t>
      </w:r>
    </w:p>
    <w:p w:rsidR="00884974" w:rsidRDefault="00604C8D">
      <w:pPr>
        <w:pStyle w:val="a3"/>
        <w:ind w:firstLine="480"/>
        <w:rPr>
          <w:rFonts w:ascii="Times New Roman" w:hAnsi="Times New Roman" w:cs="Times New Roman"/>
        </w:rPr>
      </w:pPr>
      <w:r>
        <w:rPr>
          <w:rFonts w:ascii="Times New Roman" w:hAnsi="Times New Roman" w:cs="Times New Roman"/>
        </w:rPr>
        <w:t>电价的上涨将直接增加数据中心的运营电费成本，根据能效阶梯电价政策，电价加收占比将随数据中心</w:t>
      </w:r>
      <w:r>
        <w:rPr>
          <w:rFonts w:ascii="Times New Roman" w:hAnsi="Times New Roman" w:cs="Times New Roman"/>
        </w:rPr>
        <w:t>PUE</w:t>
      </w:r>
      <w:r>
        <w:rPr>
          <w:rFonts w:ascii="Times New Roman" w:hAnsi="Times New Roman" w:cs="Times New Roman"/>
        </w:rPr>
        <w:t>上升而增加。按北京政策，数据中心</w:t>
      </w:r>
      <w:r>
        <w:rPr>
          <w:rFonts w:ascii="Times New Roman" w:hAnsi="Times New Roman" w:cs="Times New Roman"/>
        </w:rPr>
        <w:t>PUE</w:t>
      </w:r>
      <w:r>
        <w:rPr>
          <w:rFonts w:ascii="Times New Roman" w:hAnsi="Times New Roman" w:cs="Times New Roman"/>
        </w:rPr>
        <w:t>超出</w:t>
      </w:r>
      <w:r>
        <w:rPr>
          <w:rFonts w:ascii="Times New Roman" w:hAnsi="Times New Roman" w:cs="Times New Roman"/>
        </w:rPr>
        <w:t>1.35</w:t>
      </w:r>
      <w:r>
        <w:rPr>
          <w:rFonts w:ascii="Times New Roman" w:hAnsi="Times New Roman" w:cs="Times New Roman"/>
        </w:rPr>
        <w:t>、</w:t>
      </w:r>
      <w:r>
        <w:rPr>
          <w:rFonts w:ascii="Times New Roman" w:hAnsi="Times New Roman" w:cs="Times New Roman"/>
        </w:rPr>
        <w:t>1.7</w:t>
      </w:r>
      <w:r>
        <w:rPr>
          <w:rFonts w:ascii="Times New Roman" w:hAnsi="Times New Roman" w:cs="Times New Roman"/>
        </w:rPr>
        <w:t>的部分用电分别加价</w:t>
      </w:r>
      <w:r>
        <w:rPr>
          <w:rFonts w:ascii="Times New Roman" w:hAnsi="Times New Roman" w:cs="Times New Roman"/>
        </w:rPr>
        <w:t>0.2</w:t>
      </w:r>
      <w:r>
        <w:rPr>
          <w:rFonts w:ascii="Times New Roman" w:hAnsi="Times New Roman" w:cs="Times New Roman"/>
        </w:rPr>
        <w:t>、</w:t>
      </w:r>
      <w:r>
        <w:rPr>
          <w:rFonts w:ascii="Times New Roman" w:hAnsi="Times New Roman" w:cs="Times New Roman"/>
        </w:rPr>
        <w:t>0.5</w:t>
      </w:r>
      <w:r>
        <w:rPr>
          <w:rFonts w:ascii="Times New Roman" w:hAnsi="Times New Roman" w:cs="Times New Roman"/>
        </w:rPr>
        <w:t>元</w:t>
      </w:r>
      <w:r>
        <w:rPr>
          <w:rFonts w:ascii="Times New Roman" w:hAnsi="Times New Roman" w:cs="Times New Roman"/>
        </w:rPr>
        <w:t>/</w:t>
      </w:r>
      <w:r>
        <w:rPr>
          <w:rFonts w:ascii="Times New Roman" w:hAnsi="Times New Roman" w:cs="Times New Roman"/>
        </w:rPr>
        <w:t>千瓦时</w:t>
      </w:r>
      <w:r>
        <w:rPr>
          <w:rFonts w:ascii="Times New Roman" w:hAnsi="Times New Roman" w:cs="Times New Roman" w:hint="eastAsia"/>
        </w:rPr>
        <w:t>，</w:t>
      </w:r>
      <w:r>
        <w:rPr>
          <w:rFonts w:ascii="Times New Roman" w:hAnsi="Times New Roman" w:cs="Times New Roman"/>
        </w:rPr>
        <w:t>经测算</w:t>
      </w:r>
      <w:r>
        <w:rPr>
          <w:rFonts w:ascii="Times New Roman" w:hAnsi="Times New Roman" w:cs="Times New Roman"/>
        </w:rPr>
        <w:t>PUE</w:t>
      </w:r>
      <w:r>
        <w:rPr>
          <w:rFonts w:ascii="Times New Roman" w:hAnsi="Times New Roman" w:cs="Times New Roman"/>
        </w:rPr>
        <w:t>超出</w:t>
      </w:r>
      <w:r>
        <w:rPr>
          <w:rFonts w:ascii="Times New Roman" w:hAnsi="Times New Roman" w:cs="Times New Roman"/>
        </w:rPr>
        <w:t>1.7</w:t>
      </w:r>
      <w:r>
        <w:rPr>
          <w:rFonts w:ascii="Times New Roman" w:hAnsi="Times New Roman" w:cs="Times New Roman"/>
        </w:rPr>
        <w:t>时电费增加约</w:t>
      </w:r>
      <w:r>
        <w:rPr>
          <w:rFonts w:ascii="Times New Roman" w:hAnsi="Times New Roman" w:cs="Times New Roman"/>
          <w:b/>
          <w:bCs/>
        </w:rPr>
        <w:t>5%</w:t>
      </w:r>
      <w:r>
        <w:rPr>
          <w:rFonts w:ascii="Times New Roman" w:hAnsi="Times New Roman" w:cs="Times New Roman"/>
        </w:rPr>
        <w:t>；按上海政策，</w:t>
      </w:r>
      <w:r>
        <w:rPr>
          <w:rFonts w:ascii="Times New Roman" w:hAnsi="Times New Roman" w:cs="Times New Roman"/>
        </w:rPr>
        <w:t>PUE</w:t>
      </w:r>
      <w:r>
        <w:rPr>
          <w:rFonts w:ascii="Times New Roman" w:hAnsi="Times New Roman" w:cs="Times New Roman"/>
        </w:rPr>
        <w:t>超出</w:t>
      </w:r>
      <w:r>
        <w:rPr>
          <w:rFonts w:ascii="Times New Roman" w:hAnsi="Times New Roman" w:cs="Times New Roman"/>
        </w:rPr>
        <w:t>1.5</w:t>
      </w:r>
      <w:r>
        <w:rPr>
          <w:rFonts w:ascii="Times New Roman" w:hAnsi="Times New Roman" w:cs="Times New Roman"/>
        </w:rPr>
        <w:t>、</w:t>
      </w:r>
      <w:r>
        <w:rPr>
          <w:rFonts w:ascii="Times New Roman" w:hAnsi="Times New Roman" w:cs="Times New Roman"/>
        </w:rPr>
        <w:t>1.7</w:t>
      </w:r>
      <w:r>
        <w:rPr>
          <w:rFonts w:ascii="Times New Roman" w:hAnsi="Times New Roman" w:cs="Times New Roman"/>
        </w:rPr>
        <w:t>的数据中心，用电加价分别为</w:t>
      </w:r>
      <w:r>
        <w:rPr>
          <w:rFonts w:ascii="Times New Roman" w:hAnsi="Times New Roman" w:cs="Times New Roman"/>
        </w:rPr>
        <w:t>0.2</w:t>
      </w:r>
      <w:r>
        <w:rPr>
          <w:rFonts w:ascii="Times New Roman" w:hAnsi="Times New Roman" w:cs="Times New Roman"/>
        </w:rPr>
        <w:t>、</w:t>
      </w:r>
      <w:r>
        <w:rPr>
          <w:rFonts w:ascii="Times New Roman" w:hAnsi="Times New Roman" w:cs="Times New Roman"/>
        </w:rPr>
        <w:t>0.5</w:t>
      </w:r>
      <w:r>
        <w:rPr>
          <w:rFonts w:ascii="Times New Roman" w:hAnsi="Times New Roman" w:cs="Times New Roman"/>
        </w:rPr>
        <w:t>元</w:t>
      </w:r>
      <w:r>
        <w:rPr>
          <w:rFonts w:ascii="Times New Roman" w:hAnsi="Times New Roman" w:cs="Times New Roman"/>
        </w:rPr>
        <w:t>/</w:t>
      </w:r>
      <w:r>
        <w:rPr>
          <w:rFonts w:ascii="Times New Roman" w:hAnsi="Times New Roman" w:cs="Times New Roman"/>
        </w:rPr>
        <w:t>千瓦时，经测算</w:t>
      </w:r>
      <w:r>
        <w:rPr>
          <w:rFonts w:ascii="Times New Roman" w:hAnsi="Times New Roman" w:cs="Times New Roman"/>
        </w:rPr>
        <w:t>PUE</w:t>
      </w:r>
      <w:r>
        <w:rPr>
          <w:rFonts w:ascii="Times New Roman" w:hAnsi="Times New Roman" w:cs="Times New Roman"/>
        </w:rPr>
        <w:t>超出</w:t>
      </w:r>
      <w:r>
        <w:rPr>
          <w:rFonts w:ascii="Times New Roman" w:hAnsi="Times New Roman" w:cs="Times New Roman"/>
        </w:rPr>
        <w:t>1.7</w:t>
      </w:r>
      <w:r>
        <w:rPr>
          <w:rFonts w:ascii="Times New Roman" w:hAnsi="Times New Roman" w:cs="Times New Roman"/>
        </w:rPr>
        <w:t>时电费增加约</w:t>
      </w:r>
      <w:r>
        <w:rPr>
          <w:rFonts w:ascii="Times New Roman" w:hAnsi="Times New Roman" w:cs="Times New Roman"/>
          <w:b/>
          <w:bCs/>
        </w:rPr>
        <w:t>50%</w:t>
      </w:r>
      <w:r>
        <w:rPr>
          <w:rFonts w:ascii="Times New Roman" w:hAnsi="Times New Roman" w:cs="Times New Roman"/>
        </w:rPr>
        <w:t>；按安徽政策，</w:t>
      </w:r>
      <w:r>
        <w:rPr>
          <w:rFonts w:ascii="Times New Roman" w:hAnsi="Times New Roman" w:cs="Times New Roman"/>
        </w:rPr>
        <w:t>PUE</w:t>
      </w:r>
      <w:r>
        <w:rPr>
          <w:rFonts w:ascii="Times New Roman" w:hAnsi="Times New Roman" w:cs="Times New Roman"/>
        </w:rPr>
        <w:t>超出</w:t>
      </w:r>
      <w:r>
        <w:rPr>
          <w:rFonts w:ascii="Times New Roman" w:hAnsi="Times New Roman" w:cs="Times New Roman"/>
        </w:rPr>
        <w:t>1.4</w:t>
      </w:r>
      <w:r>
        <w:rPr>
          <w:rFonts w:ascii="Times New Roman" w:hAnsi="Times New Roman" w:cs="Times New Roman"/>
        </w:rPr>
        <w:t>、</w:t>
      </w:r>
      <w:r>
        <w:rPr>
          <w:rFonts w:ascii="Times New Roman" w:hAnsi="Times New Roman" w:cs="Times New Roman"/>
        </w:rPr>
        <w:t>1.8</w:t>
      </w:r>
      <w:r>
        <w:rPr>
          <w:rFonts w:ascii="Times New Roman" w:hAnsi="Times New Roman" w:cs="Times New Roman"/>
        </w:rPr>
        <w:t>的数据中心，</w:t>
      </w:r>
      <w:r>
        <w:rPr>
          <w:rFonts w:ascii="Times New Roman" w:hAnsi="Times New Roman" w:cs="Times New Roman" w:hint="eastAsia"/>
        </w:rPr>
        <w:t>项目</w:t>
      </w:r>
      <w:r>
        <w:rPr>
          <w:rFonts w:ascii="Times New Roman" w:hAnsi="Times New Roman" w:cs="Times New Roman"/>
        </w:rPr>
        <w:t>用电加价分别为</w:t>
      </w:r>
      <w:r>
        <w:rPr>
          <w:rFonts w:ascii="Times New Roman" w:hAnsi="Times New Roman" w:cs="Times New Roman"/>
        </w:rPr>
        <w:t>0.11</w:t>
      </w:r>
      <w:r>
        <w:rPr>
          <w:rFonts w:ascii="Times New Roman" w:hAnsi="Times New Roman" w:cs="Times New Roman"/>
        </w:rPr>
        <w:t>、</w:t>
      </w:r>
      <w:r>
        <w:rPr>
          <w:rFonts w:ascii="Times New Roman" w:hAnsi="Times New Roman" w:cs="Times New Roman"/>
        </w:rPr>
        <w:t>0.5</w:t>
      </w:r>
      <w:r>
        <w:rPr>
          <w:rFonts w:ascii="Times New Roman" w:hAnsi="Times New Roman" w:cs="Times New Roman"/>
        </w:rPr>
        <w:t>元</w:t>
      </w:r>
      <w:r>
        <w:rPr>
          <w:rFonts w:ascii="Times New Roman" w:hAnsi="Times New Roman" w:cs="Times New Roman"/>
        </w:rPr>
        <w:t>/</w:t>
      </w:r>
      <w:r>
        <w:rPr>
          <w:rFonts w:ascii="Times New Roman" w:hAnsi="Times New Roman" w:cs="Times New Roman"/>
        </w:rPr>
        <w:t>千瓦时，经测算</w:t>
      </w:r>
      <w:r>
        <w:rPr>
          <w:rFonts w:ascii="Times New Roman" w:hAnsi="Times New Roman" w:cs="Times New Roman"/>
        </w:rPr>
        <w:t>PUE</w:t>
      </w:r>
      <w:r>
        <w:rPr>
          <w:rFonts w:ascii="Times New Roman" w:hAnsi="Times New Roman" w:cs="Times New Roman"/>
        </w:rPr>
        <w:t>超出</w:t>
      </w:r>
      <w:r>
        <w:rPr>
          <w:rFonts w:ascii="Times New Roman" w:hAnsi="Times New Roman" w:cs="Times New Roman"/>
        </w:rPr>
        <w:t>1.8</w:t>
      </w:r>
      <w:r>
        <w:rPr>
          <w:rFonts w:ascii="Times New Roman" w:hAnsi="Times New Roman" w:cs="Times New Roman"/>
        </w:rPr>
        <w:t>时电费增加约</w:t>
      </w:r>
      <w:r>
        <w:rPr>
          <w:rFonts w:ascii="Times New Roman" w:hAnsi="Times New Roman" w:cs="Times New Roman"/>
          <w:b/>
          <w:bCs/>
        </w:rPr>
        <w:t>60%</w:t>
      </w:r>
      <w:r>
        <w:rPr>
          <w:rFonts w:ascii="Times New Roman" w:hAnsi="Times New Roman" w:cs="Times New Roman"/>
        </w:rPr>
        <w:t>。如果电价波动，加价比例也将有所变化。</w:t>
      </w:r>
      <w:r>
        <w:rPr>
          <w:rFonts w:ascii="Times New Roman" w:hAnsi="Times New Roman" w:cs="Times New Roman" w:hint="eastAsia"/>
        </w:rPr>
        <w:t>（备注：北京</w:t>
      </w:r>
      <w:r>
        <w:rPr>
          <w:rFonts w:ascii="Times New Roman" w:hAnsi="Times New Roman" w:cs="Times New Roman" w:hint="eastAsia"/>
        </w:rPr>
        <w:t>政策是针对</w:t>
      </w:r>
      <w:r>
        <w:rPr>
          <w:rFonts w:ascii="Times New Roman" w:hAnsi="Times New Roman" w:cs="Times New Roman" w:hint="eastAsia"/>
        </w:rPr>
        <w:t>超出</w:t>
      </w:r>
      <w:r>
        <w:rPr>
          <w:rFonts w:ascii="Times New Roman" w:hAnsi="Times New Roman" w:cs="Times New Roman" w:hint="eastAsia"/>
        </w:rPr>
        <w:t>PUE</w:t>
      </w:r>
      <w:r>
        <w:rPr>
          <w:rFonts w:ascii="Times New Roman" w:hAnsi="Times New Roman" w:cs="Times New Roman" w:hint="eastAsia"/>
        </w:rPr>
        <w:t>限定值的部分用电进行加价。）</w:t>
      </w:r>
    </w:p>
    <w:p w:rsidR="00884974" w:rsidRDefault="00604C8D">
      <w:pPr>
        <w:pStyle w:val="2"/>
        <w:ind w:firstLine="480"/>
        <w:rPr>
          <w:rFonts w:ascii="Times New Roman" w:hAnsi="Times New Roman" w:cs="Times New Roman"/>
        </w:rPr>
      </w:pPr>
      <w:r>
        <w:rPr>
          <w:rFonts w:ascii="Times New Roman" w:hAnsi="Times New Roman" w:cs="Times New Roman"/>
        </w:rPr>
        <w:t>（</w:t>
      </w:r>
      <w:r>
        <w:rPr>
          <w:rFonts w:ascii="Times New Roman" w:hAnsi="Times New Roman" w:cs="Times New Roman"/>
        </w:rPr>
        <w:t>二</w:t>
      </w:r>
      <w:r>
        <w:rPr>
          <w:rFonts w:ascii="Times New Roman" w:hAnsi="Times New Roman" w:cs="Times New Roman"/>
        </w:rPr>
        <w:t>）</w:t>
      </w:r>
      <w:r>
        <w:rPr>
          <w:rFonts w:ascii="Times New Roman" w:hAnsi="Times New Roman" w:cs="Times New Roman"/>
        </w:rPr>
        <w:t>影响数据中心市场竞争力</w:t>
      </w:r>
    </w:p>
    <w:p w:rsidR="00884974" w:rsidRDefault="00604C8D">
      <w:pPr>
        <w:ind w:firstLineChars="0" w:firstLine="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如未能有效应对能效阶梯电价加价政策，部分老旧数据中心的产品竞争力将有可能大打折扣。一是不符合政府绿色数据中心服务采购要求，将在政府采购中直接出局。二是在国家绿色数据中心遴选、国标绿色数据中心评价等工作中，</w:t>
      </w:r>
      <w:r>
        <w:rPr>
          <w:rFonts w:ascii="Times New Roman" w:hAnsi="Times New Roman" w:cs="Times New Roman"/>
        </w:rPr>
        <w:t>PUE</w:t>
      </w:r>
      <w:r>
        <w:rPr>
          <w:rFonts w:ascii="Times New Roman" w:hAnsi="Times New Roman" w:cs="Times New Roman"/>
        </w:rPr>
        <w:t>的分值分别占比</w:t>
      </w:r>
      <w:r>
        <w:rPr>
          <w:rFonts w:ascii="Times New Roman" w:hAnsi="Times New Roman" w:cs="Times New Roman"/>
        </w:rPr>
        <w:t>40%</w:t>
      </w:r>
      <w:r>
        <w:rPr>
          <w:rFonts w:ascii="Times New Roman" w:hAnsi="Times New Roman" w:cs="Times New Roman"/>
        </w:rPr>
        <w:t>、</w:t>
      </w:r>
      <w:r>
        <w:rPr>
          <w:rFonts w:ascii="Times New Roman" w:hAnsi="Times New Roman" w:cs="Times New Roman"/>
        </w:rPr>
        <w:t>30%</w:t>
      </w:r>
      <w:r>
        <w:rPr>
          <w:rFonts w:ascii="Times New Roman" w:hAnsi="Times New Roman" w:cs="Times New Roman"/>
        </w:rPr>
        <w:t>，较高的</w:t>
      </w:r>
      <w:r>
        <w:rPr>
          <w:rFonts w:ascii="Times New Roman" w:hAnsi="Times New Roman" w:cs="Times New Roman"/>
        </w:rPr>
        <w:t>PUE</w:t>
      </w:r>
      <w:r>
        <w:rPr>
          <w:rFonts w:ascii="Times New Roman" w:hAnsi="Times New Roman" w:cs="Times New Roman"/>
        </w:rPr>
        <w:t>值将影响其绿色数据中心评价成绩，失去绿色数据中心市场机会。三是面临碳交易履约成本增加，如在地区碳交易管控中，北京、上海</w:t>
      </w:r>
      <w:r>
        <w:rPr>
          <w:rFonts w:ascii="Times New Roman" w:hAnsi="Times New Roman" w:cs="Times New Roman"/>
        </w:rPr>
        <w:t>、广东、深圳等地数据中心免费碳配额量相当于</w:t>
      </w:r>
      <w:r>
        <w:rPr>
          <w:rFonts w:ascii="Times New Roman" w:hAnsi="Times New Roman" w:cs="Times New Roman"/>
        </w:rPr>
        <w:t>PUE</w:t>
      </w:r>
      <w:r>
        <w:rPr>
          <w:rFonts w:ascii="Times New Roman" w:hAnsi="Times New Roman" w:cs="Times New Roman"/>
        </w:rPr>
        <w:t>分别为</w:t>
      </w:r>
      <w:r>
        <w:rPr>
          <w:rFonts w:ascii="Times New Roman" w:hAnsi="Times New Roman" w:cs="Times New Roman"/>
        </w:rPr>
        <w:t>1.41</w:t>
      </w:r>
      <w:r>
        <w:rPr>
          <w:rFonts w:ascii="Times New Roman" w:hAnsi="Times New Roman" w:cs="Times New Roman"/>
        </w:rPr>
        <w:t>、</w:t>
      </w:r>
      <w:r>
        <w:rPr>
          <w:rFonts w:ascii="Times New Roman" w:hAnsi="Times New Roman" w:cs="Times New Roman"/>
        </w:rPr>
        <w:t>1.36</w:t>
      </w:r>
      <w:r>
        <w:rPr>
          <w:rFonts w:ascii="Times New Roman" w:hAnsi="Times New Roman" w:cs="Times New Roman"/>
        </w:rPr>
        <w:t>、</w:t>
      </w:r>
      <w:r>
        <w:rPr>
          <w:rFonts w:ascii="Times New Roman" w:hAnsi="Times New Roman" w:cs="Times New Roman"/>
        </w:rPr>
        <w:t>1.37</w:t>
      </w:r>
      <w:r>
        <w:rPr>
          <w:rFonts w:ascii="Times New Roman" w:hAnsi="Times New Roman" w:cs="Times New Roman"/>
        </w:rPr>
        <w:t>、</w:t>
      </w:r>
      <w:r>
        <w:rPr>
          <w:rFonts w:ascii="Times New Roman" w:hAnsi="Times New Roman" w:cs="Times New Roman"/>
        </w:rPr>
        <w:t>1.45</w:t>
      </w:r>
      <w:r>
        <w:rPr>
          <w:rFonts w:ascii="Times New Roman" w:hAnsi="Times New Roman" w:cs="Times New Roman"/>
        </w:rPr>
        <w:t>时对应的碳排放量，超出部分用电产生的碳排放需到市场购买补足相应碳配额。四是根据水泥、钢铁等其他行业阶梯电价执行中公示企业名单的经验，数据中心在被执行能效阶梯电价时企业名单或将被公示，影响企业绿色形象。</w:t>
      </w:r>
    </w:p>
    <w:p w:rsidR="00884974" w:rsidRDefault="00604C8D">
      <w:pPr>
        <w:pStyle w:val="1"/>
        <w:ind w:firstLine="480"/>
        <w:rPr>
          <w:rFonts w:ascii="Times New Roman" w:hAnsi="Times New Roman" w:cs="Times New Roman"/>
        </w:rPr>
      </w:pPr>
      <w:r>
        <w:rPr>
          <w:rFonts w:ascii="Times New Roman" w:hAnsi="Times New Roman" w:cs="Times New Roman"/>
        </w:rPr>
        <w:lastRenderedPageBreak/>
        <w:t>三、数据中心策略建议</w:t>
      </w:r>
    </w:p>
    <w:p w:rsidR="00884974" w:rsidRDefault="00604C8D">
      <w:pPr>
        <w:pStyle w:val="2"/>
        <w:ind w:firstLine="480"/>
        <w:rPr>
          <w:rFonts w:ascii="Times New Roman" w:hAnsi="Times New Roman" w:cs="Times New Roman"/>
        </w:rPr>
      </w:pPr>
      <w:r>
        <w:rPr>
          <w:rFonts w:ascii="Times New Roman" w:hAnsi="Times New Roman" w:cs="Times New Roman"/>
        </w:rPr>
        <w:t>（</w:t>
      </w:r>
      <w:r>
        <w:rPr>
          <w:rFonts w:ascii="Times New Roman" w:hAnsi="Times New Roman" w:cs="Times New Roman"/>
        </w:rPr>
        <w:t>一</w:t>
      </w:r>
      <w:r>
        <w:rPr>
          <w:rFonts w:ascii="Times New Roman" w:hAnsi="Times New Roman" w:cs="Times New Roman"/>
        </w:rPr>
        <w:t>）</w:t>
      </w:r>
      <w:r>
        <w:rPr>
          <w:rFonts w:ascii="Times New Roman" w:hAnsi="Times New Roman" w:cs="Times New Roman"/>
        </w:rPr>
        <w:t>加快推进老旧数据中心节能改造</w:t>
      </w:r>
    </w:p>
    <w:p w:rsidR="00884974" w:rsidRDefault="00604C8D">
      <w:pPr>
        <w:ind w:firstLine="480"/>
        <w:rPr>
          <w:rFonts w:ascii="Times New Roman" w:hAnsi="Times New Roman" w:cs="Times New Roman"/>
        </w:rPr>
      </w:pPr>
      <w:r>
        <w:rPr>
          <w:rFonts w:ascii="Times New Roman" w:hAnsi="Times New Roman" w:cs="Times New Roman" w:hint="eastAsia"/>
        </w:rPr>
        <w:t>老旧数据中心改造中</w:t>
      </w:r>
      <w:r>
        <w:rPr>
          <w:rFonts w:ascii="Times New Roman" w:hAnsi="Times New Roman" w:cs="Times New Roman"/>
        </w:rPr>
        <w:t>PUE</w:t>
      </w:r>
      <w:r>
        <w:rPr>
          <w:rFonts w:ascii="Times New Roman" w:hAnsi="Times New Roman" w:cs="Times New Roman"/>
        </w:rPr>
        <w:t>值降低与投资额密切相关，据行业测算，数据中心</w:t>
      </w:r>
      <w:r>
        <w:rPr>
          <w:rFonts w:ascii="Times New Roman" w:hAnsi="Times New Roman" w:cs="Times New Roman"/>
        </w:rPr>
        <w:t>PUE</w:t>
      </w:r>
      <w:r>
        <w:rPr>
          <w:rFonts w:ascii="Times New Roman" w:hAnsi="Times New Roman" w:cs="Times New Roman"/>
        </w:rPr>
        <w:t>每降低</w:t>
      </w:r>
      <w:r>
        <w:rPr>
          <w:rFonts w:ascii="Times New Roman" w:hAnsi="Times New Roman" w:cs="Times New Roman"/>
        </w:rPr>
        <w:t>0.1</w:t>
      </w:r>
      <w:r>
        <w:rPr>
          <w:rFonts w:ascii="Times New Roman" w:hAnsi="Times New Roman" w:cs="Times New Roman" w:hint="eastAsia"/>
        </w:rPr>
        <w:t>，</w:t>
      </w:r>
      <w:r>
        <w:rPr>
          <w:rFonts w:ascii="Times New Roman" w:hAnsi="Times New Roman" w:cs="Times New Roman"/>
        </w:rPr>
        <w:t>改造投资增加</w:t>
      </w:r>
      <w:r>
        <w:rPr>
          <w:rFonts w:ascii="Times New Roman" w:hAnsi="Times New Roman" w:cs="Times New Roman"/>
        </w:rPr>
        <w:t>2000-5000</w:t>
      </w:r>
      <w:r>
        <w:rPr>
          <w:rFonts w:ascii="Times New Roman" w:hAnsi="Times New Roman" w:cs="Times New Roman"/>
        </w:rPr>
        <w:t>元</w:t>
      </w:r>
      <w:r>
        <w:rPr>
          <w:rFonts w:ascii="Times New Roman" w:hAnsi="Times New Roman" w:cs="Times New Roman"/>
        </w:rPr>
        <w:t>/</w:t>
      </w:r>
      <w:r>
        <w:rPr>
          <w:rFonts w:ascii="Times New Roman" w:hAnsi="Times New Roman" w:cs="Times New Roman"/>
        </w:rPr>
        <w:t>千瓦</w:t>
      </w:r>
      <w:r>
        <w:rPr>
          <w:rFonts w:ascii="Times New Roman" w:hAnsi="Times New Roman" w:cs="Times New Roman"/>
        </w:rPr>
        <w:t>IT</w:t>
      </w:r>
      <w:r>
        <w:rPr>
          <w:rFonts w:ascii="Times New Roman" w:hAnsi="Times New Roman" w:cs="Times New Roman"/>
        </w:rPr>
        <w:t>设备</w:t>
      </w:r>
      <w:r>
        <w:rPr>
          <w:rFonts w:ascii="Times New Roman" w:hAnsi="Times New Roman" w:cs="Times New Roman"/>
        </w:rPr>
        <w:t>，与因</w:t>
      </w:r>
      <w:r>
        <w:rPr>
          <w:rFonts w:ascii="Times New Roman" w:hAnsi="Times New Roman" w:cs="Times New Roman"/>
        </w:rPr>
        <w:t>PUE</w:t>
      </w:r>
      <w:r>
        <w:rPr>
          <w:rFonts w:ascii="Times New Roman" w:hAnsi="Times New Roman" w:cs="Times New Roman"/>
        </w:rPr>
        <w:t>超出限定值带来的年度电费增加额相当。数据中心能效阶梯电价政策处于起步阶段，为避免电费加价，应积极应用气流组织优化、设备能效提升、高效设备应用、</w:t>
      </w:r>
      <w:r>
        <w:rPr>
          <w:rFonts w:ascii="Times New Roman" w:hAnsi="Times New Roman" w:cs="Times New Roman"/>
        </w:rPr>
        <w:t>AI</w:t>
      </w:r>
      <w:r>
        <w:rPr>
          <w:rFonts w:ascii="Times New Roman" w:hAnsi="Times New Roman" w:cs="Times New Roman"/>
        </w:rPr>
        <w:t>节能等技术对数据中心进行节能改造，使其</w:t>
      </w:r>
      <w:r>
        <w:rPr>
          <w:rFonts w:ascii="Times New Roman" w:hAnsi="Times New Roman" w:cs="Times New Roman"/>
        </w:rPr>
        <w:t>PUE</w:t>
      </w:r>
      <w:r>
        <w:rPr>
          <w:rFonts w:ascii="Times New Roman" w:hAnsi="Times New Roman" w:cs="Times New Roman"/>
        </w:rPr>
        <w:t>降至</w:t>
      </w:r>
      <w:r>
        <w:rPr>
          <w:rFonts w:ascii="Times New Roman" w:hAnsi="Times New Roman" w:cs="Times New Roman" w:hint="eastAsia"/>
        </w:rPr>
        <w:t>阶梯</w:t>
      </w:r>
      <w:r>
        <w:rPr>
          <w:rFonts w:ascii="Times New Roman" w:hAnsi="Times New Roman" w:cs="Times New Roman"/>
        </w:rPr>
        <w:t>电价</w:t>
      </w:r>
      <w:r>
        <w:rPr>
          <w:rFonts w:ascii="Times New Roman" w:hAnsi="Times New Roman" w:cs="Times New Roman" w:hint="eastAsia"/>
        </w:rPr>
        <w:t>加价的</w:t>
      </w:r>
      <w:r>
        <w:rPr>
          <w:rFonts w:ascii="Times New Roman" w:hAnsi="Times New Roman" w:cs="Times New Roman"/>
        </w:rPr>
        <w:t>限定值以下，未来将进一步推动</w:t>
      </w:r>
      <w:r>
        <w:rPr>
          <w:rFonts w:ascii="Times New Roman" w:hAnsi="Times New Roman" w:cs="Times New Roman"/>
        </w:rPr>
        <w:t>PUE</w:t>
      </w:r>
      <w:r>
        <w:rPr>
          <w:rFonts w:ascii="Times New Roman" w:hAnsi="Times New Roman" w:cs="Times New Roman"/>
        </w:rPr>
        <w:t>降至先进水平。</w:t>
      </w:r>
      <w:r>
        <w:rPr>
          <w:rFonts w:ascii="Times New Roman" w:hAnsi="Times New Roman" w:cs="Times New Roman"/>
        </w:rPr>
        <w:t>改造的重点区域优先选择已提出能效阶梯电价政策的地区，如</w:t>
      </w:r>
      <w:r>
        <w:rPr>
          <w:rFonts w:ascii="Times New Roman" w:hAnsi="Times New Roman" w:cs="Times New Roman"/>
        </w:rPr>
        <w:t>北京、上海、安徽、浙江、广东等</w:t>
      </w:r>
      <w:r>
        <w:rPr>
          <w:rFonts w:ascii="Times New Roman" w:hAnsi="Times New Roman" w:cs="Times New Roman"/>
        </w:rPr>
        <w:t>，并逐步扩至其他区域。</w:t>
      </w:r>
    </w:p>
    <w:p w:rsidR="00884974" w:rsidRDefault="00604C8D">
      <w:pPr>
        <w:pStyle w:val="2"/>
        <w:ind w:firstLine="480"/>
        <w:rPr>
          <w:rFonts w:ascii="Times New Roman" w:hAnsi="Times New Roman" w:cs="Times New Roman"/>
        </w:rPr>
      </w:pPr>
      <w:r>
        <w:rPr>
          <w:rFonts w:ascii="Times New Roman" w:hAnsi="Times New Roman" w:cs="Times New Roman"/>
        </w:rPr>
        <w:t>（二）建立数据中心阶梯电价跟踪预测机制</w:t>
      </w:r>
    </w:p>
    <w:p w:rsidR="00884974" w:rsidRDefault="00604C8D">
      <w:pPr>
        <w:ind w:firstLine="480"/>
        <w:rPr>
          <w:rFonts w:ascii="Times New Roman" w:hAnsi="Times New Roman" w:cs="Times New Roman"/>
        </w:rPr>
      </w:pPr>
      <w:r>
        <w:rPr>
          <w:rFonts w:ascii="Times New Roman" w:hAnsi="Times New Roman" w:cs="Times New Roman"/>
        </w:rPr>
        <w:t>建立数据中心阶梯电价跟踪机制，预</w:t>
      </w:r>
      <w:r>
        <w:rPr>
          <w:rFonts w:ascii="Times New Roman" w:hAnsi="Times New Roman" w:cs="Times New Roman" w:hint="eastAsia"/>
        </w:rPr>
        <w:t>测</w:t>
      </w:r>
      <w:r>
        <w:rPr>
          <w:rFonts w:ascii="Times New Roman" w:hAnsi="Times New Roman" w:cs="Times New Roman"/>
        </w:rPr>
        <w:t>阶梯电价</w:t>
      </w:r>
      <w:r>
        <w:rPr>
          <w:rFonts w:ascii="Times New Roman" w:hAnsi="Times New Roman" w:cs="Times New Roman" w:hint="eastAsia"/>
        </w:rPr>
        <w:t>加价</w:t>
      </w:r>
      <w:r>
        <w:rPr>
          <w:rFonts w:ascii="Times New Roman" w:hAnsi="Times New Roman" w:cs="Times New Roman"/>
        </w:rPr>
        <w:t>情况，及时采取相应优化措施。从内部出发，完善数据中</w:t>
      </w:r>
      <w:r>
        <w:rPr>
          <w:rFonts w:ascii="Times New Roman" w:hAnsi="Times New Roman" w:cs="Times New Roman"/>
        </w:rPr>
        <w:t>心能效和碳监测计量，建立数据中心实时监控系统，实时掌握</w:t>
      </w:r>
      <w:r>
        <w:rPr>
          <w:rFonts w:ascii="Times New Roman" w:hAnsi="Times New Roman" w:cs="Times New Roman"/>
        </w:rPr>
        <w:t>PUE</w:t>
      </w:r>
      <w:r>
        <w:rPr>
          <w:rFonts w:ascii="Times New Roman" w:hAnsi="Times New Roman" w:cs="Times New Roman"/>
        </w:rPr>
        <w:t>、能效阶梯电费、自建</w:t>
      </w:r>
      <w:r>
        <w:rPr>
          <w:rFonts w:ascii="Times New Roman" w:hAnsi="Times New Roman" w:cs="Times New Roman"/>
        </w:rPr>
        <w:t>/</w:t>
      </w:r>
      <w:r>
        <w:rPr>
          <w:rFonts w:ascii="Times New Roman" w:hAnsi="Times New Roman" w:cs="Times New Roman"/>
        </w:rPr>
        <w:t>直供等绿电使用情况等，对数据中心</w:t>
      </w:r>
      <w:r>
        <w:rPr>
          <w:rFonts w:ascii="Times New Roman" w:hAnsi="Times New Roman" w:cs="Times New Roman"/>
        </w:rPr>
        <w:t>PUE</w:t>
      </w:r>
      <w:r>
        <w:rPr>
          <w:rFonts w:ascii="Times New Roman" w:hAnsi="Times New Roman" w:cs="Times New Roman"/>
        </w:rPr>
        <w:t>、阶梯电费情况进行预测预报。建立超</w:t>
      </w:r>
      <w:r>
        <w:rPr>
          <w:rFonts w:ascii="Times New Roman" w:hAnsi="Times New Roman" w:cs="Times New Roman"/>
        </w:rPr>
        <w:t>PUE</w:t>
      </w:r>
      <w:r>
        <w:rPr>
          <w:rFonts w:ascii="Times New Roman" w:hAnsi="Times New Roman" w:cs="Times New Roman"/>
        </w:rPr>
        <w:t>限定值的数据中心动态清单，定期检查整改情况。从外部出发，建立</w:t>
      </w:r>
      <w:r>
        <w:rPr>
          <w:rFonts w:ascii="Times New Roman" w:hAnsi="Times New Roman" w:cs="Times New Roman" w:hint="eastAsia"/>
        </w:rPr>
        <w:t>“</w:t>
      </w:r>
      <w:r>
        <w:rPr>
          <w:rFonts w:ascii="Times New Roman" w:hAnsi="Times New Roman" w:cs="Times New Roman"/>
        </w:rPr>
        <w:t>国家</w:t>
      </w:r>
      <w:r>
        <w:rPr>
          <w:rFonts w:ascii="Times New Roman" w:hAnsi="Times New Roman" w:cs="Times New Roman"/>
        </w:rPr>
        <w:t>-</w:t>
      </w:r>
      <w:r>
        <w:rPr>
          <w:rFonts w:ascii="Times New Roman" w:hAnsi="Times New Roman" w:cs="Times New Roman"/>
        </w:rPr>
        <w:t>省</w:t>
      </w:r>
      <w:r>
        <w:rPr>
          <w:rFonts w:ascii="Times New Roman" w:hAnsi="Times New Roman" w:cs="Times New Roman"/>
        </w:rPr>
        <w:t>-</w:t>
      </w:r>
      <w:r>
        <w:rPr>
          <w:rFonts w:ascii="Times New Roman" w:hAnsi="Times New Roman" w:cs="Times New Roman"/>
        </w:rPr>
        <w:t>市</w:t>
      </w:r>
      <w:r>
        <w:rPr>
          <w:rFonts w:ascii="Times New Roman" w:hAnsi="Times New Roman" w:cs="Times New Roman" w:hint="eastAsia"/>
        </w:rPr>
        <w:t>”</w:t>
      </w:r>
      <w:bookmarkStart w:id="0" w:name="_GoBack"/>
      <w:bookmarkEnd w:id="0"/>
      <w:r>
        <w:rPr>
          <w:rFonts w:ascii="Times New Roman" w:hAnsi="Times New Roman" w:cs="Times New Roman"/>
        </w:rPr>
        <w:t>三级数据中心能效阶梯电价政策长期动态跟踪机制，建立多级管控指标动态视图，及时预判数据中心运营和政策变化带来的影响。</w:t>
      </w:r>
    </w:p>
    <w:p w:rsidR="00884974" w:rsidRDefault="00604C8D">
      <w:pPr>
        <w:pStyle w:val="2"/>
        <w:ind w:firstLine="480"/>
        <w:rPr>
          <w:rFonts w:ascii="Times New Roman" w:hAnsi="Times New Roman" w:cs="Times New Roman"/>
        </w:rPr>
      </w:pPr>
      <w:r>
        <w:rPr>
          <w:rFonts w:ascii="Times New Roman" w:hAnsi="Times New Roman" w:cs="Times New Roman"/>
        </w:rPr>
        <w:t>（三）多渠道挖掘利用绿电资源</w:t>
      </w:r>
    </w:p>
    <w:p w:rsidR="00884974" w:rsidRDefault="00604C8D">
      <w:pPr>
        <w:ind w:firstLine="480"/>
        <w:rPr>
          <w:rFonts w:ascii="Times New Roman" w:hAnsi="Times New Roman" w:cs="Times New Roman"/>
        </w:rPr>
      </w:pPr>
      <w:r>
        <w:rPr>
          <w:rFonts w:ascii="Times New Roman" w:hAnsi="Times New Roman" w:cs="Times New Roman"/>
        </w:rPr>
        <w:t>数据中心能效阶梯电价收费主要面向大网供电，自建分布式光伏、直供绿电等暂不列入阶梯电价收费范围。数据中心应积极拓展绿色电力来源，减少对大网电力的依赖，降低电费加价的影响。充分挖掘自建可再生能源场地，在数据中心周边、屋顶、幕墙等空间，建设太阳能光伏发电、小型风力发电等分布式能源设施，为数据中心提供绿色电力；与新能源电站直接对接，积极探索开展数据中心绿电直供</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源网荷储</w:t>
      </w:r>
      <w:r>
        <w:rPr>
          <w:rFonts w:ascii="Times New Roman" w:hAnsi="Times New Roman" w:cs="Times New Roman"/>
        </w:rPr>
        <w:t>”</w:t>
      </w:r>
      <w:r>
        <w:rPr>
          <w:rFonts w:ascii="Times New Roman" w:hAnsi="Times New Roman" w:cs="Times New Roman" w:hint="eastAsia"/>
        </w:rPr>
        <w:t>等新型</w:t>
      </w:r>
      <w:r>
        <w:rPr>
          <w:rFonts w:ascii="Times New Roman" w:hAnsi="Times New Roman" w:cs="Times New Roman"/>
        </w:rPr>
        <w:t>用电模式，</w:t>
      </w:r>
      <w:r>
        <w:rPr>
          <w:rFonts w:ascii="Times New Roman" w:hAnsi="Times New Roman" w:cs="Times New Roman"/>
        </w:rPr>
        <w:t>提高绿电</w:t>
      </w:r>
      <w:r>
        <w:rPr>
          <w:rFonts w:ascii="Times New Roman" w:hAnsi="Times New Roman" w:cs="Times New Roman" w:hint="eastAsia"/>
        </w:rPr>
        <w:t>消纳水平</w:t>
      </w:r>
      <w:r>
        <w:rPr>
          <w:rFonts w:ascii="Times New Roman" w:hAnsi="Times New Roman" w:cs="Times New Roman"/>
        </w:rPr>
        <w:t>。</w:t>
      </w:r>
    </w:p>
    <w:sectPr w:rsidR="008849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4C8D" w:rsidRDefault="00604C8D">
      <w:pPr>
        <w:spacing w:line="240" w:lineRule="auto"/>
        <w:ind w:firstLine="480"/>
      </w:pPr>
      <w:r>
        <w:separator/>
      </w:r>
    </w:p>
  </w:endnote>
  <w:endnote w:type="continuationSeparator" w:id="0">
    <w:p w:rsidR="00604C8D" w:rsidRDefault="00604C8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小标宋简体">
    <w:altName w:val="Microsoft YaHei UI"/>
    <w:charset w:val="86"/>
    <w:family w:val="auto"/>
    <w:pitch w:val="default"/>
    <w:sig w:usb0="00000000" w:usb1="184F6CFA" w:usb2="00000012"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4C8D" w:rsidRDefault="00604C8D">
      <w:pPr>
        <w:ind w:firstLine="480"/>
      </w:pPr>
      <w:r>
        <w:separator/>
      </w:r>
    </w:p>
  </w:footnote>
  <w:footnote w:type="continuationSeparator" w:id="0">
    <w:p w:rsidR="00604C8D" w:rsidRDefault="00604C8D">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2EC362"/>
    <w:multiLevelType w:val="singleLevel"/>
    <w:tmpl w:val="392EC362"/>
    <w:lvl w:ilvl="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974"/>
    <w:rsid w:val="000412FD"/>
    <w:rsid w:val="00251D99"/>
    <w:rsid w:val="005B270B"/>
    <w:rsid w:val="00604C8D"/>
    <w:rsid w:val="007C43C3"/>
    <w:rsid w:val="0087418A"/>
    <w:rsid w:val="00884974"/>
    <w:rsid w:val="00DB7D76"/>
    <w:rsid w:val="00F6788C"/>
    <w:rsid w:val="00F92CA5"/>
    <w:rsid w:val="015A60C5"/>
    <w:rsid w:val="01DA7C98"/>
    <w:rsid w:val="01DC539A"/>
    <w:rsid w:val="01EE6939"/>
    <w:rsid w:val="01F84CCA"/>
    <w:rsid w:val="01FA01CD"/>
    <w:rsid w:val="020855F4"/>
    <w:rsid w:val="026D7769"/>
    <w:rsid w:val="02AB5933"/>
    <w:rsid w:val="02D06F2C"/>
    <w:rsid w:val="02FA7D70"/>
    <w:rsid w:val="036174DB"/>
    <w:rsid w:val="03630CA2"/>
    <w:rsid w:val="0364779F"/>
    <w:rsid w:val="037709BE"/>
    <w:rsid w:val="039C3676"/>
    <w:rsid w:val="03AF659A"/>
    <w:rsid w:val="03C11E76"/>
    <w:rsid w:val="03F20308"/>
    <w:rsid w:val="03FD0897"/>
    <w:rsid w:val="04122DBB"/>
    <w:rsid w:val="042F236B"/>
    <w:rsid w:val="045D79B7"/>
    <w:rsid w:val="04893CFE"/>
    <w:rsid w:val="049E6222"/>
    <w:rsid w:val="04D7088A"/>
    <w:rsid w:val="04F775C9"/>
    <w:rsid w:val="054A15F9"/>
    <w:rsid w:val="05806043"/>
    <w:rsid w:val="05937A34"/>
    <w:rsid w:val="05A100FF"/>
    <w:rsid w:val="05A96F3B"/>
    <w:rsid w:val="05F332D1"/>
    <w:rsid w:val="060B23D7"/>
    <w:rsid w:val="06206D64"/>
    <w:rsid w:val="06542070"/>
    <w:rsid w:val="06B412DD"/>
    <w:rsid w:val="06E200E7"/>
    <w:rsid w:val="073C2570"/>
    <w:rsid w:val="074B7E79"/>
    <w:rsid w:val="076D4D3B"/>
    <w:rsid w:val="07BA4E3B"/>
    <w:rsid w:val="07DC2E04"/>
    <w:rsid w:val="07DD5DE8"/>
    <w:rsid w:val="07E008B9"/>
    <w:rsid w:val="07FA1BCA"/>
    <w:rsid w:val="07FD59F4"/>
    <w:rsid w:val="08007D32"/>
    <w:rsid w:val="0803798A"/>
    <w:rsid w:val="084A6CA8"/>
    <w:rsid w:val="08774EF9"/>
    <w:rsid w:val="08855808"/>
    <w:rsid w:val="0886108C"/>
    <w:rsid w:val="08AD66B2"/>
    <w:rsid w:val="08B65FD7"/>
    <w:rsid w:val="08DB0795"/>
    <w:rsid w:val="090D69E6"/>
    <w:rsid w:val="09201287"/>
    <w:rsid w:val="092F30CB"/>
    <w:rsid w:val="095073D7"/>
    <w:rsid w:val="0980529E"/>
    <w:rsid w:val="09866A95"/>
    <w:rsid w:val="099C4AB2"/>
    <w:rsid w:val="09AA7B69"/>
    <w:rsid w:val="09AD7844"/>
    <w:rsid w:val="09BE1E9F"/>
    <w:rsid w:val="09CC1C7E"/>
    <w:rsid w:val="0A1A6F23"/>
    <w:rsid w:val="0A3367C8"/>
    <w:rsid w:val="0A483232"/>
    <w:rsid w:val="0AA3524B"/>
    <w:rsid w:val="0AB90EB5"/>
    <w:rsid w:val="0ACE0EE2"/>
    <w:rsid w:val="0B4A1814"/>
    <w:rsid w:val="0B5C2DB3"/>
    <w:rsid w:val="0B891CA7"/>
    <w:rsid w:val="0B976E04"/>
    <w:rsid w:val="0BE61692"/>
    <w:rsid w:val="0C59614E"/>
    <w:rsid w:val="0C7043B9"/>
    <w:rsid w:val="0C794484"/>
    <w:rsid w:val="0C7C16FC"/>
    <w:rsid w:val="0C7D2E8A"/>
    <w:rsid w:val="0C7F6A0C"/>
    <w:rsid w:val="0C8E4F98"/>
    <w:rsid w:val="0C9E5D48"/>
    <w:rsid w:val="0CF06F2A"/>
    <w:rsid w:val="0CF34297"/>
    <w:rsid w:val="0D072DEE"/>
    <w:rsid w:val="0D554FDF"/>
    <w:rsid w:val="0D5C429D"/>
    <w:rsid w:val="0D811433"/>
    <w:rsid w:val="0E236A3E"/>
    <w:rsid w:val="0E703748"/>
    <w:rsid w:val="0E7819CB"/>
    <w:rsid w:val="0EE03030"/>
    <w:rsid w:val="0F013EAE"/>
    <w:rsid w:val="0F0D7CC0"/>
    <w:rsid w:val="0F0E18EA"/>
    <w:rsid w:val="0F860884"/>
    <w:rsid w:val="103162F6"/>
    <w:rsid w:val="103677AA"/>
    <w:rsid w:val="104D284B"/>
    <w:rsid w:val="10BA53FD"/>
    <w:rsid w:val="10BE3E04"/>
    <w:rsid w:val="10C36704"/>
    <w:rsid w:val="10D64689"/>
    <w:rsid w:val="10DE6A4C"/>
    <w:rsid w:val="10F036D9"/>
    <w:rsid w:val="10F1554D"/>
    <w:rsid w:val="11085E67"/>
    <w:rsid w:val="111B419D"/>
    <w:rsid w:val="11697B20"/>
    <w:rsid w:val="118A0054"/>
    <w:rsid w:val="11BF6F73"/>
    <w:rsid w:val="11D95A11"/>
    <w:rsid w:val="11DC4852"/>
    <w:rsid w:val="11E938F1"/>
    <w:rsid w:val="12C82F5F"/>
    <w:rsid w:val="130804C5"/>
    <w:rsid w:val="130B4CCD"/>
    <w:rsid w:val="130C633C"/>
    <w:rsid w:val="131F28D9"/>
    <w:rsid w:val="132B2CD1"/>
    <w:rsid w:val="1346148E"/>
    <w:rsid w:val="13951B31"/>
    <w:rsid w:val="13CD0BB6"/>
    <w:rsid w:val="13F01EA1"/>
    <w:rsid w:val="13F86ECA"/>
    <w:rsid w:val="13FE05E2"/>
    <w:rsid w:val="147D1553"/>
    <w:rsid w:val="14A27D77"/>
    <w:rsid w:val="14A77F72"/>
    <w:rsid w:val="14B8240A"/>
    <w:rsid w:val="14C0601F"/>
    <w:rsid w:val="14F831F4"/>
    <w:rsid w:val="150814CC"/>
    <w:rsid w:val="1511516F"/>
    <w:rsid w:val="152165B6"/>
    <w:rsid w:val="15262A3E"/>
    <w:rsid w:val="152D4BD3"/>
    <w:rsid w:val="157463C1"/>
    <w:rsid w:val="15D418DD"/>
    <w:rsid w:val="15E82AFC"/>
    <w:rsid w:val="16391602"/>
    <w:rsid w:val="164F655A"/>
    <w:rsid w:val="16620247"/>
    <w:rsid w:val="16697BD2"/>
    <w:rsid w:val="16722A60"/>
    <w:rsid w:val="16904F9E"/>
    <w:rsid w:val="16A17D2C"/>
    <w:rsid w:val="16B862ED"/>
    <w:rsid w:val="16E54CDA"/>
    <w:rsid w:val="17157CEB"/>
    <w:rsid w:val="175A07E0"/>
    <w:rsid w:val="17612369"/>
    <w:rsid w:val="177D6416"/>
    <w:rsid w:val="17B865FB"/>
    <w:rsid w:val="17DF482A"/>
    <w:rsid w:val="17EC74E6"/>
    <w:rsid w:val="17F263D4"/>
    <w:rsid w:val="1829415E"/>
    <w:rsid w:val="182C6322"/>
    <w:rsid w:val="18376EC9"/>
    <w:rsid w:val="18782AF4"/>
    <w:rsid w:val="189C4919"/>
    <w:rsid w:val="18B268E3"/>
    <w:rsid w:val="18F95331"/>
    <w:rsid w:val="19106B2B"/>
    <w:rsid w:val="197B045A"/>
    <w:rsid w:val="197C175F"/>
    <w:rsid w:val="199A0D0F"/>
    <w:rsid w:val="19A50196"/>
    <w:rsid w:val="19B2269F"/>
    <w:rsid w:val="19CB78B7"/>
    <w:rsid w:val="1A0F674F"/>
    <w:rsid w:val="1A330E02"/>
    <w:rsid w:val="1A48432A"/>
    <w:rsid w:val="1A963400"/>
    <w:rsid w:val="1AE80D2A"/>
    <w:rsid w:val="1B1D5607"/>
    <w:rsid w:val="1B3E4C43"/>
    <w:rsid w:val="1B5F5177"/>
    <w:rsid w:val="1B920E49"/>
    <w:rsid w:val="1BBC5511"/>
    <w:rsid w:val="1BCE0482"/>
    <w:rsid w:val="1BF94552"/>
    <w:rsid w:val="1BFD0D1C"/>
    <w:rsid w:val="1C535684"/>
    <w:rsid w:val="1C676CA8"/>
    <w:rsid w:val="1C8B1061"/>
    <w:rsid w:val="1CE115A0"/>
    <w:rsid w:val="1CF15D6D"/>
    <w:rsid w:val="1D1B2ECF"/>
    <w:rsid w:val="1D5C71BB"/>
    <w:rsid w:val="1D6C5B5C"/>
    <w:rsid w:val="1D901B3A"/>
    <w:rsid w:val="1E464BBA"/>
    <w:rsid w:val="1E7451F5"/>
    <w:rsid w:val="1E79668E"/>
    <w:rsid w:val="1E9C7B48"/>
    <w:rsid w:val="1EB87E35"/>
    <w:rsid w:val="1EBD4EB5"/>
    <w:rsid w:val="1EF9465E"/>
    <w:rsid w:val="1F0274EC"/>
    <w:rsid w:val="1F1D5B17"/>
    <w:rsid w:val="1F5A597C"/>
    <w:rsid w:val="1F615307"/>
    <w:rsid w:val="1F8655AE"/>
    <w:rsid w:val="1F8D2241"/>
    <w:rsid w:val="1FA80C96"/>
    <w:rsid w:val="1FD601EC"/>
    <w:rsid w:val="1FDD26D2"/>
    <w:rsid w:val="20260F4B"/>
    <w:rsid w:val="203330E1"/>
    <w:rsid w:val="2062274F"/>
    <w:rsid w:val="208A64CD"/>
    <w:rsid w:val="209A6308"/>
    <w:rsid w:val="20EB5486"/>
    <w:rsid w:val="20FE7E23"/>
    <w:rsid w:val="211F4391"/>
    <w:rsid w:val="21567D40"/>
    <w:rsid w:val="21980D3C"/>
    <w:rsid w:val="21AF0C8C"/>
    <w:rsid w:val="21C7019C"/>
    <w:rsid w:val="21D63B12"/>
    <w:rsid w:val="21DA565B"/>
    <w:rsid w:val="2206685F"/>
    <w:rsid w:val="221435F7"/>
    <w:rsid w:val="225F2771"/>
    <w:rsid w:val="2297770D"/>
    <w:rsid w:val="22B03475"/>
    <w:rsid w:val="22B75B74"/>
    <w:rsid w:val="22D12AB0"/>
    <w:rsid w:val="22EC5858"/>
    <w:rsid w:val="238B1EDE"/>
    <w:rsid w:val="24233357"/>
    <w:rsid w:val="245E64DE"/>
    <w:rsid w:val="248464CE"/>
    <w:rsid w:val="24BB25D0"/>
    <w:rsid w:val="24D95404"/>
    <w:rsid w:val="250207C6"/>
    <w:rsid w:val="25404F48"/>
    <w:rsid w:val="257F7115"/>
    <w:rsid w:val="258E08A3"/>
    <w:rsid w:val="259154DE"/>
    <w:rsid w:val="25B15317"/>
    <w:rsid w:val="25B811EE"/>
    <w:rsid w:val="25BF0420"/>
    <w:rsid w:val="25C9278E"/>
    <w:rsid w:val="25D4529B"/>
    <w:rsid w:val="25D74D1E"/>
    <w:rsid w:val="268F37F2"/>
    <w:rsid w:val="26A13C95"/>
    <w:rsid w:val="26EF6A98"/>
    <w:rsid w:val="27180E83"/>
    <w:rsid w:val="274F5E0D"/>
    <w:rsid w:val="275E0626"/>
    <w:rsid w:val="277A0E4F"/>
    <w:rsid w:val="278B14A3"/>
    <w:rsid w:val="27BC4E1D"/>
    <w:rsid w:val="27C634CD"/>
    <w:rsid w:val="27FD6F59"/>
    <w:rsid w:val="282A4D3D"/>
    <w:rsid w:val="2839380C"/>
    <w:rsid w:val="285574C3"/>
    <w:rsid w:val="289471A5"/>
    <w:rsid w:val="28991CF2"/>
    <w:rsid w:val="289D32AF"/>
    <w:rsid w:val="28A11D48"/>
    <w:rsid w:val="28C049EA"/>
    <w:rsid w:val="28DA32B3"/>
    <w:rsid w:val="28E27DFA"/>
    <w:rsid w:val="29071E4F"/>
    <w:rsid w:val="29414949"/>
    <w:rsid w:val="29E975B1"/>
    <w:rsid w:val="2A3403BF"/>
    <w:rsid w:val="2A3C3ED6"/>
    <w:rsid w:val="2A560303"/>
    <w:rsid w:val="2A6A6FA4"/>
    <w:rsid w:val="2A771A2A"/>
    <w:rsid w:val="2B190DD8"/>
    <w:rsid w:val="2B631DDB"/>
    <w:rsid w:val="2B723F53"/>
    <w:rsid w:val="2B8E3883"/>
    <w:rsid w:val="2BCD2C35"/>
    <w:rsid w:val="2BF8287C"/>
    <w:rsid w:val="2C276000"/>
    <w:rsid w:val="2C320B0E"/>
    <w:rsid w:val="2C462086"/>
    <w:rsid w:val="2C760BA3"/>
    <w:rsid w:val="2C965629"/>
    <w:rsid w:val="2CAE3CDD"/>
    <w:rsid w:val="2CB9597D"/>
    <w:rsid w:val="2CE72BBB"/>
    <w:rsid w:val="2CFE2933"/>
    <w:rsid w:val="2D143669"/>
    <w:rsid w:val="2D332461"/>
    <w:rsid w:val="2D493E26"/>
    <w:rsid w:val="2D4A071F"/>
    <w:rsid w:val="2D8601B8"/>
    <w:rsid w:val="2DA518D4"/>
    <w:rsid w:val="2EA92A1B"/>
    <w:rsid w:val="2EF30934"/>
    <w:rsid w:val="2F5542E5"/>
    <w:rsid w:val="2F5C5663"/>
    <w:rsid w:val="2F700F60"/>
    <w:rsid w:val="2F7B0FD4"/>
    <w:rsid w:val="2FAF0127"/>
    <w:rsid w:val="2FB640C2"/>
    <w:rsid w:val="2FB9045A"/>
    <w:rsid w:val="2FB92659"/>
    <w:rsid w:val="2FF16036"/>
    <w:rsid w:val="304F0361"/>
    <w:rsid w:val="30503E51"/>
    <w:rsid w:val="3060796F"/>
    <w:rsid w:val="308A2D31"/>
    <w:rsid w:val="30930029"/>
    <w:rsid w:val="309532C1"/>
    <w:rsid w:val="30AB6156"/>
    <w:rsid w:val="30C43E10"/>
    <w:rsid w:val="30D5439B"/>
    <w:rsid w:val="30DA5FB3"/>
    <w:rsid w:val="30E57526"/>
    <w:rsid w:val="30F27273"/>
    <w:rsid w:val="30F61EBD"/>
    <w:rsid w:val="31067CD2"/>
    <w:rsid w:val="313E3AD9"/>
    <w:rsid w:val="315F14BF"/>
    <w:rsid w:val="31750ECB"/>
    <w:rsid w:val="319950ED"/>
    <w:rsid w:val="319B5A80"/>
    <w:rsid w:val="319D3AF3"/>
    <w:rsid w:val="31BE259A"/>
    <w:rsid w:val="31DA3958"/>
    <w:rsid w:val="32117A9A"/>
    <w:rsid w:val="3232545A"/>
    <w:rsid w:val="32DA2B31"/>
    <w:rsid w:val="33724973"/>
    <w:rsid w:val="33A8120E"/>
    <w:rsid w:val="33BD4DF2"/>
    <w:rsid w:val="33E034C4"/>
    <w:rsid w:val="33FF10DF"/>
    <w:rsid w:val="340B4DB4"/>
    <w:rsid w:val="341222FE"/>
    <w:rsid w:val="344C595B"/>
    <w:rsid w:val="34841338"/>
    <w:rsid w:val="34C05684"/>
    <w:rsid w:val="34E03C50"/>
    <w:rsid w:val="350055D0"/>
    <w:rsid w:val="350E16BC"/>
    <w:rsid w:val="351608A7"/>
    <w:rsid w:val="355F671C"/>
    <w:rsid w:val="357C6CFE"/>
    <w:rsid w:val="35997239"/>
    <w:rsid w:val="35B02DD2"/>
    <w:rsid w:val="35CB6609"/>
    <w:rsid w:val="35F0600B"/>
    <w:rsid w:val="368112B5"/>
    <w:rsid w:val="36816E62"/>
    <w:rsid w:val="36942515"/>
    <w:rsid w:val="36A81947"/>
    <w:rsid w:val="36D742A1"/>
    <w:rsid w:val="372D56DF"/>
    <w:rsid w:val="373A0718"/>
    <w:rsid w:val="37591D5A"/>
    <w:rsid w:val="37CE27CB"/>
    <w:rsid w:val="37E62C43"/>
    <w:rsid w:val="38007070"/>
    <w:rsid w:val="38062AED"/>
    <w:rsid w:val="380C5081"/>
    <w:rsid w:val="38337513"/>
    <w:rsid w:val="38540149"/>
    <w:rsid w:val="385474C4"/>
    <w:rsid w:val="3867622B"/>
    <w:rsid w:val="38E0394A"/>
    <w:rsid w:val="391310F7"/>
    <w:rsid w:val="391B270E"/>
    <w:rsid w:val="39301960"/>
    <w:rsid w:val="395C3AA9"/>
    <w:rsid w:val="396430B4"/>
    <w:rsid w:val="3997260A"/>
    <w:rsid w:val="39C576F9"/>
    <w:rsid w:val="39C9085A"/>
    <w:rsid w:val="39E34BE3"/>
    <w:rsid w:val="39FC4F45"/>
    <w:rsid w:val="3A6A61E5"/>
    <w:rsid w:val="3A7955A2"/>
    <w:rsid w:val="3AEC2F3B"/>
    <w:rsid w:val="3B0D6E38"/>
    <w:rsid w:val="3B2D5071"/>
    <w:rsid w:val="3B747585"/>
    <w:rsid w:val="3C061489"/>
    <w:rsid w:val="3C086B8B"/>
    <w:rsid w:val="3C3771BC"/>
    <w:rsid w:val="3C585A10"/>
    <w:rsid w:val="3C711D53"/>
    <w:rsid w:val="3C7A4420"/>
    <w:rsid w:val="3CD6059A"/>
    <w:rsid w:val="3CF25AF7"/>
    <w:rsid w:val="3D0573F8"/>
    <w:rsid w:val="3D5F01E8"/>
    <w:rsid w:val="3D7C2FF5"/>
    <w:rsid w:val="3DB652AD"/>
    <w:rsid w:val="3DBC4361"/>
    <w:rsid w:val="3DC666C0"/>
    <w:rsid w:val="3DCD2FF3"/>
    <w:rsid w:val="3DD76596"/>
    <w:rsid w:val="3DEC0025"/>
    <w:rsid w:val="3E1A5671"/>
    <w:rsid w:val="3E2D0A8E"/>
    <w:rsid w:val="3E3826A3"/>
    <w:rsid w:val="3E390124"/>
    <w:rsid w:val="3E5776D4"/>
    <w:rsid w:val="3EBB0768"/>
    <w:rsid w:val="3EBB73F9"/>
    <w:rsid w:val="3ED53826"/>
    <w:rsid w:val="3EDC31B1"/>
    <w:rsid w:val="3F1F1A69"/>
    <w:rsid w:val="3F41512A"/>
    <w:rsid w:val="3F59277A"/>
    <w:rsid w:val="3F867DC6"/>
    <w:rsid w:val="3F8A3C79"/>
    <w:rsid w:val="3F8C7AD1"/>
    <w:rsid w:val="3F923BD9"/>
    <w:rsid w:val="3FA21C75"/>
    <w:rsid w:val="3FA34330"/>
    <w:rsid w:val="3FCE2739"/>
    <w:rsid w:val="3FDB400B"/>
    <w:rsid w:val="3FF638FD"/>
    <w:rsid w:val="3FFF200F"/>
    <w:rsid w:val="403D4072"/>
    <w:rsid w:val="403E0EAE"/>
    <w:rsid w:val="40476572"/>
    <w:rsid w:val="40571BB7"/>
    <w:rsid w:val="40720CC9"/>
    <w:rsid w:val="407E22C6"/>
    <w:rsid w:val="408C1872"/>
    <w:rsid w:val="40AC46BF"/>
    <w:rsid w:val="40B94CC0"/>
    <w:rsid w:val="40C66554"/>
    <w:rsid w:val="40DC06F8"/>
    <w:rsid w:val="41322966"/>
    <w:rsid w:val="41462326"/>
    <w:rsid w:val="4172666D"/>
    <w:rsid w:val="418A7597"/>
    <w:rsid w:val="4191369F"/>
    <w:rsid w:val="41CB4058"/>
    <w:rsid w:val="41DE3AB3"/>
    <w:rsid w:val="41EF2605"/>
    <w:rsid w:val="41F264D4"/>
    <w:rsid w:val="42146542"/>
    <w:rsid w:val="42404D69"/>
    <w:rsid w:val="424F27D8"/>
    <w:rsid w:val="42573468"/>
    <w:rsid w:val="426D560B"/>
    <w:rsid w:val="42883C37"/>
    <w:rsid w:val="4295331D"/>
    <w:rsid w:val="42B6068A"/>
    <w:rsid w:val="42C50218"/>
    <w:rsid w:val="42C924A2"/>
    <w:rsid w:val="42EA4BD5"/>
    <w:rsid w:val="42EB2656"/>
    <w:rsid w:val="43043580"/>
    <w:rsid w:val="435B43F6"/>
    <w:rsid w:val="43904469"/>
    <w:rsid w:val="43A713E9"/>
    <w:rsid w:val="43B3461E"/>
    <w:rsid w:val="43E93379"/>
    <w:rsid w:val="441D1ACF"/>
    <w:rsid w:val="44327C44"/>
    <w:rsid w:val="446C184E"/>
    <w:rsid w:val="447765B0"/>
    <w:rsid w:val="449123BC"/>
    <w:rsid w:val="44986059"/>
    <w:rsid w:val="44E747C7"/>
    <w:rsid w:val="44FE7B86"/>
    <w:rsid w:val="4524487F"/>
    <w:rsid w:val="453E269A"/>
    <w:rsid w:val="455315CA"/>
    <w:rsid w:val="45692B6C"/>
    <w:rsid w:val="45701CAF"/>
    <w:rsid w:val="45762104"/>
    <w:rsid w:val="45D21176"/>
    <w:rsid w:val="46101FCC"/>
    <w:rsid w:val="465167EF"/>
    <w:rsid w:val="4667038F"/>
    <w:rsid w:val="467B15AE"/>
    <w:rsid w:val="46A56620"/>
    <w:rsid w:val="46B026DA"/>
    <w:rsid w:val="46B42A0C"/>
    <w:rsid w:val="46D851CA"/>
    <w:rsid w:val="46E725EC"/>
    <w:rsid w:val="46EF4DF0"/>
    <w:rsid w:val="46EF7152"/>
    <w:rsid w:val="47003EE0"/>
    <w:rsid w:val="470B3098"/>
    <w:rsid w:val="474F068C"/>
    <w:rsid w:val="475F50A3"/>
    <w:rsid w:val="47904979"/>
    <w:rsid w:val="47B50031"/>
    <w:rsid w:val="47E51E85"/>
    <w:rsid w:val="47FA1287"/>
    <w:rsid w:val="47FB4028"/>
    <w:rsid w:val="481C0CDA"/>
    <w:rsid w:val="4844626E"/>
    <w:rsid w:val="484B184F"/>
    <w:rsid w:val="486401D4"/>
    <w:rsid w:val="48641B10"/>
    <w:rsid w:val="48686BDB"/>
    <w:rsid w:val="48B26F7A"/>
    <w:rsid w:val="48D6451F"/>
    <w:rsid w:val="48D711E9"/>
    <w:rsid w:val="48FE4B50"/>
    <w:rsid w:val="49073CEA"/>
    <w:rsid w:val="49D16627"/>
    <w:rsid w:val="4A244932"/>
    <w:rsid w:val="4A277DCF"/>
    <w:rsid w:val="4A780B39"/>
    <w:rsid w:val="4A7E04C4"/>
    <w:rsid w:val="4A8578A6"/>
    <w:rsid w:val="4A8C305D"/>
    <w:rsid w:val="4AA61B3F"/>
    <w:rsid w:val="4AAD0C21"/>
    <w:rsid w:val="4AC242E5"/>
    <w:rsid w:val="4AE62DB0"/>
    <w:rsid w:val="4B3053A6"/>
    <w:rsid w:val="4B334AEF"/>
    <w:rsid w:val="4B3C65E7"/>
    <w:rsid w:val="4B3E03E4"/>
    <w:rsid w:val="4B462F9B"/>
    <w:rsid w:val="4B4B7B71"/>
    <w:rsid w:val="4B523D1F"/>
    <w:rsid w:val="4B8C321D"/>
    <w:rsid w:val="4BA018A0"/>
    <w:rsid w:val="4BA32825"/>
    <w:rsid w:val="4BAA5A33"/>
    <w:rsid w:val="4BC42BB4"/>
    <w:rsid w:val="4BE2000B"/>
    <w:rsid w:val="4BF24816"/>
    <w:rsid w:val="4BF968BD"/>
    <w:rsid w:val="4C7D7F89"/>
    <w:rsid w:val="4CB26265"/>
    <w:rsid w:val="4CCA435D"/>
    <w:rsid w:val="4CD20D18"/>
    <w:rsid w:val="4CE44CA6"/>
    <w:rsid w:val="4CF21C4E"/>
    <w:rsid w:val="4D021D86"/>
    <w:rsid w:val="4D084097"/>
    <w:rsid w:val="4D0933F1"/>
    <w:rsid w:val="4D3857A8"/>
    <w:rsid w:val="4D5B7978"/>
    <w:rsid w:val="4D7842F3"/>
    <w:rsid w:val="4D7F46B4"/>
    <w:rsid w:val="4D8E6ECD"/>
    <w:rsid w:val="4DC54098"/>
    <w:rsid w:val="4DEB7CDB"/>
    <w:rsid w:val="4DFB08CD"/>
    <w:rsid w:val="4E177D2B"/>
    <w:rsid w:val="4E2F4AE8"/>
    <w:rsid w:val="4E586596"/>
    <w:rsid w:val="4E7D54D1"/>
    <w:rsid w:val="4EB4216F"/>
    <w:rsid w:val="4EC51148"/>
    <w:rsid w:val="4EE6167D"/>
    <w:rsid w:val="4EF84E1A"/>
    <w:rsid w:val="4F0301D8"/>
    <w:rsid w:val="4F3D2BCE"/>
    <w:rsid w:val="4F545534"/>
    <w:rsid w:val="4F7C2E75"/>
    <w:rsid w:val="4F8C2661"/>
    <w:rsid w:val="4FA7680B"/>
    <w:rsid w:val="4FAB0141"/>
    <w:rsid w:val="4FFB0CC0"/>
    <w:rsid w:val="50244588"/>
    <w:rsid w:val="505622BB"/>
    <w:rsid w:val="50870DA9"/>
    <w:rsid w:val="509634BD"/>
    <w:rsid w:val="50D33427"/>
    <w:rsid w:val="50D63DCC"/>
    <w:rsid w:val="50DA2AB9"/>
    <w:rsid w:val="50E33C7D"/>
    <w:rsid w:val="50F419E6"/>
    <w:rsid w:val="51130937"/>
    <w:rsid w:val="51241966"/>
    <w:rsid w:val="516A56E0"/>
    <w:rsid w:val="517777B8"/>
    <w:rsid w:val="51A72505"/>
    <w:rsid w:val="51B47AA9"/>
    <w:rsid w:val="51E1236D"/>
    <w:rsid w:val="523B4F77"/>
    <w:rsid w:val="52AB5723"/>
    <w:rsid w:val="53116F3F"/>
    <w:rsid w:val="531526DC"/>
    <w:rsid w:val="53465272"/>
    <w:rsid w:val="53481C31"/>
    <w:rsid w:val="536F1AF1"/>
    <w:rsid w:val="53801D8B"/>
    <w:rsid w:val="53887198"/>
    <w:rsid w:val="539D38BA"/>
    <w:rsid w:val="53A54549"/>
    <w:rsid w:val="540D52D2"/>
    <w:rsid w:val="5419248F"/>
    <w:rsid w:val="5420737B"/>
    <w:rsid w:val="54784C22"/>
    <w:rsid w:val="54A47143"/>
    <w:rsid w:val="54A922DE"/>
    <w:rsid w:val="54AD45FC"/>
    <w:rsid w:val="54B61E08"/>
    <w:rsid w:val="54D33936"/>
    <w:rsid w:val="54DF51CB"/>
    <w:rsid w:val="550120CD"/>
    <w:rsid w:val="55502006"/>
    <w:rsid w:val="555B1F30"/>
    <w:rsid w:val="55850729"/>
    <w:rsid w:val="559314B8"/>
    <w:rsid w:val="55970F30"/>
    <w:rsid w:val="56383147"/>
    <w:rsid w:val="56493B3F"/>
    <w:rsid w:val="56BA7B97"/>
    <w:rsid w:val="56C00974"/>
    <w:rsid w:val="56E00193"/>
    <w:rsid w:val="570546B6"/>
    <w:rsid w:val="57085330"/>
    <w:rsid w:val="570F4566"/>
    <w:rsid w:val="574A7FE6"/>
    <w:rsid w:val="578515F5"/>
    <w:rsid w:val="5796443F"/>
    <w:rsid w:val="57BB3F80"/>
    <w:rsid w:val="57D0331F"/>
    <w:rsid w:val="58262C2C"/>
    <w:rsid w:val="58390C8D"/>
    <w:rsid w:val="5841015B"/>
    <w:rsid w:val="586516CF"/>
    <w:rsid w:val="58847D5F"/>
    <w:rsid w:val="588562C6"/>
    <w:rsid w:val="588E3DE9"/>
    <w:rsid w:val="58A00174"/>
    <w:rsid w:val="58D802CE"/>
    <w:rsid w:val="58DB2F69"/>
    <w:rsid w:val="58F976A4"/>
    <w:rsid w:val="58FF3A11"/>
    <w:rsid w:val="59203F46"/>
    <w:rsid w:val="59311C62"/>
    <w:rsid w:val="59843C6A"/>
    <w:rsid w:val="599A4253"/>
    <w:rsid w:val="59AF0332"/>
    <w:rsid w:val="59B5223B"/>
    <w:rsid w:val="59F55941"/>
    <w:rsid w:val="5A081CC5"/>
    <w:rsid w:val="5A1631D9"/>
    <w:rsid w:val="5A284778"/>
    <w:rsid w:val="5A382354"/>
    <w:rsid w:val="5A3D0E9A"/>
    <w:rsid w:val="5A4F52F2"/>
    <w:rsid w:val="5A685562"/>
    <w:rsid w:val="5A9738F2"/>
    <w:rsid w:val="5AC678FC"/>
    <w:rsid w:val="5ADD3A7F"/>
    <w:rsid w:val="5B3044B4"/>
    <w:rsid w:val="5C4F5402"/>
    <w:rsid w:val="5CB97030"/>
    <w:rsid w:val="5CBC3F71"/>
    <w:rsid w:val="5CDB4FE6"/>
    <w:rsid w:val="5D1F69D4"/>
    <w:rsid w:val="5D312038"/>
    <w:rsid w:val="5D6D7DD8"/>
    <w:rsid w:val="5D7551E4"/>
    <w:rsid w:val="5D951E96"/>
    <w:rsid w:val="5DAA355E"/>
    <w:rsid w:val="5DB1533C"/>
    <w:rsid w:val="5DB46EC8"/>
    <w:rsid w:val="5DD94B38"/>
    <w:rsid w:val="5E27233B"/>
    <w:rsid w:val="5E540613"/>
    <w:rsid w:val="5E5E18DF"/>
    <w:rsid w:val="5E723E03"/>
    <w:rsid w:val="5E992865"/>
    <w:rsid w:val="5EAE6A49"/>
    <w:rsid w:val="5F25107B"/>
    <w:rsid w:val="5F4905E3"/>
    <w:rsid w:val="5F7925D1"/>
    <w:rsid w:val="5FB15AA1"/>
    <w:rsid w:val="5FD849CF"/>
    <w:rsid w:val="60217093"/>
    <w:rsid w:val="60875A6C"/>
    <w:rsid w:val="608C7BE0"/>
    <w:rsid w:val="60CA2CAE"/>
    <w:rsid w:val="60D7326D"/>
    <w:rsid w:val="60E45D11"/>
    <w:rsid w:val="60E61309"/>
    <w:rsid w:val="61017934"/>
    <w:rsid w:val="61087FAA"/>
    <w:rsid w:val="61103DC8"/>
    <w:rsid w:val="613A71E3"/>
    <w:rsid w:val="61964F66"/>
    <w:rsid w:val="62245612"/>
    <w:rsid w:val="62917406"/>
    <w:rsid w:val="62995239"/>
    <w:rsid w:val="62A01260"/>
    <w:rsid w:val="62D607B4"/>
    <w:rsid w:val="62EF2532"/>
    <w:rsid w:val="62F7478A"/>
    <w:rsid w:val="630B320C"/>
    <w:rsid w:val="631E3720"/>
    <w:rsid w:val="63456869"/>
    <w:rsid w:val="63467BBA"/>
    <w:rsid w:val="638303A8"/>
    <w:rsid w:val="63D21915"/>
    <w:rsid w:val="64025D23"/>
    <w:rsid w:val="64073BC3"/>
    <w:rsid w:val="64332DF8"/>
    <w:rsid w:val="645F0E9C"/>
    <w:rsid w:val="64777EE0"/>
    <w:rsid w:val="64875F7C"/>
    <w:rsid w:val="651151DE"/>
    <w:rsid w:val="651346D9"/>
    <w:rsid w:val="65407929"/>
    <w:rsid w:val="658A2326"/>
    <w:rsid w:val="658E3521"/>
    <w:rsid w:val="659D2CB2"/>
    <w:rsid w:val="65AA4DDA"/>
    <w:rsid w:val="65C01361"/>
    <w:rsid w:val="65D514A1"/>
    <w:rsid w:val="65F94B59"/>
    <w:rsid w:val="66400FD0"/>
    <w:rsid w:val="66770CAA"/>
    <w:rsid w:val="667B2536"/>
    <w:rsid w:val="668A1EC9"/>
    <w:rsid w:val="66CB5488"/>
    <w:rsid w:val="66E2011A"/>
    <w:rsid w:val="676E7F3D"/>
    <w:rsid w:val="67837EE3"/>
    <w:rsid w:val="67A40418"/>
    <w:rsid w:val="67BD3540"/>
    <w:rsid w:val="67D81B6B"/>
    <w:rsid w:val="6849227D"/>
    <w:rsid w:val="68662D72"/>
    <w:rsid w:val="686A495D"/>
    <w:rsid w:val="688E47FE"/>
    <w:rsid w:val="68976726"/>
    <w:rsid w:val="68B22B53"/>
    <w:rsid w:val="68B711D9"/>
    <w:rsid w:val="68E21FF0"/>
    <w:rsid w:val="68FF4E51"/>
    <w:rsid w:val="695E7F9C"/>
    <w:rsid w:val="69B47B0D"/>
    <w:rsid w:val="6A507B8C"/>
    <w:rsid w:val="6A8B7E5B"/>
    <w:rsid w:val="6AB159DF"/>
    <w:rsid w:val="6AB25D96"/>
    <w:rsid w:val="6AC10335"/>
    <w:rsid w:val="6B421B88"/>
    <w:rsid w:val="6B5862AA"/>
    <w:rsid w:val="6BA17709"/>
    <w:rsid w:val="6BAB5A64"/>
    <w:rsid w:val="6C250955"/>
    <w:rsid w:val="6C47124B"/>
    <w:rsid w:val="6C4B0260"/>
    <w:rsid w:val="6C56170E"/>
    <w:rsid w:val="6C8D0EB9"/>
    <w:rsid w:val="6C9D1D44"/>
    <w:rsid w:val="6CBE3B4F"/>
    <w:rsid w:val="6CE347C2"/>
    <w:rsid w:val="6CE7523F"/>
    <w:rsid w:val="6D122E34"/>
    <w:rsid w:val="6D160407"/>
    <w:rsid w:val="6D211248"/>
    <w:rsid w:val="6D6F4EDA"/>
    <w:rsid w:val="6D7762A4"/>
    <w:rsid w:val="6D7B052E"/>
    <w:rsid w:val="6DCD2737"/>
    <w:rsid w:val="6DDB184C"/>
    <w:rsid w:val="6E1E33D1"/>
    <w:rsid w:val="6E3D6999"/>
    <w:rsid w:val="6E4109F5"/>
    <w:rsid w:val="6E56259D"/>
    <w:rsid w:val="6E912274"/>
    <w:rsid w:val="6EAF757C"/>
    <w:rsid w:val="6F182733"/>
    <w:rsid w:val="6F8D3411"/>
    <w:rsid w:val="6F906CD4"/>
    <w:rsid w:val="6FB159AD"/>
    <w:rsid w:val="6FB961E2"/>
    <w:rsid w:val="6FCB36BA"/>
    <w:rsid w:val="6FEA69C1"/>
    <w:rsid w:val="70161521"/>
    <w:rsid w:val="702E51D9"/>
    <w:rsid w:val="707033A5"/>
    <w:rsid w:val="70714D08"/>
    <w:rsid w:val="70752518"/>
    <w:rsid w:val="709014CD"/>
    <w:rsid w:val="709F3CFF"/>
    <w:rsid w:val="70BC5C25"/>
    <w:rsid w:val="70C27F8A"/>
    <w:rsid w:val="70C63FEE"/>
    <w:rsid w:val="70E64CC7"/>
    <w:rsid w:val="70EA114F"/>
    <w:rsid w:val="71306040"/>
    <w:rsid w:val="71334DC6"/>
    <w:rsid w:val="71622092"/>
    <w:rsid w:val="7171012E"/>
    <w:rsid w:val="717109AF"/>
    <w:rsid w:val="71A12E7C"/>
    <w:rsid w:val="71C73196"/>
    <w:rsid w:val="71FA6D8D"/>
    <w:rsid w:val="7205731D"/>
    <w:rsid w:val="7283549C"/>
    <w:rsid w:val="728B087B"/>
    <w:rsid w:val="72977F10"/>
    <w:rsid w:val="729A0E95"/>
    <w:rsid w:val="72B92643"/>
    <w:rsid w:val="72BB2768"/>
    <w:rsid w:val="72DD4504"/>
    <w:rsid w:val="72FE5336"/>
    <w:rsid w:val="73031A6C"/>
    <w:rsid w:val="735C7FDE"/>
    <w:rsid w:val="73727F0B"/>
    <w:rsid w:val="73A00863"/>
    <w:rsid w:val="73AC41D5"/>
    <w:rsid w:val="73DF5CA9"/>
    <w:rsid w:val="740C7A72"/>
    <w:rsid w:val="74221C30"/>
    <w:rsid w:val="744154D6"/>
    <w:rsid w:val="74C726E0"/>
    <w:rsid w:val="74DD06E5"/>
    <w:rsid w:val="74EC5F5A"/>
    <w:rsid w:val="75124946"/>
    <w:rsid w:val="751E0BB4"/>
    <w:rsid w:val="75400D68"/>
    <w:rsid w:val="754D5E80"/>
    <w:rsid w:val="75664839"/>
    <w:rsid w:val="758D48A1"/>
    <w:rsid w:val="75B509AB"/>
    <w:rsid w:val="760C12AB"/>
    <w:rsid w:val="76276E68"/>
    <w:rsid w:val="76592B72"/>
    <w:rsid w:val="7683468F"/>
    <w:rsid w:val="76851400"/>
    <w:rsid w:val="76A47636"/>
    <w:rsid w:val="76D14275"/>
    <w:rsid w:val="76FA0C5F"/>
    <w:rsid w:val="774849C1"/>
    <w:rsid w:val="775904DE"/>
    <w:rsid w:val="775F4D4F"/>
    <w:rsid w:val="77DA095C"/>
    <w:rsid w:val="77FF28EC"/>
    <w:rsid w:val="78124525"/>
    <w:rsid w:val="782F723D"/>
    <w:rsid w:val="78630991"/>
    <w:rsid w:val="786A251A"/>
    <w:rsid w:val="787417A2"/>
    <w:rsid w:val="78952465"/>
    <w:rsid w:val="789F47F1"/>
    <w:rsid w:val="78C706B5"/>
    <w:rsid w:val="78DF5D5C"/>
    <w:rsid w:val="78E533A0"/>
    <w:rsid w:val="79BE083D"/>
    <w:rsid w:val="79D1223C"/>
    <w:rsid w:val="79FD0BDE"/>
    <w:rsid w:val="7A110FD6"/>
    <w:rsid w:val="7A253E75"/>
    <w:rsid w:val="7A4F4CB9"/>
    <w:rsid w:val="7A5955C8"/>
    <w:rsid w:val="7AA51E44"/>
    <w:rsid w:val="7AAB76AF"/>
    <w:rsid w:val="7AC932FC"/>
    <w:rsid w:val="7ACC5005"/>
    <w:rsid w:val="7AFE33C3"/>
    <w:rsid w:val="7B5C60F0"/>
    <w:rsid w:val="7B812AAC"/>
    <w:rsid w:val="7B922AD7"/>
    <w:rsid w:val="7B95174D"/>
    <w:rsid w:val="7BC4481A"/>
    <w:rsid w:val="7BE11BCC"/>
    <w:rsid w:val="7BF42893"/>
    <w:rsid w:val="7C081A8C"/>
    <w:rsid w:val="7C624B2E"/>
    <w:rsid w:val="7C6F042B"/>
    <w:rsid w:val="7D255241"/>
    <w:rsid w:val="7D276660"/>
    <w:rsid w:val="7D4D68A0"/>
    <w:rsid w:val="7D6E2658"/>
    <w:rsid w:val="7D8305B6"/>
    <w:rsid w:val="7D84539F"/>
    <w:rsid w:val="7DBD0984"/>
    <w:rsid w:val="7E0405CD"/>
    <w:rsid w:val="7E0550E8"/>
    <w:rsid w:val="7E3B453C"/>
    <w:rsid w:val="7E501016"/>
    <w:rsid w:val="7E607791"/>
    <w:rsid w:val="7E6C6CF7"/>
    <w:rsid w:val="7E8C74CE"/>
    <w:rsid w:val="7E98303F"/>
    <w:rsid w:val="7E9B2058"/>
    <w:rsid w:val="7EC54E07"/>
    <w:rsid w:val="7EEE1B94"/>
    <w:rsid w:val="7EF60E5A"/>
    <w:rsid w:val="7F194892"/>
    <w:rsid w:val="7F197A40"/>
    <w:rsid w:val="7F1F201E"/>
    <w:rsid w:val="7F7B30AE"/>
    <w:rsid w:val="7F7C4936"/>
    <w:rsid w:val="7F993EE6"/>
    <w:rsid w:val="7FBE66A4"/>
    <w:rsid w:val="7FCE693F"/>
    <w:rsid w:val="7FCF43C0"/>
    <w:rsid w:val="7FD83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7E2E73E-250E-4983-A048-0EFFC709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caption" w:semiHidden="1" w:unhideWhenUsed="1" w:qFormat="1"/>
    <w:lsdException w:name="footnote reference" w:qFormat="1"/>
    <w:lsdException w:name="endnote reference" w:uiPriority="99" w:unhideWhenUsed="1" w:qFormat="1"/>
    <w:lsdException w:name="endnote text" w:uiPriority="99"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ind w:firstLineChars="200" w:firstLine="420"/>
      <w:jc w:val="both"/>
    </w:pPr>
    <w:rPr>
      <w:rFonts w:asciiTheme="minorHAnsi" w:eastAsia="仿宋" w:hAnsiTheme="minorHAnsi" w:cstheme="minorBidi"/>
      <w:kern w:val="2"/>
      <w:sz w:val="24"/>
      <w:szCs w:val="24"/>
    </w:rPr>
  </w:style>
  <w:style w:type="paragraph" w:styleId="1">
    <w:name w:val="heading 1"/>
    <w:basedOn w:val="a"/>
    <w:next w:val="a"/>
    <w:link w:val="10"/>
    <w:qFormat/>
    <w:pPr>
      <w:keepNext/>
      <w:keepLines/>
      <w:outlineLvl w:val="0"/>
    </w:pPr>
    <w:rPr>
      <w:rFonts w:eastAsia="黑体"/>
      <w:kern w:val="44"/>
    </w:rPr>
  </w:style>
  <w:style w:type="paragraph" w:styleId="2">
    <w:name w:val="heading 2"/>
    <w:basedOn w:val="a"/>
    <w:next w:val="a"/>
    <w:unhideWhenUsed/>
    <w:qFormat/>
    <w:pPr>
      <w:keepNext/>
      <w:keepLines/>
      <w:outlineLvl w:val="1"/>
    </w:pPr>
    <w:rPr>
      <w:rFonts w:ascii="Arial" w:eastAsia="楷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endnote text"/>
    <w:basedOn w:val="a"/>
    <w:uiPriority w:val="99"/>
    <w:unhideWhenUsed/>
    <w:qFormat/>
    <w:pPr>
      <w:snapToGrid w:val="0"/>
      <w:jc w:val="left"/>
    </w:pPr>
  </w:style>
  <w:style w:type="paragraph" w:styleId="a5">
    <w:name w:val="footnote text"/>
    <w:basedOn w:val="a"/>
    <w:qFormat/>
    <w:pPr>
      <w:snapToGrid w:val="0"/>
      <w:jc w:val="left"/>
    </w:pPr>
    <w:rPr>
      <w:sz w:val="18"/>
    </w:rPr>
  </w:style>
  <w:style w:type="paragraph" w:styleId="a6">
    <w:name w:val="Normal (Web)"/>
    <w:basedOn w:val="a"/>
    <w:qFormat/>
    <w:pPr>
      <w:spacing w:beforeAutospacing="1" w:afterAutospacing="1"/>
      <w:jc w:val="left"/>
    </w:pPr>
    <w:rPr>
      <w:rFonts w:cs="Times New Roman"/>
      <w:kern w:val="0"/>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character" w:styleId="a9">
    <w:name w:val="endnote reference"/>
    <w:basedOn w:val="a0"/>
    <w:uiPriority w:val="99"/>
    <w:unhideWhenUsed/>
    <w:qFormat/>
    <w:rPr>
      <w:vertAlign w:val="superscript"/>
    </w:rPr>
  </w:style>
  <w:style w:type="character" w:styleId="aa">
    <w:name w:val="Hyperlink"/>
    <w:basedOn w:val="a0"/>
    <w:qFormat/>
    <w:rPr>
      <w:color w:val="0000FF"/>
      <w:u w:val="single"/>
    </w:rPr>
  </w:style>
  <w:style w:type="character" w:styleId="ab">
    <w:name w:val="footnote reference"/>
    <w:basedOn w:val="a0"/>
    <w:qFormat/>
    <w:rPr>
      <w:vertAlign w:val="superscript"/>
    </w:rPr>
  </w:style>
  <w:style w:type="character" w:customStyle="1" w:styleId="10">
    <w:name w:val="标题 1 字符"/>
    <w:link w:val="1"/>
    <w:qFormat/>
    <w:rPr>
      <w:rFonts w:eastAsia="黑体"/>
      <w:kern w:val="44"/>
      <w:sz w:val="24"/>
    </w:rPr>
  </w:style>
  <w:style w:type="character" w:customStyle="1" w:styleId="font01">
    <w:name w:val="font01"/>
    <w:basedOn w:val="a0"/>
    <w:qFormat/>
    <w:rPr>
      <w:rFonts w:ascii="宋体" w:eastAsia="宋体" w:hAnsi="宋体" w:cs="宋体" w:hint="eastAsia"/>
      <w:color w:val="000000"/>
      <w:sz w:val="22"/>
      <w:szCs w:val="22"/>
      <w:u w:val="none"/>
    </w:rPr>
  </w:style>
  <w:style w:type="character" w:customStyle="1" w:styleId="font11">
    <w:name w:val="font11"/>
    <w:basedOn w:val="a0"/>
    <w:qFormat/>
    <w:rPr>
      <w:rFonts w:ascii="宋体" w:eastAsia="宋体" w:hAnsi="宋体" w:cs="宋体" w:hint="eastAsia"/>
      <w:color w:val="FF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378</Words>
  <Characters>2155</Characters>
  <Application>Microsoft Office Word</Application>
  <DocSecurity>0</DocSecurity>
  <Lines>17</Lines>
  <Paragraphs>5</Paragraphs>
  <ScaleCrop>false</ScaleCrop>
  <Company>HP Inc.</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HP</cp:lastModifiedBy>
  <cp:revision>2</cp:revision>
  <dcterms:created xsi:type="dcterms:W3CDTF">2025-01-09T09:29:00Z</dcterms:created>
  <dcterms:modified xsi:type="dcterms:W3CDTF">2025-04-14T02:10:00Z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2989B2EBDDEC46B7884855041EC9FCA7_13</vt:lpwstr>
  </property>
  <property fmtid="{D5CDD505-2E9C-101B-9397-08002B2CF9AE}" pid="4" name="KSOTemplateDocerSaveRecord">
    <vt:lpwstr>eyJoZGlkIjoiODA5MDhkNWQzNWIxNDhjNzIwMWFjYTc0ZjgzOWEzZjAiLCJ1c2VySWQiOiIyNTE2NTQ0NzAifQ==</vt:lpwstr>
  </property>
</Properties>
</file>