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54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新华三组织变革赋能企业数字化转型</w:t>
      </w:r>
    </w:p>
    <w:p>
      <w:pPr>
        <w:ind w:left="2255"/>
        <w:spacing w:before="333" w:line="204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孙恺泽</w:t>
      </w:r>
      <w:r>
        <w:rPr>
          <w:rFonts w:ascii="STKaiti" w:hAnsi="STKaiti" w:eastAsia="STKaiti" w:cs="STKaiti"/>
          <w:sz w:val="30"/>
          <w:szCs w:val="30"/>
          <w:spacing w:val="20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张云霞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欧阳红升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31" w:firstLine="659"/>
        <w:spacing w:before="97" w:line="258" w:lineRule="auto"/>
        <w:jc w:val="both"/>
        <w:rPr/>
      </w:pPr>
      <w:r>
        <w:rPr>
          <w:spacing w:val="-5"/>
        </w:rPr>
        <w:t>自</w:t>
      </w:r>
      <w:r>
        <w:rPr>
          <w:spacing w:val="-31"/>
        </w:rPr>
        <w:t xml:space="preserve"> </w:t>
      </w:r>
      <w:r>
        <w:rPr>
          <w:spacing w:val="-5"/>
        </w:rPr>
        <w:t>2016</w:t>
      </w:r>
      <w:r>
        <w:rPr>
          <w:spacing w:val="-5"/>
        </w:rPr>
        <w:t xml:space="preserve"> </w:t>
      </w:r>
      <w:r>
        <w:rPr>
          <w:spacing w:val="-5"/>
        </w:rPr>
        <w:t>年开始，新华三深度剖析自身问题，开展企业数字</w:t>
      </w:r>
      <w:r>
        <w:rPr>
          <w:spacing w:val="-9"/>
        </w:rPr>
        <w:t>化转型。通过组织架构改革与数字化平台建设，</w:t>
      </w:r>
      <w:r>
        <w:rPr>
          <w:spacing w:val="-12"/>
        </w:rPr>
        <w:t xml:space="preserve"> </w:t>
      </w:r>
      <w:r>
        <w:rPr>
          <w:spacing w:val="-9"/>
        </w:rPr>
        <w:t>实现信息与业务</w:t>
      </w:r>
      <w:r>
        <w:rPr>
          <w:spacing w:val="-2"/>
        </w:rPr>
        <w:t>数字化，产生了降本增效的效果——订单处理时间从9</w:t>
      </w:r>
      <w:r>
        <w:rPr>
          <w:spacing w:val="-54"/>
        </w:rPr>
        <w:t xml:space="preserve"> </w:t>
      </w:r>
      <w:r>
        <w:rPr>
          <w:spacing w:val="-2"/>
        </w:rPr>
        <w:t>小时缩短</w:t>
      </w:r>
      <w:r>
        <w:rPr>
          <w:spacing w:val="-8"/>
        </w:rPr>
        <w:t>到</w:t>
      </w:r>
      <w:r>
        <w:rPr>
          <w:spacing w:val="-53"/>
        </w:rPr>
        <w:t xml:space="preserve"> </w:t>
      </w:r>
      <w:r>
        <w:rPr>
          <w:spacing w:val="-8"/>
        </w:rPr>
        <w:t>8</w:t>
      </w:r>
      <w:r>
        <w:rPr>
          <w:spacing w:val="-54"/>
        </w:rPr>
        <w:t xml:space="preserve"> </w:t>
      </w:r>
      <w:r>
        <w:rPr>
          <w:spacing w:val="-8"/>
        </w:rPr>
        <w:t>分钟；业务资源实现分钟级交付，重点业务线效率提升</w:t>
      </w:r>
      <w:r>
        <w:rPr>
          <w:spacing w:val="-62"/>
        </w:rPr>
        <w:t xml:space="preserve"> </w:t>
      </w:r>
      <w:r>
        <w:rPr>
          <w:spacing w:val="-8"/>
        </w:rPr>
        <w:t>40%-</w:t>
      </w:r>
      <w:r>
        <w:rPr/>
        <w:t xml:space="preserve"> </w:t>
      </w:r>
      <w:r>
        <w:rPr>
          <w:spacing w:val="-11"/>
        </w:rPr>
        <w:t>50%；每年节约</w:t>
      </w:r>
      <w:r>
        <w:rPr>
          <w:spacing w:val="-62"/>
        </w:rPr>
        <w:t xml:space="preserve"> </w:t>
      </w:r>
      <w:r>
        <w:rPr>
          <w:spacing w:val="-11"/>
        </w:rPr>
        <w:t>6000</w:t>
      </w:r>
      <w:r>
        <w:rPr>
          <w:spacing w:val="-49"/>
        </w:rPr>
        <w:t xml:space="preserve"> </w:t>
      </w:r>
      <w:r>
        <w:rPr>
          <w:spacing w:val="-11"/>
        </w:rPr>
        <w:t>人年的人力成本。新华三</w:t>
      </w:r>
      <w:r>
        <w:rPr>
          <w:spacing w:val="-12"/>
        </w:rPr>
        <w:t>积极总结自身经验，</w:t>
      </w:r>
      <w:r>
        <w:rPr>
          <w:spacing w:val="-4"/>
        </w:rPr>
        <w:t>形成“由内向外”的转型方法论，以自身为标杆案例，对外</w:t>
      </w:r>
      <w:r>
        <w:rPr>
          <w:spacing w:val="-5"/>
        </w:rPr>
        <w:t>赋能</w:t>
      </w:r>
      <w:r>
        <w:rPr>
          <w:spacing w:val="-7"/>
        </w:rPr>
        <w:t>企业数字化转型。</w:t>
      </w:r>
    </w:p>
    <w:p>
      <w:pPr>
        <w:pStyle w:val="BodyText"/>
        <w:ind w:left="36" w:right="89" w:firstLine="597"/>
        <w:spacing w:before="281" w:line="259" w:lineRule="auto"/>
        <w:jc w:val="both"/>
        <w:rPr/>
      </w:pPr>
      <w:r>
        <w:rPr>
          <w:spacing w:val="-5"/>
        </w:rPr>
        <w:t>文章从转型背景、架构分析、模式分析、应用成效四个方面</w:t>
      </w:r>
      <w:r>
        <w:rPr>
          <w:spacing w:val="-4"/>
        </w:rPr>
        <w:t>对新华三组织架构与企业数字化转型研究分析</w:t>
      </w:r>
      <w:r>
        <w:rPr>
          <w:spacing w:val="-5"/>
        </w:rPr>
        <w:t>，总结启示，供领</w:t>
      </w:r>
      <w:r>
        <w:rPr>
          <w:spacing w:val="-12"/>
        </w:rPr>
        <w:t>导参考。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一、新华三数字化转型背景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714"/>
        <w:spacing w:before="1" w:line="4332" w:lineRule="exact"/>
        <w:rPr/>
      </w:pPr>
      <w:r>
        <w:rPr>
          <w:position w:val="-86"/>
        </w:rPr>
        <w:drawing>
          <wp:inline distT="0" distB="0" distL="0" distR="0">
            <wp:extent cx="4479035" cy="275082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903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88"/>
        <w:spacing w:before="81" w:line="214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2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H3C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数字化转型与架构改革时间轴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25" w:right="88" w:firstLine="602"/>
        <w:spacing w:before="98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新华三（以下称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H3C</w:t>
      </w:r>
      <w:r>
        <w:rPr>
          <w:rFonts w:ascii="SimSun" w:hAnsi="SimSun" w:eastAsia="SimSun" w:cs="SimSun"/>
          <w:sz w:val="30"/>
          <w:szCs w:val="30"/>
          <w:spacing w:val="-7"/>
        </w:rPr>
        <w:t>）作为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ICT </w:t>
      </w:r>
      <w:r>
        <w:rPr>
          <w:rFonts w:ascii="SimSun" w:hAnsi="SimSun" w:eastAsia="SimSun" w:cs="SimSun"/>
          <w:sz w:val="30"/>
          <w:szCs w:val="30"/>
          <w:spacing w:val="-7"/>
        </w:rPr>
        <w:t>厂商，</w:t>
      </w:r>
      <w:r>
        <w:rPr>
          <w:rFonts w:ascii="SimSun" w:hAnsi="SimSun" w:eastAsia="SimSun" w:cs="SimSun"/>
          <w:sz w:val="30"/>
          <w:szCs w:val="30"/>
          <w:spacing w:val="-8"/>
        </w:rPr>
        <w:t>面临管理工具多、业</w:t>
      </w:r>
      <w:r>
        <w:rPr>
          <w:rFonts w:ascii="SimSun" w:hAnsi="SimSun" w:eastAsia="SimSun" w:cs="SimSun"/>
          <w:sz w:val="30"/>
          <w:szCs w:val="30"/>
          <w:spacing w:val="-4"/>
        </w:rPr>
        <w:t>务系统多、系统壁垒大、问题难定位、数据质量和利用率低、资</w:t>
      </w:r>
      <w:r>
        <w:rPr>
          <w:rFonts w:ascii="SimSun" w:hAnsi="SimSun" w:eastAsia="SimSun" w:cs="SimSun"/>
          <w:sz w:val="30"/>
          <w:szCs w:val="30"/>
          <w:spacing w:val="-1"/>
        </w:rPr>
        <w:t>源底盘不透明等问题。受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2016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年中国信通院《中国数</w:t>
      </w:r>
      <w:r>
        <w:rPr>
          <w:rFonts w:ascii="SimSun" w:hAnsi="SimSun" w:eastAsia="SimSun" w:cs="SimSun"/>
          <w:sz w:val="30"/>
          <w:szCs w:val="30"/>
          <w:spacing w:val="-2"/>
        </w:rPr>
        <w:t>字经济发</w:t>
      </w:r>
    </w:p>
    <w:p>
      <w:pPr>
        <w:spacing w:line="262" w:lineRule="auto"/>
        <w:sectPr>
          <w:pgSz w:w="11907" w:h="16839"/>
          <w:pgMar w:top="1431" w:right="171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6" w:right="13" w:hanging="8"/>
        <w:spacing w:before="8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展白皮书》启发，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H3C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开启 “数字大脑”计划，通过组织架构</w:t>
      </w:r>
      <w:r>
        <w:rPr>
          <w:rFonts w:ascii="SimSun" w:hAnsi="SimSun" w:eastAsia="SimSun" w:cs="SimSun"/>
          <w:sz w:val="30"/>
          <w:szCs w:val="30"/>
          <w:spacing w:val="-3"/>
        </w:rPr>
        <w:t>改革和数字化转型分阶段实现系统和传统业务的数字化重塑。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二、新华三数字化转型架构分析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7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4"/>
        </w:rPr>
        <w:t>（一）</w:t>
      </w:r>
      <w:r>
        <w:rPr>
          <w:rFonts w:ascii="SimSun" w:hAnsi="SimSun" w:eastAsia="SimSun" w:cs="SimSun"/>
          <w:sz w:val="30"/>
          <w:szCs w:val="30"/>
          <w:spacing w:val="-78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4"/>
        </w:rPr>
        <w:t>目标与战略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5" w:right="12" w:firstLine="604"/>
        <w:spacing w:before="97" w:line="24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为建设数字大脑，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H3C </w:t>
      </w:r>
      <w:r>
        <w:rPr>
          <w:rFonts w:ascii="SimSun" w:hAnsi="SimSun" w:eastAsia="SimSun" w:cs="SimSun"/>
          <w:sz w:val="30"/>
          <w:szCs w:val="30"/>
          <w:spacing w:val="-5"/>
        </w:rPr>
        <w:t>提出“云智原生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”战略和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“1335”</w:t>
      </w:r>
      <w:r>
        <w:rPr>
          <w:rFonts w:ascii="SimSun" w:hAnsi="SimSun" w:eastAsia="SimSun" w:cs="SimSun"/>
          <w:sz w:val="30"/>
          <w:szCs w:val="30"/>
          <w:spacing w:val="-6"/>
        </w:rPr>
        <w:t>数字</w:t>
      </w:r>
      <w:r>
        <w:rPr>
          <w:rFonts w:ascii="SimSun" w:hAnsi="SimSun" w:eastAsia="SimSun" w:cs="SimSun"/>
          <w:sz w:val="30"/>
          <w:szCs w:val="30"/>
          <w:spacing w:val="-4"/>
        </w:rPr>
        <w:t>化变革愿景。将数字化转型分为了数字化基础、数字化转型、数</w:t>
      </w:r>
      <w:r>
        <w:rPr>
          <w:rFonts w:ascii="SimSun" w:hAnsi="SimSun" w:eastAsia="SimSun" w:cs="SimSun"/>
          <w:sz w:val="30"/>
          <w:szCs w:val="30"/>
          <w:spacing w:val="-4"/>
        </w:rPr>
        <w:t>字化变革三个阶段，通过数字化空间、数字化流程和数字化组织</w:t>
      </w:r>
      <w:r>
        <w:rPr>
          <w:rFonts w:ascii="SimSun" w:hAnsi="SimSun" w:eastAsia="SimSun" w:cs="SimSun"/>
          <w:sz w:val="30"/>
          <w:szCs w:val="30"/>
          <w:spacing w:val="-4"/>
        </w:rPr>
        <w:t>的变革，实现激发企业管理数字化创新力，助推商业模式和组织</w:t>
      </w:r>
      <w:r>
        <w:rPr>
          <w:rFonts w:ascii="SimSun" w:hAnsi="SimSun" w:eastAsia="SimSun" w:cs="SimSun"/>
          <w:sz w:val="30"/>
          <w:szCs w:val="30"/>
          <w:spacing w:val="-6"/>
        </w:rPr>
        <w:t>模式的智慧升级。</w:t>
      </w:r>
    </w:p>
    <w:p>
      <w:pPr>
        <w:ind w:firstLine="1091"/>
        <w:spacing w:line="4049" w:lineRule="exact"/>
        <w:rPr/>
      </w:pPr>
      <w:r>
        <w:rPr>
          <w:position w:val="-80"/>
        </w:rPr>
        <w:drawing>
          <wp:inline distT="0" distB="0" distL="0" distR="0">
            <wp:extent cx="3995928" cy="257098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5928" cy="257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1"/>
        <w:spacing w:before="69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2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“云智原生”战略与“1335”</w:t>
      </w:r>
      <w:r>
        <w:rPr>
          <w:rFonts w:ascii="KaiTi" w:hAnsi="KaiTi" w:eastAsia="KaiTi" w:cs="KaiTi"/>
          <w:sz w:val="30"/>
          <w:szCs w:val="30"/>
          <w:spacing w:val="-3"/>
        </w:rPr>
        <w:t>数字化变革愿景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firstLine="671"/>
        <w:spacing w:line="3586" w:lineRule="exact"/>
        <w:rPr/>
      </w:pPr>
      <w:r>
        <w:rPr>
          <w:position w:val="-71"/>
        </w:rPr>
        <w:drawing>
          <wp:inline distT="0" distB="0" distL="0" distR="0">
            <wp:extent cx="4436363" cy="227685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363" cy="22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53"/>
        <w:spacing w:before="150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新华三组织架构（2023）</w:t>
      </w:r>
    </w:p>
    <w:p>
      <w:pPr>
        <w:spacing w:line="217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636"/>
        <w:spacing w:before="87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（二）组织架构变化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．一级部门架构改革</w:t>
      </w:r>
    </w:p>
    <w:p>
      <w:pPr>
        <w:ind w:left="25" w:right="13" w:firstLine="650"/>
        <w:spacing w:before="321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自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2019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年开始，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H3C </w:t>
      </w:r>
      <w:r>
        <w:rPr>
          <w:rFonts w:ascii="SimSun" w:hAnsi="SimSun" w:eastAsia="SimSun" w:cs="SimSun"/>
          <w:sz w:val="30"/>
          <w:szCs w:val="30"/>
          <w:spacing w:val="-3"/>
        </w:rPr>
        <w:t>在业务线成立云智产品线、解决方案</w:t>
      </w:r>
      <w:r>
        <w:rPr>
          <w:rFonts w:ascii="SimSun" w:hAnsi="SimSun" w:eastAsia="SimSun" w:cs="SimSun"/>
          <w:sz w:val="30"/>
          <w:szCs w:val="30"/>
          <w:spacing w:val="-9"/>
        </w:rPr>
        <w:t>部、技术战略部，在产品线成立行业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BG</w:t>
      </w:r>
      <w:r>
        <w:rPr>
          <w:rFonts w:ascii="SimSun" w:hAnsi="SimSun" w:eastAsia="SimSun" w:cs="SimSun"/>
          <w:sz w:val="30"/>
          <w:szCs w:val="30"/>
          <w:spacing w:val="-9"/>
        </w:rPr>
        <w:t>、商业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BG </w:t>
      </w:r>
      <w:r>
        <w:rPr>
          <w:rFonts w:ascii="SimSun" w:hAnsi="SimSun" w:eastAsia="SimSun" w:cs="SimSun"/>
          <w:sz w:val="30"/>
          <w:szCs w:val="30"/>
          <w:spacing w:val="-10"/>
        </w:rPr>
        <w:t>等一级部门，</w:t>
      </w:r>
      <w:r>
        <w:rPr>
          <w:rFonts w:ascii="SimSun" w:hAnsi="SimSun" w:eastAsia="SimSun" w:cs="SimSun"/>
          <w:sz w:val="30"/>
          <w:szCs w:val="30"/>
          <w:spacing w:val="-2"/>
        </w:rPr>
        <w:t>在组织架构层适配数字大脑战略和新的商业</w:t>
      </w:r>
      <w:r>
        <w:rPr>
          <w:rFonts w:ascii="SimSun" w:hAnsi="SimSun" w:eastAsia="SimSun" w:cs="SimSun"/>
          <w:sz w:val="30"/>
          <w:szCs w:val="30"/>
          <w:spacing w:val="-3"/>
        </w:rPr>
        <w:t>模式需求。</w:t>
      </w:r>
    </w:p>
    <w:p>
      <w:pPr>
        <w:ind w:left="624"/>
        <w:spacing w:before="281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．产品线架构改革</w:t>
      </w:r>
    </w:p>
    <w:p>
      <w:pPr>
        <w:ind w:left="37" w:right="16" w:firstLine="591"/>
        <w:spacing w:before="323" w:line="26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为实践数字大脑计划，产品线增加三个一级部门，具体职责</w:t>
      </w:r>
      <w:r>
        <w:rPr>
          <w:rFonts w:ascii="SimSun" w:hAnsi="SimSun" w:eastAsia="SimSun" w:cs="SimSun"/>
          <w:sz w:val="30"/>
          <w:szCs w:val="30"/>
          <w:spacing w:val="-6"/>
        </w:rPr>
        <w:t>能力如图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 </w:t>
      </w:r>
      <w:r>
        <w:rPr>
          <w:rFonts w:ascii="SimSun" w:hAnsi="SimSun" w:eastAsia="SimSun" w:cs="SimSun"/>
          <w:sz w:val="30"/>
          <w:szCs w:val="30"/>
          <w:spacing w:val="-6"/>
        </w:rPr>
        <w:t>所示。</w:t>
      </w:r>
    </w:p>
    <w:p>
      <w:pPr>
        <w:ind w:firstLine="906"/>
        <w:spacing w:before="184" w:line="4092" w:lineRule="exact"/>
        <w:rPr/>
      </w:pPr>
      <w:r>
        <w:rPr>
          <w:position w:val="-81"/>
        </w:rPr>
        <w:drawing>
          <wp:inline distT="0" distB="0" distL="0" distR="0">
            <wp:extent cx="4495800" cy="259841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25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202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产品线新增一级部门与对应职能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50" w:right="16" w:firstLine="604"/>
        <w:spacing w:before="9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同时，对信息技术部实现内部改革，由其承担数字大脑平台</w:t>
      </w:r>
      <w:r>
        <w:rPr>
          <w:rFonts w:ascii="SimSun" w:hAnsi="SimSun" w:eastAsia="SimSun" w:cs="SimSun"/>
          <w:sz w:val="30"/>
          <w:szCs w:val="30"/>
          <w:spacing w:val="-4"/>
        </w:rPr>
        <w:t>的开发工作，其改革内容如图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ind w:firstLine="851"/>
        <w:spacing w:line="2645" w:lineRule="exact"/>
        <w:rPr/>
      </w:pPr>
      <w:r>
        <w:rPr>
          <w:position w:val="-52"/>
        </w:rPr>
        <w:drawing>
          <wp:inline distT="0" distB="0" distL="0" distR="0">
            <wp:extent cx="4207763" cy="16794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7763" cy="167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53"/>
        <w:spacing w:before="146" w:line="214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信息技术部改革前后对比</w:t>
      </w:r>
    </w:p>
    <w:p>
      <w:pPr>
        <w:spacing w:line="214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6" w:firstLine="593"/>
        <w:spacing w:before="9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H3C </w:t>
      </w:r>
      <w:r>
        <w:rPr>
          <w:rFonts w:ascii="SimSun" w:hAnsi="SimSun" w:eastAsia="SimSun" w:cs="SimSun"/>
          <w:sz w:val="30"/>
          <w:szCs w:val="30"/>
          <w:spacing w:val="-7"/>
        </w:rPr>
        <w:t>产品线考核方式也进行了改革：从各自为政的营销市场、</w:t>
      </w:r>
      <w:r>
        <w:rPr>
          <w:rFonts w:ascii="SimSun" w:hAnsi="SimSun" w:eastAsia="SimSun" w:cs="SimSun"/>
          <w:sz w:val="30"/>
          <w:szCs w:val="30"/>
          <w:spacing w:val="-8"/>
        </w:rPr>
        <w:t>研发体系、服务运营体系的铁三角关系，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改革为营销</w:t>
      </w:r>
      <w:r>
        <w:rPr>
          <w:rFonts w:ascii="SimSun" w:hAnsi="SimSun" w:eastAsia="SimSun" w:cs="SimSun"/>
          <w:sz w:val="30"/>
          <w:szCs w:val="30"/>
          <w:spacing w:val="-9"/>
        </w:rPr>
        <w:t>产品运营一</w:t>
      </w:r>
      <w:r>
        <w:rPr>
          <w:rFonts w:ascii="SimSun" w:hAnsi="SimSun" w:eastAsia="SimSun" w:cs="SimSun"/>
          <w:sz w:val="30"/>
          <w:szCs w:val="30"/>
          <w:spacing w:val="-4"/>
        </w:rPr>
        <w:t>体化、全生命周期和全链条共负责的考核模式。在考核上实现了</w:t>
      </w:r>
      <w:r>
        <w:rPr>
          <w:rFonts w:ascii="SimSun" w:hAnsi="SimSun" w:eastAsia="SimSun" w:cs="SimSun"/>
          <w:sz w:val="30"/>
          <w:szCs w:val="30"/>
          <w:spacing w:val="-2"/>
        </w:rPr>
        <w:t>利益一致和责任共享，根除了“甩锅”和“不担责”的问题。</w:t>
      </w:r>
    </w:p>
    <w:p>
      <w:pPr>
        <w:ind w:left="621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．业务线架构改革</w:t>
      </w:r>
    </w:p>
    <w:p>
      <w:pPr>
        <w:ind w:left="29" w:right="168" w:firstLine="598"/>
        <w:spacing w:before="320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经过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H3C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商业模式试点，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2022 </w:t>
      </w:r>
      <w:r>
        <w:rPr>
          <w:rFonts w:ascii="SimSun" w:hAnsi="SimSun" w:eastAsia="SimSun" w:cs="SimSun"/>
          <w:sz w:val="30"/>
          <w:szCs w:val="30"/>
          <w:spacing w:val="-4"/>
        </w:rPr>
        <w:t>年成立行业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BG </w:t>
      </w:r>
      <w:r>
        <w:rPr>
          <w:rFonts w:ascii="SimSun" w:hAnsi="SimSun" w:eastAsia="SimSun" w:cs="SimSun"/>
          <w:sz w:val="30"/>
          <w:szCs w:val="30"/>
          <w:spacing w:val="-4"/>
        </w:rPr>
        <w:t>和商业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BG</w:t>
      </w:r>
      <w:r>
        <w:rPr>
          <w:rFonts w:ascii="SimSun" w:hAnsi="SimSun" w:eastAsia="SimSun" w:cs="SimSun"/>
          <w:sz w:val="30"/>
          <w:szCs w:val="30"/>
          <w:spacing w:val="-4"/>
        </w:rPr>
        <w:t>，</w:t>
      </w:r>
      <w:r>
        <w:rPr>
          <w:rFonts w:ascii="SimSun" w:hAnsi="SimSun" w:eastAsia="SimSun" w:cs="SimSun"/>
          <w:sz w:val="30"/>
          <w:szCs w:val="30"/>
          <w:spacing w:val="-3"/>
        </w:rPr>
        <w:t>核心目的是在垂直化行业做到精确细分、明确权责。</w:t>
      </w:r>
    </w:p>
    <w:p>
      <w:pPr>
        <w:ind w:left="634"/>
        <w:spacing w:before="295" w:line="224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</w:t>
      </w:r>
      <w:r>
        <w:rPr>
          <w:rFonts w:ascii="SimSun" w:hAnsi="SimSun" w:eastAsia="SimSun" w:cs="SimSun"/>
          <w:sz w:val="30"/>
          <w:szCs w:val="30"/>
          <w:spacing w:val="-5"/>
        </w:rPr>
        <w:t>）行业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BG</w:t>
      </w:r>
    </w:p>
    <w:p>
      <w:pPr>
        <w:ind w:firstLine="1024"/>
        <w:spacing w:line="3386" w:lineRule="exact"/>
        <w:rPr/>
      </w:pPr>
      <w:r>
        <w:rPr>
          <w:position w:val="-67"/>
        </w:rPr>
        <w:drawing>
          <wp:inline distT="0" distB="0" distL="0" distR="0">
            <wp:extent cx="3989831" cy="215036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9831" cy="215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79"/>
        <w:spacing w:before="86" w:line="217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3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3"/>
        </w:rPr>
        <w:t>6</w:t>
      </w:r>
      <w:r>
        <w:rPr>
          <w:rFonts w:ascii="KaiTi" w:hAnsi="KaiTi" w:eastAsia="KaiTi" w:cs="KaiTi"/>
          <w:sz w:val="30"/>
          <w:szCs w:val="30"/>
          <w:spacing w:val="8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3"/>
        </w:rPr>
        <w:t>行业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3"/>
        </w:rPr>
        <w:t>BG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3"/>
        </w:rPr>
        <w:t>架构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firstLine="681"/>
        <w:spacing w:before="1" w:line="4533" w:lineRule="exact"/>
        <w:rPr/>
      </w:pPr>
      <w:r>
        <w:rPr>
          <w:position w:val="-90"/>
        </w:rPr>
        <w:drawing>
          <wp:inline distT="0" distB="0" distL="0" distR="0">
            <wp:extent cx="4427220" cy="287883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7220" cy="287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79"/>
        <w:spacing w:before="135" w:line="217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4"/>
        </w:rPr>
        <w:t>图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4"/>
        </w:rPr>
        <w:t>7</w:t>
      </w:r>
      <w:r>
        <w:rPr>
          <w:rFonts w:ascii="KaiTi" w:hAnsi="KaiTi" w:eastAsia="KaiTi" w:cs="KaiTi"/>
          <w:sz w:val="30"/>
          <w:szCs w:val="30"/>
          <w:spacing w:val="1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4"/>
        </w:rPr>
        <w:t>商业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4"/>
        </w:rPr>
        <w:t>BG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4"/>
        </w:rPr>
        <w:t>架构</w:t>
      </w:r>
    </w:p>
    <w:p>
      <w:pPr>
        <w:spacing w:line="217" w:lineRule="auto"/>
        <w:sectPr>
          <w:pgSz w:w="11907" w:h="16839"/>
          <w:pgMar w:top="1431" w:right="154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5" w:right="298" w:firstLine="605"/>
        <w:spacing w:before="85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行业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BG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主要客户是内部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A300</w:t>
      </w:r>
      <w:r>
        <w:rPr>
          <w:rFonts w:ascii="SimSun" w:hAnsi="SimSun" w:eastAsia="SimSun" w:cs="SimSun"/>
          <w:sz w:val="30"/>
          <w:szCs w:val="30"/>
          <w:spacing w:val="-3"/>
        </w:rPr>
        <w:t>（行业头部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300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家，内部被</w:t>
      </w:r>
      <w:r>
        <w:rPr>
          <w:rFonts w:ascii="SimSun" w:hAnsi="SimSun" w:eastAsia="SimSun" w:cs="SimSun"/>
          <w:sz w:val="30"/>
          <w:szCs w:val="30"/>
          <w:spacing w:val="-3"/>
        </w:rPr>
        <w:t>定义为“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name</w:t>
      </w:r>
      <w:r>
        <w:rPr>
          <w:rFonts w:ascii="SimSun" w:hAnsi="SimSun" w:eastAsia="SimSun" w:cs="SimSun"/>
          <w:sz w:val="30"/>
          <w:szCs w:val="30"/>
          <w:spacing w:val="-3"/>
        </w:rPr>
        <w:t>”的客户，每年重新筛选</w:t>
      </w:r>
      <w:r>
        <w:rPr>
          <w:rFonts w:ascii="SimSun" w:hAnsi="SimSun" w:eastAsia="SimSun" w:cs="SimSun"/>
          <w:sz w:val="30"/>
          <w:szCs w:val="30"/>
          <w:spacing w:val="-42"/>
        </w:rPr>
        <w:t>），</w:t>
      </w:r>
      <w:r>
        <w:rPr>
          <w:rFonts w:ascii="SimSun" w:hAnsi="SimSun" w:eastAsia="SimSun" w:cs="SimSun"/>
          <w:sz w:val="30"/>
          <w:szCs w:val="30"/>
          <w:spacing w:val="-3"/>
        </w:rPr>
        <w:t>总体负责重装</w:t>
      </w:r>
      <w:r>
        <w:rPr>
          <w:rFonts w:ascii="SimSun" w:hAnsi="SimSun" w:eastAsia="SimSun" w:cs="SimSun"/>
          <w:sz w:val="30"/>
          <w:szCs w:val="30"/>
          <w:spacing w:val="-4"/>
        </w:rPr>
        <w:t>旅解决</w:t>
      </w:r>
      <w:r>
        <w:rPr>
          <w:rFonts w:ascii="SimSun" w:hAnsi="SimSun" w:eastAsia="SimSun" w:cs="SimSun"/>
          <w:sz w:val="30"/>
          <w:szCs w:val="30"/>
          <w:spacing w:val="-2"/>
        </w:rPr>
        <w:t>方案的推广应用。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</w:t>
      </w:r>
      <w:r>
        <w:rPr>
          <w:rFonts w:ascii="SimSun" w:hAnsi="SimSun" w:eastAsia="SimSun" w:cs="SimSun"/>
          <w:sz w:val="30"/>
          <w:szCs w:val="30"/>
          <w:spacing w:val="-2"/>
        </w:rPr>
        <w:t>年底新设立数字能源产线和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spacing w:val="-2"/>
        </w:rPr>
        <w:t>业务部支</w:t>
      </w:r>
      <w:r>
        <w:rPr>
          <w:rFonts w:ascii="SimSun" w:hAnsi="SimSun" w:eastAsia="SimSun" w:cs="SimSun"/>
          <w:sz w:val="30"/>
          <w:szCs w:val="30"/>
          <w:spacing w:val="-8"/>
        </w:rPr>
        <w:t>撑业务管理。</w:t>
      </w:r>
    </w:p>
    <w:p>
      <w:pPr>
        <w:ind w:left="634"/>
        <w:spacing w:before="296" w:line="234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</w:t>
      </w:r>
      <w:r>
        <w:rPr>
          <w:rFonts w:ascii="SimSun" w:hAnsi="SimSun" w:eastAsia="SimSun" w:cs="SimSun"/>
          <w:sz w:val="30"/>
          <w:szCs w:val="30"/>
          <w:spacing w:val="-5"/>
        </w:rPr>
        <w:t>）商业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BG</w:t>
      </w:r>
    </w:p>
    <w:p>
      <w:pPr>
        <w:ind w:left="50" w:firstLine="581"/>
        <w:spacing w:before="320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商业</w:t>
      </w:r>
      <w:r>
        <w:rPr>
          <w:rFonts w:ascii="SimSun" w:hAnsi="SimSun" w:eastAsia="SimSun" w:cs="SimSun"/>
          <w:sz w:val="30"/>
          <w:szCs w:val="30"/>
          <w:spacing w:val="-8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BG </w:t>
      </w:r>
      <w:r>
        <w:rPr>
          <w:rFonts w:ascii="SimSun" w:hAnsi="SimSun" w:eastAsia="SimSun" w:cs="SimSun"/>
          <w:sz w:val="30"/>
          <w:szCs w:val="30"/>
          <w:spacing w:val="-7"/>
        </w:rPr>
        <w:t>主要客户是内部非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A300</w:t>
      </w:r>
      <w:r>
        <w:rPr>
          <w:rFonts w:ascii="SimSun" w:hAnsi="SimSun" w:eastAsia="SimSun" w:cs="SimSun"/>
          <w:sz w:val="30"/>
          <w:szCs w:val="30"/>
          <w:spacing w:val="-7"/>
        </w:rPr>
        <w:t>（内部被定义为“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non-name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”</w:t>
      </w:r>
      <w:r>
        <w:rPr>
          <w:rFonts w:ascii="SimSun" w:hAnsi="SimSun" w:eastAsia="SimSun" w:cs="SimSun"/>
          <w:sz w:val="30"/>
          <w:szCs w:val="30"/>
          <w:spacing w:val="-14"/>
        </w:rPr>
        <w:t>的客户，每年重新筛选</w:t>
      </w:r>
      <w:r>
        <w:rPr>
          <w:rFonts w:ascii="SimSun" w:hAnsi="SimSun" w:eastAsia="SimSun" w:cs="SimSun"/>
          <w:sz w:val="30"/>
          <w:szCs w:val="30"/>
          <w:spacing w:val="-47"/>
        </w:rPr>
        <w:t>），</w:t>
      </w:r>
      <w:r>
        <w:rPr>
          <w:rFonts w:ascii="SimSun" w:hAnsi="SimSun" w:eastAsia="SimSun" w:cs="SimSun"/>
          <w:sz w:val="30"/>
          <w:szCs w:val="30"/>
          <w:spacing w:val="-14"/>
        </w:rPr>
        <w:t>总体负责轻骑兵解决方案的推广应用。</w:t>
      </w:r>
    </w:p>
    <w:p>
      <w:pPr>
        <w:ind w:left="624"/>
        <w:spacing w:before="293" w:line="234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8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．“一把手”工作组</w:t>
      </w:r>
    </w:p>
    <w:p>
      <w:pPr>
        <w:ind w:firstLine="14"/>
        <w:spacing w:before="29" w:line="4546" w:lineRule="exact"/>
        <w:rPr/>
      </w:pPr>
      <w:r>
        <w:rPr>
          <w:position w:val="-90"/>
        </w:rPr>
        <w:drawing>
          <wp:inline distT="0" distB="0" distL="0" distR="0">
            <wp:extent cx="5123688" cy="288645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3688" cy="28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2"/>
        <w:spacing w:before="131" w:line="214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8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数字化改革工作组架构与职责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5" w:right="301" w:firstLine="594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H3C  </w:t>
      </w:r>
      <w:r>
        <w:rPr>
          <w:rFonts w:ascii="SimSun" w:hAnsi="SimSun" w:eastAsia="SimSun" w:cs="SimSun"/>
          <w:sz w:val="30"/>
          <w:szCs w:val="30"/>
          <w:spacing w:val="3"/>
        </w:rPr>
        <w:t>在数字化转型时提出“数字化转型应当为</w:t>
      </w:r>
      <w:r>
        <w:rPr>
          <w:rFonts w:ascii="SimSun" w:hAnsi="SimSun" w:eastAsia="SimSun" w:cs="SimSun"/>
          <w:sz w:val="30"/>
          <w:szCs w:val="30"/>
          <w:spacing w:val="2"/>
        </w:rPr>
        <w:t>‘一把手工</w:t>
      </w:r>
      <w:r>
        <w:rPr>
          <w:rFonts w:ascii="SimSun" w:hAnsi="SimSun" w:eastAsia="SimSun" w:cs="SimSun"/>
          <w:sz w:val="30"/>
          <w:szCs w:val="30"/>
          <w:spacing w:val="-19"/>
        </w:rPr>
        <w:t>程’”，并成立“一把手”工作组，为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H3C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9"/>
        </w:rPr>
        <w:t>的整体转型战略和业务</w:t>
      </w:r>
      <w:r>
        <w:rPr>
          <w:rFonts w:ascii="SimSun" w:hAnsi="SimSun" w:eastAsia="SimSun" w:cs="SimSun"/>
          <w:sz w:val="30"/>
          <w:szCs w:val="30"/>
          <w:spacing w:val="-2"/>
        </w:rPr>
        <w:t>线数字化改造制定各年度目标，并逐步推进</w:t>
      </w:r>
      <w:r>
        <w:rPr>
          <w:rFonts w:ascii="SimSun" w:hAnsi="SimSun" w:eastAsia="SimSun" w:cs="SimSun"/>
          <w:sz w:val="30"/>
          <w:szCs w:val="30"/>
          <w:spacing w:val="-3"/>
        </w:rPr>
        <w:t>转型工作。</w:t>
      </w:r>
    </w:p>
    <w:p>
      <w:pPr>
        <w:ind w:left="636"/>
        <w:spacing w:before="271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（三）</w:t>
      </w:r>
      <w:r>
        <w:rPr>
          <w:rFonts w:ascii="SimSun" w:hAnsi="SimSun" w:eastAsia="SimSun" w:cs="SimSun"/>
          <w:sz w:val="30"/>
          <w:szCs w:val="30"/>
          <w:spacing w:val="-8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数字化转型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．信息数字化</w:t>
      </w:r>
    </w:p>
    <w:p>
      <w:pPr>
        <w:ind w:left="28" w:right="300" w:firstLine="590"/>
        <w:spacing w:before="32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H3C </w:t>
      </w:r>
      <w:r>
        <w:rPr>
          <w:rFonts w:ascii="SimSun" w:hAnsi="SimSun" w:eastAsia="SimSun" w:cs="SimSun"/>
          <w:sz w:val="30"/>
          <w:szCs w:val="30"/>
          <w:spacing w:val="-5"/>
        </w:rPr>
        <w:t>在信息数字化建设中主要依托数字大脑平台：对内</w:t>
      </w:r>
      <w:r>
        <w:rPr>
          <w:rFonts w:ascii="SimSun" w:hAnsi="SimSun" w:eastAsia="SimSun" w:cs="SimSun"/>
          <w:sz w:val="30"/>
          <w:szCs w:val="30"/>
          <w:spacing w:val="-6"/>
        </w:rPr>
        <w:t>包含</w:t>
      </w:r>
      <w:r>
        <w:rPr>
          <w:rFonts w:ascii="SimSun" w:hAnsi="SimSun" w:eastAsia="SimSun" w:cs="SimSun"/>
          <w:sz w:val="30"/>
          <w:szCs w:val="30"/>
          <w:spacing w:val="-4"/>
        </w:rPr>
        <w:t>数字基础设施、业务能力平台、主动安全、统一运维、技术数据</w:t>
      </w:r>
      <w:r>
        <w:rPr>
          <w:rFonts w:ascii="SimSun" w:hAnsi="SimSun" w:eastAsia="SimSun" w:cs="SimSun"/>
          <w:sz w:val="30"/>
          <w:szCs w:val="30"/>
          <w:spacing w:val="-4"/>
        </w:rPr>
        <w:t>决策中心和数据汇总统一平台，为各业务系统和数字化平台提供</w:t>
      </w:r>
    </w:p>
    <w:p>
      <w:pPr>
        <w:spacing w:line="260" w:lineRule="auto"/>
        <w:sectPr>
          <w:pgSz w:w="11907" w:h="16839"/>
          <w:pgMar w:top="1431" w:right="149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5" w:firstLine="2"/>
        <w:spacing w:before="87" w:line="2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数据支持和接口，对支撑业务科学决策；对外可与合作伙伴联合</w:t>
      </w:r>
      <w:r>
        <w:rPr>
          <w:rFonts w:ascii="SimSun" w:hAnsi="SimSun" w:eastAsia="SimSun" w:cs="SimSun"/>
          <w:sz w:val="30"/>
          <w:szCs w:val="30"/>
          <w:spacing w:val="-5"/>
        </w:rPr>
        <w:t>创新，为行业客户赋能。</w:t>
      </w:r>
    </w:p>
    <w:p>
      <w:pPr>
        <w:ind w:firstLine="206"/>
        <w:spacing w:line="3710" w:lineRule="exact"/>
        <w:rPr/>
      </w:pPr>
      <w:r>
        <w:rPr>
          <w:position w:val="-74"/>
        </w:rPr>
        <w:drawing>
          <wp:inline distT="0" distB="0" distL="0" distR="0">
            <wp:extent cx="5020055" cy="235610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0055" cy="235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02"/>
        <w:spacing w:before="84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9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数字大脑架构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firstLine="954"/>
        <w:spacing w:line="1809" w:lineRule="exact"/>
        <w:rPr/>
      </w:pPr>
      <w:r>
        <w:rPr>
          <w:position w:val="-36"/>
        </w:rPr>
        <w:drawing>
          <wp:inline distT="0" distB="0" distL="0" distR="0">
            <wp:extent cx="4172711" cy="114909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2711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27"/>
        <w:spacing w:before="94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10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数字大脑作用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7" w:right="13" w:firstLine="592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H3C </w:t>
      </w:r>
      <w:r>
        <w:rPr>
          <w:rFonts w:ascii="SimSun" w:hAnsi="SimSun" w:eastAsia="SimSun" w:cs="SimSun"/>
          <w:sz w:val="30"/>
          <w:szCs w:val="30"/>
          <w:spacing w:val="-5"/>
        </w:rPr>
        <w:t>深度剖析自身痛点问题，通过数字大脑在统一运维</w:t>
      </w:r>
      <w:r>
        <w:rPr>
          <w:rFonts w:ascii="SimSun" w:hAnsi="SimSun" w:eastAsia="SimSun" w:cs="SimSun"/>
          <w:sz w:val="30"/>
          <w:szCs w:val="30"/>
          <w:spacing w:val="-6"/>
        </w:rPr>
        <w:t>、业</w:t>
      </w:r>
      <w:r>
        <w:rPr>
          <w:rFonts w:ascii="SimSun" w:hAnsi="SimSun" w:eastAsia="SimSun" w:cs="SimSun"/>
          <w:sz w:val="30"/>
          <w:szCs w:val="30"/>
          <w:spacing w:val="-4"/>
        </w:rPr>
        <w:t>务数据、营销、供应链管理、研发管理和生态合作等层面实现降</w:t>
      </w:r>
      <w:r>
        <w:rPr>
          <w:rFonts w:ascii="SimSun" w:hAnsi="SimSun" w:eastAsia="SimSun" w:cs="SimSun"/>
          <w:sz w:val="30"/>
          <w:szCs w:val="30"/>
          <w:spacing w:val="-6"/>
        </w:rPr>
        <w:t>本增效的应用变革。</w:t>
      </w:r>
    </w:p>
    <w:p>
      <w:pPr>
        <w:ind w:left="2410"/>
        <w:spacing w:before="258"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4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痛点问题及应用做法</w:t>
      </w:r>
    </w:p>
    <w:p>
      <w:pPr>
        <w:ind w:firstLine="297"/>
        <w:spacing w:before="132" w:line="3735" w:lineRule="exact"/>
        <w:rPr/>
      </w:pPr>
      <w:r>
        <w:rPr>
          <w:position w:val="-74"/>
        </w:rPr>
        <w:drawing>
          <wp:inline distT="0" distB="0" distL="0" distR="0">
            <wp:extent cx="5003291" cy="237134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3291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35" w:lineRule="exact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624"/>
        <w:spacing w:before="85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．业务数字化</w:t>
      </w:r>
    </w:p>
    <w:p>
      <w:pPr>
        <w:ind w:left="20" w:right="148" w:firstLine="599"/>
        <w:spacing w:before="320" w:line="25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月，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H3C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一站式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ICT</w:t>
      </w:r>
      <w:r>
        <w:rPr>
          <w:rFonts w:ascii="Times New Roman" w:hAnsi="Times New Roman" w:eastAsia="Times New Roman" w:cs="Times New Roman"/>
          <w:sz w:val="30"/>
          <w:szCs w:val="3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销售与服务线上平</w:t>
      </w:r>
      <w:r>
        <w:rPr>
          <w:rFonts w:ascii="SimSun" w:hAnsi="SimSun" w:eastAsia="SimSun" w:cs="SimSun"/>
          <w:sz w:val="30"/>
          <w:szCs w:val="30"/>
          <w:spacing w:val="-4"/>
        </w:rPr>
        <w:t>台上线，</w:t>
      </w:r>
      <w:r>
        <w:rPr>
          <w:rFonts w:ascii="SimSun" w:hAnsi="SimSun" w:eastAsia="SimSun" w:cs="SimSun"/>
          <w:sz w:val="30"/>
          <w:szCs w:val="30"/>
          <w:spacing w:val="-4"/>
        </w:rPr>
        <w:t>借由“产品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+</w:t>
      </w:r>
      <w:r>
        <w:rPr>
          <w:rFonts w:ascii="SimSun" w:hAnsi="SimSun" w:eastAsia="SimSun" w:cs="SimSun"/>
          <w:sz w:val="30"/>
          <w:szCs w:val="30"/>
          <w:spacing w:val="-4"/>
        </w:rPr>
        <w:t>服务”的商城模式，率先引入数字化解决方案的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2C</w:t>
      </w:r>
      <w:r>
        <w:rPr>
          <w:rFonts w:ascii="SimSun" w:hAnsi="SimSun" w:eastAsia="SimSun" w:cs="SimSun"/>
          <w:sz w:val="30"/>
          <w:szCs w:val="30"/>
          <w:spacing w:val="-9"/>
        </w:rPr>
        <w:t>交付方式。其战略定位是： 通过三年的努力，将商城打造成中国</w:t>
      </w:r>
      <w:r>
        <w:rPr>
          <w:rFonts w:ascii="Times New Roman" w:hAnsi="Times New Roman" w:eastAsia="Times New Roman" w:cs="Times New Roman"/>
          <w:sz w:val="30"/>
          <w:szCs w:val="30"/>
        </w:rPr>
        <w:t>2B/ G </w:t>
      </w:r>
      <w:r>
        <w:rPr>
          <w:rFonts w:ascii="SimSun" w:hAnsi="SimSun" w:eastAsia="SimSun" w:cs="SimSun"/>
          <w:sz w:val="30"/>
          <w:szCs w:val="30"/>
        </w:rPr>
        <w:t>领域产品最全、解决方案最丰富、服务与交付最高效</w:t>
      </w:r>
      <w:r>
        <w:rPr>
          <w:rFonts w:ascii="SimSun" w:hAnsi="SimSun" w:eastAsia="SimSun" w:cs="SimSun"/>
          <w:sz w:val="30"/>
          <w:szCs w:val="30"/>
          <w:spacing w:val="-1"/>
        </w:rPr>
        <w:t>的线</w:t>
      </w:r>
      <w:r>
        <w:rPr>
          <w:rFonts w:ascii="SimSun" w:hAnsi="SimSun" w:eastAsia="SimSun" w:cs="SimSun"/>
          <w:sz w:val="30"/>
          <w:szCs w:val="30"/>
          <w:spacing w:val="-10"/>
        </w:rPr>
        <w:t>上商城。</w:t>
      </w:r>
    </w:p>
    <w:p>
      <w:pPr>
        <w:ind w:firstLine="1247"/>
        <w:spacing w:line="1840" w:lineRule="exact"/>
        <w:rPr/>
      </w:pPr>
      <w:r>
        <w:rPr>
          <w:position w:val="-36"/>
        </w:rPr>
        <w:drawing>
          <wp:inline distT="0" distB="0" distL="0" distR="0">
            <wp:extent cx="3800856" cy="116890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0856" cy="11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15"/>
        <w:spacing w:before="79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3"/>
        </w:rPr>
        <w:t>图</w:t>
      </w:r>
      <w:r>
        <w:rPr>
          <w:rFonts w:ascii="KaiTi" w:hAnsi="KaiTi" w:eastAsia="KaiTi" w:cs="KaiTi"/>
          <w:sz w:val="30"/>
          <w:szCs w:val="30"/>
          <w:spacing w:val="-3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3"/>
        </w:rPr>
        <w:t>11</w:t>
      </w:r>
      <w:r>
        <w:rPr>
          <w:rFonts w:ascii="KaiTi" w:hAnsi="KaiTi" w:eastAsia="KaiTi" w:cs="KaiTi"/>
          <w:sz w:val="30"/>
          <w:szCs w:val="30"/>
          <w:spacing w:val="30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3"/>
        </w:rPr>
        <w:t>ICT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3"/>
        </w:rPr>
        <w:t>商城职能与作用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firstLine="1917"/>
        <w:spacing w:line="3096" w:lineRule="exact"/>
        <w:rPr/>
      </w:pPr>
      <w:r>
        <w:rPr>
          <w:position w:val="-61"/>
        </w:rPr>
        <w:drawing>
          <wp:inline distT="0" distB="0" distL="0" distR="0">
            <wp:extent cx="2944367" cy="196595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4367" cy="19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66"/>
        <w:spacing w:before="74" w:line="217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6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6"/>
        </w:rPr>
        <w:t>12</w:t>
      </w:r>
      <w:r>
        <w:rPr>
          <w:rFonts w:ascii="KaiTi" w:hAnsi="KaiTi" w:eastAsia="KaiTi" w:cs="KaiTi"/>
          <w:sz w:val="30"/>
          <w:szCs w:val="30"/>
          <w:spacing w:val="30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6"/>
        </w:rPr>
        <w:t>ICT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6"/>
        </w:rPr>
        <w:t>商城页面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7" w:right="150" w:firstLine="604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商城已上架数万款产品和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300 </w:t>
      </w:r>
      <w:r>
        <w:rPr>
          <w:rFonts w:ascii="SimSun" w:hAnsi="SimSun" w:eastAsia="SimSun" w:cs="SimSun"/>
          <w:sz w:val="30"/>
          <w:szCs w:val="30"/>
          <w:spacing w:val="-5"/>
        </w:rPr>
        <w:t>余个解决方案，并提供金融合</w:t>
      </w:r>
      <w:r>
        <w:rPr>
          <w:rFonts w:ascii="SimSun" w:hAnsi="SimSun" w:eastAsia="SimSun" w:cs="SimSun"/>
          <w:sz w:val="30"/>
          <w:szCs w:val="30"/>
          <w:spacing w:val="-2"/>
        </w:rPr>
        <w:t>作服务。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H3C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通过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ICT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商城实现了业</w:t>
      </w:r>
      <w:r>
        <w:rPr>
          <w:rFonts w:ascii="SimSun" w:hAnsi="SimSun" w:eastAsia="SimSun" w:cs="SimSun"/>
          <w:sz w:val="30"/>
          <w:szCs w:val="30"/>
          <w:spacing w:val="-3"/>
        </w:rPr>
        <w:t>务数字化，完成全新渠道</w:t>
      </w:r>
      <w:r>
        <w:rPr>
          <w:rFonts w:ascii="SimSun" w:hAnsi="SimSun" w:eastAsia="SimSun" w:cs="SimSun"/>
          <w:sz w:val="30"/>
          <w:szCs w:val="30"/>
          <w:spacing w:val="-4"/>
        </w:rPr>
        <w:t>打造、创新金融服务、合作伙伴引入和全品类的对外一站式平台</w:t>
      </w:r>
      <w:r>
        <w:rPr>
          <w:rFonts w:ascii="SimSun" w:hAnsi="SimSun" w:eastAsia="SimSun" w:cs="SimSun"/>
          <w:sz w:val="30"/>
          <w:szCs w:val="30"/>
          <w:spacing w:val="-13"/>
        </w:rPr>
        <w:t>建设。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6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三、新华三数字化转型模式分析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7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7"/>
        </w:rPr>
        <w:t>．“由内向外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7"/>
        </w:rPr>
        <w:t>”的转型方法论</w:t>
      </w:r>
    </w:p>
    <w:p>
      <w:pPr>
        <w:ind w:left="27" w:firstLine="592"/>
        <w:spacing w:before="317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H3C </w:t>
      </w:r>
      <w:r>
        <w:rPr>
          <w:rFonts w:ascii="SimSun" w:hAnsi="SimSun" w:eastAsia="SimSun" w:cs="SimSun"/>
          <w:sz w:val="30"/>
          <w:szCs w:val="30"/>
          <w:spacing w:val="-5"/>
        </w:rPr>
        <w:t>通过总结自身经验，以自身为标杆案例，构建了以</w:t>
      </w:r>
      <w:r>
        <w:rPr>
          <w:rFonts w:ascii="SimSun" w:hAnsi="SimSun" w:eastAsia="SimSun" w:cs="SimSun"/>
          <w:sz w:val="30"/>
          <w:szCs w:val="30"/>
          <w:spacing w:val="-6"/>
        </w:rPr>
        <w:t>数字</w:t>
      </w:r>
      <w:r>
        <w:rPr>
          <w:rFonts w:ascii="SimSun" w:hAnsi="SimSun" w:eastAsia="SimSun" w:cs="SimSun"/>
          <w:sz w:val="30"/>
          <w:szCs w:val="30"/>
          <w:spacing w:val="-15"/>
        </w:rPr>
        <w:t>化转型金字塔、“数字大脑计划”的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STARS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价</w:t>
      </w:r>
      <w:r>
        <w:rPr>
          <w:rFonts w:ascii="SimSun" w:hAnsi="SimSun" w:eastAsia="SimSun" w:cs="SimSun"/>
          <w:sz w:val="30"/>
          <w:szCs w:val="30"/>
          <w:spacing w:val="-16"/>
        </w:rPr>
        <w:t>值体系和“一把手”</w:t>
      </w:r>
    </w:p>
    <w:p>
      <w:pPr>
        <w:spacing w:line="262" w:lineRule="auto"/>
        <w:sectPr>
          <w:pgSz w:w="11907" w:h="16839"/>
          <w:pgMar w:top="1431" w:right="1648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148" w:firstLine="2"/>
        <w:spacing w:before="8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工作组模式为基础的企业数字化转型方法论，为企业数字化转型</w:t>
      </w:r>
      <w:r>
        <w:rPr>
          <w:rFonts w:ascii="SimSun" w:hAnsi="SimSun" w:eastAsia="SimSun" w:cs="SimSun"/>
          <w:sz w:val="30"/>
          <w:szCs w:val="30"/>
          <w:spacing w:val="-7"/>
        </w:rPr>
        <w:t>提供支撑和参考。</w:t>
      </w:r>
    </w:p>
    <w:p>
      <w:pPr>
        <w:ind w:firstLine="162"/>
        <w:spacing w:before="57" w:line="3144" w:lineRule="exact"/>
        <w:rPr/>
      </w:pPr>
      <w:r>
        <w:rPr>
          <w:position w:val="-62"/>
        </w:rPr>
        <w:drawing>
          <wp:inline distT="0" distB="0" distL="0" distR="0">
            <wp:extent cx="5274564" cy="199644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4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65"/>
        <w:spacing w:before="209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STARS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价值体系与数字化转型金字塔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．“一把手”工作组模式保障转型</w:t>
      </w:r>
    </w:p>
    <w:p>
      <w:pPr>
        <w:ind w:left="27" w:right="146" w:firstLine="577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“一把手”工作组模式以领导组为核心，统</w:t>
      </w:r>
      <w:r>
        <w:rPr>
          <w:rFonts w:ascii="SimSun" w:hAnsi="SimSun" w:eastAsia="SimSun" w:cs="SimSun"/>
          <w:sz w:val="30"/>
          <w:szCs w:val="30"/>
          <w:spacing w:val="-2"/>
        </w:rPr>
        <w:t>一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H3C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上下对</w:t>
      </w:r>
      <w:r>
        <w:rPr>
          <w:rFonts w:ascii="SimSun" w:hAnsi="SimSun" w:eastAsia="SimSun" w:cs="SimSun"/>
          <w:sz w:val="30"/>
          <w:szCs w:val="30"/>
          <w:spacing w:val="-4"/>
        </w:rPr>
        <w:t>数字化转型的认知，实现统筹规划、细分指导和解决重大项目的</w:t>
      </w:r>
      <w:r>
        <w:rPr>
          <w:rFonts w:ascii="SimSun" w:hAnsi="SimSun" w:eastAsia="SimSun" w:cs="SimSun"/>
          <w:sz w:val="30"/>
          <w:szCs w:val="30"/>
          <w:spacing w:val="-4"/>
        </w:rPr>
        <w:t>风险，从根本上化解转型的人为阻力。</w:t>
      </w:r>
    </w:p>
    <w:p>
      <w:pPr>
        <w:ind w:left="621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．创新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ICT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面向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2B </w:t>
      </w: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客户的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2C </w:t>
      </w: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交付模式</w:t>
      </w:r>
    </w:p>
    <w:p>
      <w:pPr>
        <w:ind w:left="27" w:right="147" w:firstLine="592"/>
        <w:spacing w:before="324" w:line="25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H3C </w:t>
      </w:r>
      <w:r>
        <w:rPr>
          <w:rFonts w:ascii="SimSun" w:hAnsi="SimSun" w:eastAsia="SimSun" w:cs="SimSun"/>
          <w:sz w:val="30"/>
          <w:szCs w:val="30"/>
          <w:spacing w:val="-1"/>
        </w:rPr>
        <w:t>创新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ICT </w:t>
      </w:r>
      <w:r>
        <w:rPr>
          <w:rFonts w:ascii="SimSun" w:hAnsi="SimSun" w:eastAsia="SimSun" w:cs="SimSun"/>
          <w:sz w:val="30"/>
          <w:szCs w:val="30"/>
          <w:spacing w:val="-1"/>
        </w:rPr>
        <w:t>面向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2B </w:t>
      </w:r>
      <w:r>
        <w:rPr>
          <w:rFonts w:ascii="SimSun" w:hAnsi="SimSun" w:eastAsia="SimSun" w:cs="SimSun"/>
          <w:sz w:val="30"/>
          <w:szCs w:val="30"/>
          <w:spacing w:val="-1"/>
        </w:rPr>
        <w:t>客户的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2C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交付模式主要体现在解决</w:t>
      </w:r>
      <w:r>
        <w:rPr>
          <w:rFonts w:ascii="SimSun" w:hAnsi="SimSun" w:eastAsia="SimSun" w:cs="SimSun"/>
          <w:sz w:val="30"/>
          <w:szCs w:val="30"/>
          <w:spacing w:val="-2"/>
        </w:rPr>
        <w:t>方案深度扩容、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ICT </w:t>
      </w:r>
      <w:r>
        <w:rPr>
          <w:rFonts w:ascii="SimSun" w:hAnsi="SimSun" w:eastAsia="SimSun" w:cs="SimSun"/>
          <w:sz w:val="30"/>
          <w:szCs w:val="30"/>
          <w:spacing w:val="-2"/>
        </w:rPr>
        <w:t>服务全面优化、采购模式升级</w:t>
      </w:r>
      <w:r>
        <w:rPr>
          <w:rFonts w:ascii="SimSun" w:hAnsi="SimSun" w:eastAsia="SimSun" w:cs="SimSun"/>
          <w:sz w:val="30"/>
          <w:szCs w:val="30"/>
          <w:spacing w:val="-3"/>
        </w:rPr>
        <w:t>和创新金融服</w:t>
      </w:r>
      <w:r>
        <w:rPr>
          <w:rFonts w:ascii="SimSun" w:hAnsi="SimSun" w:eastAsia="SimSun" w:cs="SimSun"/>
          <w:sz w:val="30"/>
          <w:szCs w:val="30"/>
          <w:spacing w:val="-7"/>
        </w:rPr>
        <w:t>务四部分，具体内容如下：</w:t>
      </w:r>
    </w:p>
    <w:p>
      <w:pPr>
        <w:ind w:firstLine="131"/>
        <w:spacing w:line="2709" w:lineRule="exact"/>
        <w:rPr/>
      </w:pPr>
      <w:r>
        <w:rPr>
          <w:position w:val="-54"/>
        </w:rPr>
        <w:drawing>
          <wp:inline distT="0" distB="0" distL="0" distR="0">
            <wp:extent cx="5116067" cy="172059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067" cy="17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40"/>
        <w:spacing w:before="112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1"/>
        </w:rPr>
        <w:t>图</w:t>
      </w:r>
      <w:r>
        <w:rPr>
          <w:rFonts w:ascii="KaiTi" w:hAnsi="KaiTi" w:eastAsia="KaiTi" w:cs="KaiTi"/>
          <w:sz w:val="30"/>
          <w:szCs w:val="30"/>
          <w:spacing w:val="-3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1"/>
        </w:rPr>
        <w:t>14</w:t>
      </w:r>
      <w:r>
        <w:rPr>
          <w:rFonts w:ascii="KaiTi" w:hAnsi="KaiTi" w:eastAsia="KaiTi" w:cs="KaiTi"/>
          <w:sz w:val="30"/>
          <w:szCs w:val="30"/>
          <w:spacing w:val="30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1"/>
        </w:rPr>
        <w:t>ICT</w:t>
      </w:r>
      <w:r>
        <w:rPr>
          <w:rFonts w:ascii="KaiTi" w:hAnsi="KaiTi" w:eastAsia="KaiTi" w:cs="KaiTi"/>
          <w:sz w:val="30"/>
          <w:szCs w:val="30"/>
          <w:spacing w:val="-1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1"/>
        </w:rPr>
        <w:t>2C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1"/>
        </w:rPr>
        <w:t>交付模式作用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624"/>
        <w:spacing w:before="98" w:line="234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．生态合作</w:t>
      </w:r>
    </w:p>
    <w:p>
      <w:pPr>
        <w:ind w:left="620"/>
        <w:spacing w:before="31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H3C </w:t>
      </w:r>
      <w:r>
        <w:rPr>
          <w:rFonts w:ascii="SimSun" w:hAnsi="SimSun" w:eastAsia="SimSun" w:cs="SimSun"/>
          <w:sz w:val="30"/>
          <w:szCs w:val="30"/>
          <w:spacing w:val="-1"/>
        </w:rPr>
        <w:t>在广东试运行阅动数字产业孵化园，采取项目</w:t>
      </w:r>
    </w:p>
    <w:p>
      <w:pPr>
        <w:spacing w:line="233" w:lineRule="auto"/>
        <w:sectPr>
          <w:pgSz w:w="11907" w:h="16839"/>
          <w:pgMar w:top="1431" w:right="165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5" w:right="18" w:hanging="30"/>
        <w:spacing w:before="85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“合伙制”，通过孵化地市级的合伙人公司，再</w:t>
      </w:r>
      <w:r>
        <w:rPr>
          <w:rFonts w:ascii="SimSun" w:hAnsi="SimSun" w:eastAsia="SimSun" w:cs="SimSun"/>
          <w:sz w:val="30"/>
          <w:szCs w:val="30"/>
          <w:spacing w:val="-4"/>
        </w:rPr>
        <w:t>授以公司特许经</w:t>
      </w:r>
      <w:r>
        <w:rPr>
          <w:rFonts w:ascii="SimSun" w:hAnsi="SimSun" w:eastAsia="SimSun" w:cs="SimSun"/>
          <w:sz w:val="30"/>
          <w:szCs w:val="30"/>
          <w:spacing w:val="-6"/>
        </w:rPr>
        <w:t>营权，形成外部创业点。</w:t>
      </w:r>
    </w:p>
    <w:p>
      <w:pPr>
        <w:ind w:firstLine="162"/>
        <w:spacing w:before="51" w:line="2215" w:lineRule="exact"/>
        <w:rPr/>
      </w:pPr>
      <w:r>
        <w:rPr>
          <w:position w:val="-44"/>
        </w:rPr>
        <w:drawing>
          <wp:inline distT="0" distB="0" distL="0" distR="0">
            <wp:extent cx="5114544" cy="140665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544" cy="140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27"/>
        <w:spacing w:before="206" w:line="214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15</w:t>
      </w:r>
      <w:r>
        <w:rPr>
          <w:rFonts w:ascii="KaiTi" w:hAnsi="KaiTi" w:eastAsia="KaiTi" w:cs="KaiTi"/>
          <w:sz w:val="30"/>
          <w:szCs w:val="30"/>
          <w:spacing w:val="18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8"/>
        </w:rPr>
        <w:t>阅动模式架构、作用与成效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四、新华三数字化转型变革成效与启示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．营收数量质量双提升</w:t>
      </w:r>
    </w:p>
    <w:p>
      <w:pPr>
        <w:ind w:left="1545"/>
        <w:spacing w:before="304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H3C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营收（来源：紫光集团财报）</w:t>
      </w:r>
    </w:p>
    <w:p>
      <w:pPr>
        <w:ind w:firstLine="1062"/>
        <w:spacing w:before="48" w:line="2361" w:lineRule="exact"/>
        <w:rPr/>
      </w:pPr>
      <w:r>
        <w:rPr>
          <w:position w:val="-47"/>
        </w:rPr>
        <w:drawing>
          <wp:inline distT="0" distB="0" distL="0" distR="0">
            <wp:extent cx="3934967" cy="149961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4967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26" w:right="9" w:firstLine="649"/>
        <w:spacing w:before="99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自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2019 </w:t>
      </w:r>
      <w:r>
        <w:rPr>
          <w:rFonts w:ascii="SimSun" w:hAnsi="SimSun" w:eastAsia="SimSun" w:cs="SimSun"/>
          <w:sz w:val="30"/>
          <w:szCs w:val="30"/>
          <w:spacing w:val="-6"/>
        </w:rPr>
        <w:t>财年开始，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H3C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营收增长率</w:t>
      </w:r>
      <w:r>
        <w:rPr>
          <w:rFonts w:ascii="SimSun" w:hAnsi="SimSun" w:eastAsia="SimSun" w:cs="SimSun"/>
          <w:sz w:val="30"/>
          <w:szCs w:val="30"/>
          <w:spacing w:val="-7"/>
        </w:rPr>
        <w:t>平均约为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12.88%</w:t>
      </w:r>
      <w:r>
        <w:rPr>
          <w:rFonts w:ascii="SimSun" w:hAnsi="SimSun" w:eastAsia="SimSun" w:cs="SimSun"/>
          <w:sz w:val="30"/>
          <w:szCs w:val="30"/>
          <w:spacing w:val="-7"/>
        </w:rPr>
        <w:t>，净利</w:t>
      </w:r>
      <w:r>
        <w:rPr>
          <w:rFonts w:ascii="SimSun" w:hAnsi="SimSun" w:eastAsia="SimSun" w:cs="SimSun"/>
          <w:sz w:val="30"/>
          <w:szCs w:val="30"/>
          <w:spacing w:val="-2"/>
        </w:rPr>
        <w:t>润平均增长率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12.3%</w:t>
      </w:r>
      <w:r>
        <w:rPr>
          <w:rFonts w:ascii="SimSun" w:hAnsi="SimSun" w:eastAsia="SimSun" w:cs="SimSun"/>
          <w:sz w:val="30"/>
          <w:szCs w:val="30"/>
          <w:spacing w:val="-2"/>
        </w:rPr>
        <w:t>，净利润占比基本</w:t>
      </w:r>
      <w:r>
        <w:rPr>
          <w:rFonts w:ascii="SimSun" w:hAnsi="SimSun" w:eastAsia="SimSun" w:cs="SimSun"/>
          <w:sz w:val="30"/>
          <w:szCs w:val="30"/>
          <w:spacing w:val="-3"/>
        </w:rPr>
        <w:t>保持增长。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H3C</w:t>
      </w:r>
      <w:r>
        <w:rPr>
          <w:rFonts w:ascii="SimSun" w:hAnsi="SimSun" w:eastAsia="SimSun" w:cs="SimSun"/>
          <w:sz w:val="30"/>
          <w:szCs w:val="30"/>
          <w:spacing w:val="-5"/>
        </w:rPr>
        <w:t>国内企业业务实现营业收入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391.40 </w:t>
      </w:r>
      <w:r>
        <w:rPr>
          <w:rFonts w:ascii="SimSun" w:hAnsi="SimSun" w:eastAsia="SimSun" w:cs="SimSun"/>
          <w:sz w:val="30"/>
          <w:szCs w:val="30"/>
          <w:spacing w:val="-5"/>
        </w:rPr>
        <w:t>亿元，同比增长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7.95%</w:t>
      </w:r>
      <w:r>
        <w:rPr>
          <w:rFonts w:ascii="SimSun" w:hAnsi="SimSun" w:eastAsia="SimSun" w:cs="SimSun"/>
          <w:sz w:val="30"/>
          <w:szCs w:val="30"/>
          <w:spacing w:val="-5"/>
        </w:rPr>
        <w:t>，多款</w:t>
      </w:r>
      <w:r>
        <w:rPr>
          <w:rFonts w:ascii="SimSun" w:hAnsi="SimSun" w:eastAsia="SimSun" w:cs="SimSun"/>
          <w:sz w:val="30"/>
          <w:szCs w:val="30"/>
          <w:spacing w:val="-4"/>
        </w:rPr>
        <w:t>产品市场份额占据第一或第二。</w:t>
      </w:r>
    </w:p>
    <w:p>
      <w:pPr>
        <w:ind w:left="1320"/>
        <w:spacing w:before="281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H3C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主要产品市场份额（来源：</w:t>
      </w:r>
      <w:r>
        <w:rPr>
          <w:rFonts w:ascii="KaiTi" w:hAnsi="KaiTi" w:eastAsia="KaiTi" w:cs="KaiTi"/>
          <w:sz w:val="30"/>
          <w:szCs w:val="30"/>
          <w:spacing w:val="-8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ID</w:t>
      </w:r>
      <w:r>
        <w:rPr>
          <w:rFonts w:ascii="KaiTi" w:hAnsi="KaiTi" w:eastAsia="KaiTi" w:cs="KaiTi"/>
          <w:sz w:val="30"/>
          <w:szCs w:val="30"/>
          <w:spacing w:val="-5"/>
        </w:rPr>
        <w:t>C）</w:t>
      </w:r>
    </w:p>
    <w:p>
      <w:pPr>
        <w:ind w:firstLine="966"/>
        <w:spacing w:before="54" w:line="2660" w:lineRule="exact"/>
        <w:rPr/>
      </w:pPr>
      <w:r>
        <w:rPr>
          <w:position w:val="-53"/>
        </w:rPr>
        <w:drawing>
          <wp:inline distT="0" distB="0" distL="0" distR="0">
            <wp:extent cx="4062983" cy="168859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2983" cy="168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0" w:lineRule="exact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624"/>
        <w:spacing w:before="85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．业务效率显著提升</w:t>
      </w:r>
    </w:p>
    <w:p>
      <w:pPr>
        <w:ind w:left="28" w:right="80" w:firstLine="590"/>
        <w:spacing w:before="320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H3C </w:t>
      </w:r>
      <w:r>
        <w:rPr>
          <w:rFonts w:ascii="SimSun" w:hAnsi="SimSun" w:eastAsia="SimSun" w:cs="SimSun"/>
          <w:sz w:val="30"/>
          <w:szCs w:val="30"/>
          <w:spacing w:val="-4"/>
        </w:rPr>
        <w:t>通过数字大脑建设和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IT </w:t>
      </w:r>
      <w:r>
        <w:rPr>
          <w:rFonts w:ascii="SimSun" w:hAnsi="SimSun" w:eastAsia="SimSun" w:cs="SimSun"/>
          <w:sz w:val="30"/>
          <w:szCs w:val="30"/>
          <w:spacing w:val="-4"/>
        </w:rPr>
        <w:t>业务上云改造，目前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RPA </w:t>
      </w:r>
      <w:r>
        <w:rPr>
          <w:rFonts w:ascii="SimSun" w:hAnsi="SimSun" w:eastAsia="SimSun" w:cs="SimSun"/>
          <w:sz w:val="30"/>
          <w:szCs w:val="30"/>
          <w:spacing w:val="-4"/>
        </w:rPr>
        <w:t>机器</w:t>
      </w:r>
      <w:r>
        <w:rPr>
          <w:rFonts w:ascii="SimSun" w:hAnsi="SimSun" w:eastAsia="SimSun" w:cs="SimSun"/>
          <w:sz w:val="30"/>
          <w:szCs w:val="30"/>
          <w:spacing w:val="-4"/>
        </w:rPr>
        <w:t>人等数字化应用已经全面赋能业务场景，效率提升显著，具体成</w:t>
      </w:r>
      <w:r>
        <w:rPr>
          <w:rFonts w:ascii="SimSun" w:hAnsi="SimSun" w:eastAsia="SimSun" w:cs="SimSun"/>
          <w:sz w:val="30"/>
          <w:szCs w:val="30"/>
          <w:spacing w:val="-16"/>
        </w:rPr>
        <w:t>效如下：</w:t>
      </w:r>
    </w:p>
    <w:p>
      <w:pPr>
        <w:ind w:left="2146"/>
        <w:spacing w:before="255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4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H3C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数字化转型应用成效</w:t>
      </w:r>
    </w:p>
    <w:p>
      <w:pPr>
        <w:ind w:firstLine="14"/>
        <w:spacing w:before="8" w:line="4946" w:lineRule="exact"/>
        <w:rPr/>
      </w:pPr>
      <w:r>
        <w:rPr>
          <w:position w:val="-98"/>
        </w:rPr>
        <w:drawing>
          <wp:inline distT="0" distB="0" distL="0" distR="0">
            <wp:extent cx="5274563" cy="314096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31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621"/>
        <w:spacing w:before="98" w:line="234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．建议与启示</w:t>
      </w:r>
    </w:p>
    <w:p>
      <w:pPr>
        <w:ind w:left="25" w:right="81" w:firstLine="599"/>
        <w:spacing w:before="323" w:line="24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①参考新华三数字大脑做法，加快企业内部数字化</w:t>
      </w:r>
      <w:r>
        <w:rPr>
          <w:rFonts w:ascii="SimSun" w:hAnsi="SimSun" w:eastAsia="SimSun" w:cs="SimSun"/>
          <w:sz w:val="30"/>
          <w:szCs w:val="30"/>
          <w:spacing w:val="-5"/>
        </w:rPr>
        <w:t>建设，尽</w:t>
      </w:r>
      <w:r>
        <w:rPr>
          <w:rFonts w:ascii="SimSun" w:hAnsi="SimSun" w:eastAsia="SimSun" w:cs="SimSun"/>
          <w:sz w:val="30"/>
          <w:szCs w:val="30"/>
          <w:spacing w:val="-7"/>
        </w:rPr>
        <w:t>快打通集团、各省市、专业公司在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M/B/O </w:t>
      </w:r>
      <w:r>
        <w:rPr>
          <w:rFonts w:ascii="SimSun" w:hAnsi="SimSun" w:eastAsia="SimSun" w:cs="SimSun"/>
          <w:sz w:val="30"/>
          <w:szCs w:val="30"/>
          <w:spacing w:val="-7"/>
        </w:rPr>
        <w:t>域各级系统，实现一个</w:t>
      </w:r>
      <w:r>
        <w:rPr>
          <w:rFonts w:ascii="SimSun" w:hAnsi="SimSun" w:eastAsia="SimSun" w:cs="SimSun"/>
          <w:sz w:val="30"/>
          <w:szCs w:val="30"/>
          <w:spacing w:val="-4"/>
        </w:rPr>
        <w:t>入口访问多个系统，加快完成自身数字化转型；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8" w:right="81" w:firstLine="595"/>
        <w:spacing w:before="99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②对标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H3C</w:t>
      </w:r>
      <w:r>
        <w:rPr>
          <w:rFonts w:ascii="SimSun" w:hAnsi="SimSun" w:eastAsia="SimSun" w:cs="SimSun"/>
          <w:sz w:val="30"/>
          <w:szCs w:val="30"/>
          <w:spacing w:val="-6"/>
        </w:rPr>
        <w:t>“由内向外”方法论，加强标杆案例建设，可选</w:t>
      </w:r>
      <w:r>
        <w:rPr>
          <w:rFonts w:ascii="SimSun" w:hAnsi="SimSun" w:eastAsia="SimSun" w:cs="SimSun"/>
          <w:sz w:val="30"/>
          <w:szCs w:val="30"/>
          <w:spacing w:val="-7"/>
        </w:rPr>
        <w:t>取具备条件的市公司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支局，率先完成数字化改革试点，以自身为</w:t>
      </w:r>
      <w:r>
        <w:rPr>
          <w:rFonts w:ascii="SimSun" w:hAnsi="SimSun" w:eastAsia="SimSun" w:cs="SimSun"/>
          <w:sz w:val="30"/>
          <w:szCs w:val="30"/>
          <w:spacing w:val="-8"/>
        </w:rPr>
        <w:t>案例向客户提供方案；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6" w:firstLine="597"/>
        <w:spacing w:before="98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③对标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ICT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商城，加快天翼云、政企商城等线上商城建设，</w:t>
      </w:r>
      <w:r>
        <w:rPr>
          <w:rFonts w:ascii="SimSun" w:hAnsi="SimSun" w:eastAsia="SimSun" w:cs="SimSun"/>
          <w:sz w:val="30"/>
          <w:szCs w:val="30"/>
          <w:spacing w:val="-4"/>
        </w:rPr>
        <w:t>可尝试引入金融合作服务，融合翼支付金融能力，扩大生态圈及</w:t>
      </w:r>
      <w:r>
        <w:rPr>
          <w:rFonts w:ascii="SimSun" w:hAnsi="SimSun" w:eastAsia="SimSun" w:cs="SimSun"/>
          <w:sz w:val="30"/>
          <w:szCs w:val="30"/>
          <w:spacing w:val="-4"/>
        </w:rPr>
        <w:t>影响力，为中小企业数字化转型赋能。</w:t>
      </w:r>
    </w:p>
    <w:p>
      <w:pPr>
        <w:spacing w:line="246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39"/>
        <w:spacing w:before="168" w:line="216" w:lineRule="auto"/>
        <w:rPr>
          <w:rFonts w:ascii="KaiTi" w:hAnsi="KaiTi" w:eastAsia="KaiTi" w:cs="KaiTi"/>
        </w:rPr>
      </w:pPr>
      <w:r>
        <w:rPr>
          <w:b/>
          <w:bCs/>
          <w:spacing w:val="1"/>
        </w:rPr>
        <w:t>作者简介：</w:t>
      </w:r>
      <w:r>
        <w:rPr>
          <w:rFonts w:ascii="KaiTi" w:hAnsi="KaiTi" w:eastAsia="KaiTi" w:cs="KaiTi"/>
          <w:spacing w:val="1"/>
        </w:rPr>
        <w:t>中国电信股份有限公司研究院/战略发展研究所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211607</wp:posOffset>
            </wp:positionH>
            <wp:positionV relativeFrom="paragraph">
              <wp:posOffset>83967</wp:posOffset>
            </wp:positionV>
            <wp:extent cx="976884" cy="142189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884" cy="142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2514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孙恺泽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【15321059032】</w:t>
      </w:r>
    </w:p>
    <w:p>
      <w:pPr>
        <w:ind w:left="2513" w:right="225" w:firstLine="10"/>
        <w:spacing w:before="120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一级分析师，就职于中国电信研究院，主要从</w:t>
      </w:r>
      <w:r>
        <w:rPr>
          <w:rFonts w:ascii="KaiTi" w:hAnsi="KaiTi" w:eastAsia="KaiTi" w:cs="KaiTi"/>
          <w:sz w:val="28"/>
          <w:szCs w:val="28"/>
          <w:spacing w:val="-1"/>
        </w:rPr>
        <w:t>事组织架构、政企市场战略、数字政府、融媒</w:t>
      </w:r>
      <w:r>
        <w:rPr>
          <w:rFonts w:ascii="KaiTi" w:hAnsi="KaiTi" w:eastAsia="KaiTi" w:cs="KaiTi"/>
          <w:sz w:val="28"/>
          <w:szCs w:val="28"/>
          <w:spacing w:val="-2"/>
        </w:rPr>
        <w:t>体、物联网技术等领域的研究。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136931</wp:posOffset>
            </wp:positionH>
            <wp:positionV relativeFrom="paragraph">
              <wp:posOffset>104931</wp:posOffset>
            </wp:positionV>
            <wp:extent cx="1126236" cy="112471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6236" cy="112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7"/>
        <w:spacing w:before="9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张云霞</w:t>
      </w:r>
    </w:p>
    <w:p>
      <w:pPr>
        <w:ind w:left="2524"/>
        <w:spacing w:before="116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一级分析师，主要从事数字城市、数字化转</w:t>
      </w:r>
    </w:p>
    <w:p>
      <w:pPr>
        <w:ind w:left="2541" w:right="225" w:hanging="17"/>
        <w:spacing w:before="17" w:line="23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型、数字政府、智慧城市、物联网等领域的研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442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251231</wp:posOffset>
            </wp:positionH>
            <wp:positionV relativeFrom="paragraph">
              <wp:posOffset>121182</wp:posOffset>
            </wp:positionV>
            <wp:extent cx="897636" cy="126187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636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5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欧阳红升</w:t>
      </w:r>
    </w:p>
    <w:p>
      <w:pPr>
        <w:ind w:left="2516" w:right="225" w:firstLine="16"/>
        <w:spacing w:before="120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副主任分析师，高级工程师，北京邮电大学硕</w:t>
      </w:r>
      <w:r>
        <w:rPr>
          <w:rFonts w:ascii="KaiTi" w:hAnsi="KaiTi" w:eastAsia="KaiTi" w:cs="KaiTi"/>
          <w:sz w:val="28"/>
          <w:szCs w:val="28"/>
          <w:spacing w:val="-1"/>
        </w:rPr>
        <w:t>士，主要从事政企市场战略、智慧城市、产业</w:t>
      </w:r>
      <w:r>
        <w:rPr>
          <w:rFonts w:ascii="KaiTi" w:hAnsi="KaiTi" w:eastAsia="KaiTi" w:cs="KaiTi"/>
          <w:sz w:val="28"/>
          <w:szCs w:val="28"/>
          <w:spacing w:val="-5"/>
        </w:rPr>
        <w:t>数字化等研究。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image" Target="media/image22.jpeg"/><Relationship Id="rId21" Type="http://schemas.openxmlformats.org/officeDocument/2006/relationships/image" Target="media/image21.jpeg"/><Relationship Id="rId20" Type="http://schemas.openxmlformats.org/officeDocument/2006/relationships/image" Target="media/image20.jpeg"/><Relationship Id="rId2" Type="http://schemas.openxmlformats.org/officeDocument/2006/relationships/image" Target="media/image2.jpeg"/><Relationship Id="rId19" Type="http://schemas.openxmlformats.org/officeDocument/2006/relationships/image" Target="media/image19.jpeg"/><Relationship Id="rId18" Type="http://schemas.openxmlformats.org/officeDocument/2006/relationships/image" Target="media/image18.jpeg"/><Relationship Id="rId17" Type="http://schemas.openxmlformats.org/officeDocument/2006/relationships/image" Target="media/image17.jpeg"/><Relationship Id="rId16" Type="http://schemas.openxmlformats.org/officeDocument/2006/relationships/image" Target="media/image16.jpeg"/><Relationship Id="rId15" Type="http://schemas.openxmlformats.org/officeDocument/2006/relationships/image" Target="media/image15.jpeg"/><Relationship Id="rId14" Type="http://schemas.openxmlformats.org/officeDocument/2006/relationships/image" Target="media/image14.jpeg"/><Relationship Id="rId13" Type="http://schemas.openxmlformats.org/officeDocument/2006/relationships/image" Target="media/image13.jpeg"/><Relationship Id="rId12" Type="http://schemas.openxmlformats.org/officeDocument/2006/relationships/image" Target="media/image12.jpeg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2023-05-08T11:28:55Z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2025-11-04T15:55:15</vt:filetime>
  </property>
</Properties>
</file>