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sz w:val="36"/>
          <w:szCs w:val="44"/>
          <w:lang w:val="en-US" w:eastAsia="zh-CN"/>
        </w:rPr>
      </w:pPr>
      <w:bookmarkStart w:id="1" w:name="_GoBack"/>
      <w:r>
        <w:rPr>
          <w:rFonts w:hint="eastAsia" w:ascii="黑体" w:hAnsi="黑体" w:eastAsia="黑体" w:cs="黑体"/>
          <w:sz w:val="36"/>
          <w:szCs w:val="44"/>
          <w:lang w:val="en-US" w:eastAsia="zh-CN"/>
        </w:rPr>
        <w:t>日本运营商KDDI发展低空业务的路径分析</w:t>
      </w:r>
    </w:p>
    <w:bookmarkEnd w:id="1"/>
    <w:p>
      <w:pPr>
        <w:keepNext w:val="0"/>
        <w:keepLines w:val="0"/>
        <w:widowControl/>
        <w:numPr>
          <w:ilvl w:val="0"/>
          <w:numId w:val="1"/>
        </w:numPr>
        <w:suppressLineNumbers w:val="0"/>
        <w:jc w:val="left"/>
        <w:rPr>
          <w:rFonts w:hint="eastAsia" w:ascii="仿宋_GB2312" w:hAnsi="仿宋" w:eastAsia="仿宋_GB2312"/>
          <w:b/>
          <w:bCs w:val="0"/>
          <w:sz w:val="32"/>
          <w:szCs w:val="32"/>
          <w:lang w:val="en-US" w:eastAsia="zh-CN"/>
        </w:rPr>
      </w:pPr>
      <w:r>
        <w:rPr>
          <w:rFonts w:hint="eastAsia" w:ascii="仿宋_GB2312" w:hAnsi="仿宋" w:eastAsia="仿宋_GB2312"/>
          <w:b/>
          <w:bCs w:val="0"/>
          <w:sz w:val="32"/>
          <w:szCs w:val="32"/>
          <w:lang w:val="en-US" w:eastAsia="zh-CN"/>
        </w:rPr>
        <w:t>日本规范政策法规支持无人机业务开展</w:t>
      </w:r>
    </w:p>
    <w:p>
      <w:pPr>
        <w:keepNext w:val="0"/>
        <w:keepLines w:val="0"/>
        <w:widowControl/>
        <w:suppressLineNumbers w:val="0"/>
        <w:ind w:firstLine="643" w:firstLineChars="200"/>
        <w:jc w:val="left"/>
        <w:rPr>
          <w:rFonts w:hint="default" w:ascii="仿宋_GB2312" w:hAnsi="仿宋" w:eastAsia="仿宋_GB2312"/>
          <w:bCs/>
          <w:sz w:val="32"/>
          <w:szCs w:val="32"/>
          <w:lang w:val="en-US" w:eastAsia="zh-CN"/>
        </w:rPr>
      </w:pPr>
      <w:r>
        <w:rPr>
          <w:rFonts w:hint="eastAsia" w:ascii="仿宋_GB2312" w:hAnsi="仿宋" w:eastAsia="仿宋_GB2312"/>
          <w:b/>
          <w:bCs w:val="0"/>
          <w:sz w:val="32"/>
          <w:szCs w:val="32"/>
          <w:lang w:val="en-US" w:eastAsia="zh-CN"/>
        </w:rPr>
        <w:t>无人机飞行的基础条件：</w:t>
      </w:r>
      <w:r>
        <w:rPr>
          <w:rFonts w:hint="eastAsia" w:ascii="仿宋_GB2312" w:hAnsi="仿宋" w:eastAsia="仿宋_GB2312"/>
          <w:bCs/>
          <w:sz w:val="32"/>
          <w:szCs w:val="32"/>
          <w:lang w:val="en-US" w:eastAsia="zh-CN"/>
        </w:rPr>
        <w:t>在日本，机身和电池总重量为 100 克或以上的无人机被定义为“无人机”（UAV），受《航空法》监管。在日本UAV的使用需要先在</w:t>
      </w:r>
      <w:r>
        <w:rPr>
          <w:rFonts w:hint="default" w:ascii="仿宋_GB2312" w:hAnsi="仿宋" w:eastAsia="仿宋_GB2312"/>
          <w:bCs/>
          <w:sz w:val="32"/>
          <w:szCs w:val="32"/>
          <w:lang w:val="en-US" w:eastAsia="zh-CN"/>
        </w:rPr>
        <w:t>无人驾驶航空器登记处注册，标记注册ID，并配备远程ID功能</w:t>
      </w:r>
      <w:r>
        <w:rPr>
          <w:rFonts w:hint="eastAsia" w:ascii="仿宋_GB2312" w:hAnsi="仿宋" w:eastAsia="仿宋_GB2312"/>
          <w:bCs/>
          <w:sz w:val="32"/>
          <w:szCs w:val="32"/>
          <w:lang w:val="en-US" w:eastAsia="zh-CN"/>
        </w:rPr>
        <w:t>，且</w:t>
      </w:r>
      <w:r>
        <w:rPr>
          <w:rFonts w:hint="default" w:ascii="仿宋_GB2312" w:hAnsi="仿宋" w:eastAsia="仿宋_GB2312"/>
          <w:bCs/>
          <w:sz w:val="32"/>
          <w:szCs w:val="32"/>
          <w:lang w:val="en-US" w:eastAsia="zh-CN"/>
        </w:rPr>
        <w:t>如果注册信息发生变化，必须在15天内提交变更通知，并且每三年需要更新一次注册。</w:t>
      </w:r>
    </w:p>
    <w:p>
      <w:pPr>
        <w:keepNext w:val="0"/>
        <w:keepLines w:val="0"/>
        <w:widowControl/>
        <w:suppressLineNumbers w:val="0"/>
        <w:ind w:firstLine="643" w:firstLineChars="200"/>
        <w:jc w:val="left"/>
        <w:rPr>
          <w:rFonts w:hint="default" w:ascii="仿宋_GB2312" w:hAnsi="仿宋" w:eastAsia="仿宋_GB2312"/>
          <w:bCs/>
          <w:sz w:val="32"/>
          <w:szCs w:val="32"/>
          <w:lang w:val="en-US" w:eastAsia="zh-CN"/>
        </w:rPr>
      </w:pPr>
      <w:r>
        <w:rPr>
          <w:rFonts w:hint="eastAsia" w:ascii="仿宋_GB2312" w:hAnsi="仿宋" w:eastAsia="仿宋_GB2312"/>
          <w:b/>
          <w:bCs w:val="0"/>
          <w:sz w:val="32"/>
          <w:szCs w:val="32"/>
          <w:lang w:val="en-US" w:eastAsia="zh-CN"/>
        </w:rPr>
        <w:t>空域限制：</w:t>
      </w:r>
      <w:r>
        <w:rPr>
          <w:rFonts w:hint="eastAsia" w:ascii="仿宋_GB2312" w:hAnsi="仿宋" w:eastAsia="仿宋_GB2312"/>
          <w:bCs/>
          <w:sz w:val="32"/>
          <w:szCs w:val="32"/>
          <w:lang w:val="en-US" w:eastAsia="zh-CN"/>
        </w:rPr>
        <w:t>1、《航空法》规定在</w:t>
      </w:r>
      <w:r>
        <w:rPr>
          <w:rFonts w:hint="default" w:ascii="仿宋_GB2312" w:hAnsi="仿宋" w:eastAsia="仿宋_GB2312"/>
          <w:bCs/>
          <w:sz w:val="32"/>
          <w:szCs w:val="32"/>
          <w:lang w:val="en-US" w:eastAsia="zh-CN"/>
        </w:rPr>
        <w:t>机场周围区域</w:t>
      </w:r>
      <w:r>
        <w:rPr>
          <w:rFonts w:hint="eastAsia" w:ascii="仿宋_GB2312" w:hAnsi="仿宋" w:eastAsia="仿宋_GB2312"/>
          <w:bCs/>
          <w:sz w:val="32"/>
          <w:szCs w:val="32"/>
          <w:lang w:val="en-US" w:eastAsia="zh-CN"/>
        </w:rPr>
        <w:t>、禁飞区、地面150m以上空域以及人口稠密地区的上空等特殊区域飞行的无人机需要</w:t>
      </w:r>
      <w:r>
        <w:rPr>
          <w:rFonts w:hint="default" w:ascii="仿宋_GB2312" w:hAnsi="仿宋" w:eastAsia="仿宋_GB2312"/>
          <w:bCs/>
          <w:sz w:val="32"/>
          <w:szCs w:val="32"/>
          <w:lang w:val="en-US" w:eastAsia="zh-CN"/>
        </w:rPr>
        <w:t>获得国土交通省的许可</w:t>
      </w:r>
      <w:r>
        <w:rPr>
          <w:rFonts w:hint="eastAsia" w:ascii="仿宋_GB2312" w:hAnsi="仿宋" w:eastAsia="仿宋_GB2312"/>
          <w:bCs/>
          <w:sz w:val="32"/>
          <w:szCs w:val="32"/>
          <w:lang w:val="en-US" w:eastAsia="zh-CN"/>
        </w:rPr>
        <w:t>。2、</w:t>
      </w:r>
      <w:r>
        <w:rPr>
          <w:rFonts w:hint="default" w:ascii="仿宋_GB2312" w:hAnsi="仿宋" w:eastAsia="仿宋_GB2312"/>
          <w:bCs/>
          <w:sz w:val="32"/>
          <w:szCs w:val="32"/>
          <w:lang w:val="en-US" w:eastAsia="zh-CN"/>
        </w:rPr>
        <w:t>《小型无人机禁飞法》规定，</w:t>
      </w:r>
      <w:r>
        <w:rPr>
          <w:rFonts w:hint="eastAsia" w:ascii="仿宋_GB2312" w:hAnsi="仿宋" w:eastAsia="仿宋_GB2312"/>
          <w:bCs/>
          <w:sz w:val="32"/>
          <w:szCs w:val="32"/>
          <w:lang w:val="en-US" w:eastAsia="zh-CN"/>
        </w:rPr>
        <w:t>UAV</w:t>
      </w:r>
      <w:r>
        <w:rPr>
          <w:rFonts w:hint="default" w:ascii="仿宋_GB2312" w:hAnsi="仿宋" w:eastAsia="仿宋_GB2312"/>
          <w:bCs/>
          <w:sz w:val="32"/>
          <w:szCs w:val="32"/>
          <w:lang w:val="en-US" w:eastAsia="zh-CN"/>
        </w:rPr>
        <w:t>在重要设施上空以及在重要设施300米范围内上空飞行的，需要获得设施管理者和/或土地所有者的同意，并事先通知县公共安全委员会。重要设施例如国会大厦、首相官邸、最高法院、核电站。</w:t>
      </w:r>
      <w:r>
        <w:rPr>
          <w:rFonts w:hint="eastAsia" w:ascii="仿宋_GB2312" w:hAnsi="仿宋" w:eastAsia="仿宋_GB2312"/>
          <w:bCs/>
          <w:sz w:val="32"/>
          <w:szCs w:val="32"/>
          <w:lang w:val="en-US" w:eastAsia="zh-CN"/>
        </w:rPr>
        <w:t>3、</w:t>
      </w:r>
      <w:r>
        <w:rPr>
          <w:rFonts w:hint="default" w:ascii="仿宋_GB2312" w:hAnsi="仿宋" w:eastAsia="仿宋_GB2312"/>
          <w:bCs/>
          <w:sz w:val="32"/>
          <w:szCs w:val="32"/>
          <w:lang w:val="en-US" w:eastAsia="zh-CN"/>
        </w:rPr>
        <w:t>重量低于200克的无人机则适用《无人驾驶航空器管理法》。</w:t>
      </w:r>
    </w:p>
    <w:p>
      <w:pPr>
        <w:keepNext w:val="0"/>
        <w:keepLines w:val="0"/>
        <w:widowControl/>
        <w:suppressLineNumbers w:val="0"/>
        <w:ind w:firstLine="643" w:firstLineChars="200"/>
        <w:jc w:val="left"/>
        <w:rPr>
          <w:rFonts w:hint="eastAsia" w:ascii="仿宋_GB2312" w:hAnsi="仿宋" w:eastAsia="仿宋_GB2312"/>
          <w:bCs/>
          <w:sz w:val="32"/>
          <w:szCs w:val="32"/>
          <w:lang w:val="en-US" w:eastAsia="zh-CN"/>
        </w:rPr>
      </w:pPr>
      <w:r>
        <w:rPr>
          <w:rFonts w:hint="eastAsia" w:ascii="仿宋_GB2312" w:hAnsi="仿宋" w:eastAsia="仿宋_GB2312"/>
          <w:b/>
          <w:bCs w:val="0"/>
          <w:sz w:val="32"/>
          <w:szCs w:val="32"/>
          <w:lang w:val="en-US" w:eastAsia="zh-CN"/>
        </w:rPr>
        <w:t>信息传输限制：</w:t>
      </w:r>
      <w:r>
        <w:rPr>
          <w:rFonts w:hint="default" w:ascii="仿宋_GB2312" w:hAnsi="仿宋" w:eastAsia="仿宋_GB2312"/>
          <w:bCs/>
          <w:sz w:val="32"/>
          <w:szCs w:val="32"/>
          <w:lang w:val="en-US" w:eastAsia="zh-CN"/>
        </w:rPr>
        <w:t>无人机的远程控制以及无人机的图像和数据传输都涉及无线电波的使用。当使用无线电设备发射和接收无线电波时，</w:t>
      </w:r>
      <w:r>
        <w:rPr>
          <w:rFonts w:hint="eastAsia" w:ascii="仿宋_GB2312" w:hAnsi="仿宋" w:eastAsia="仿宋_GB2312"/>
          <w:bCs/>
          <w:sz w:val="32"/>
          <w:szCs w:val="32"/>
          <w:lang w:val="en-US" w:eastAsia="zh-CN"/>
        </w:rPr>
        <w:t>需要</w:t>
      </w:r>
      <w:r>
        <w:rPr>
          <w:rFonts w:hint="default" w:ascii="仿宋_GB2312" w:hAnsi="仿宋" w:eastAsia="仿宋_GB2312"/>
          <w:bCs/>
          <w:sz w:val="32"/>
          <w:szCs w:val="32"/>
          <w:lang w:val="en-US" w:eastAsia="zh-CN"/>
        </w:rPr>
        <w:t>根据《无线电法》设立“无线电台”</w:t>
      </w:r>
      <w:r>
        <w:rPr>
          <w:rFonts w:hint="eastAsia" w:ascii="仿宋_GB2312" w:hAnsi="仿宋" w:eastAsia="仿宋_GB2312"/>
          <w:bCs/>
          <w:sz w:val="32"/>
          <w:szCs w:val="32"/>
          <w:lang w:val="en-US" w:eastAsia="zh-CN"/>
        </w:rPr>
        <w:t>并</w:t>
      </w:r>
      <w:r>
        <w:rPr>
          <w:rFonts w:hint="default" w:ascii="仿宋_GB2312" w:hAnsi="仿宋" w:eastAsia="仿宋_GB2312"/>
          <w:bCs/>
          <w:sz w:val="32"/>
          <w:szCs w:val="32"/>
          <w:lang w:val="en-US" w:eastAsia="zh-CN"/>
        </w:rPr>
        <w:t>获得总务</w:t>
      </w:r>
      <w:r>
        <w:rPr>
          <w:rFonts w:hint="eastAsia" w:ascii="仿宋_GB2312" w:hAnsi="仿宋" w:eastAsia="仿宋_GB2312"/>
          <w:bCs/>
          <w:sz w:val="32"/>
          <w:szCs w:val="32"/>
          <w:lang w:val="en-US" w:eastAsia="zh-CN"/>
        </w:rPr>
        <w:t>省</w:t>
      </w:r>
      <w:r>
        <w:rPr>
          <w:rFonts w:hint="default" w:ascii="仿宋_GB2312" w:hAnsi="仿宋" w:eastAsia="仿宋_GB2312"/>
          <w:bCs/>
          <w:sz w:val="32"/>
          <w:szCs w:val="32"/>
          <w:lang w:val="en-US" w:eastAsia="zh-CN"/>
        </w:rPr>
        <w:t>和通信部的许可。</w:t>
      </w:r>
      <w:r>
        <w:rPr>
          <w:rFonts w:hint="eastAsia" w:ascii="仿宋_GB2312" w:hAnsi="仿宋" w:eastAsia="仿宋_GB2312"/>
          <w:bCs/>
          <w:sz w:val="32"/>
          <w:szCs w:val="32"/>
          <w:lang w:val="en-US" w:eastAsia="zh-CN"/>
        </w:rPr>
        <w:t>2020年12月，日本信息通信委员会决定，</w:t>
      </w:r>
      <w:r>
        <w:rPr>
          <w:rFonts w:hint="default" w:ascii="仿宋_GB2312" w:hAnsi="仿宋" w:eastAsia="仿宋_GB2312"/>
          <w:bCs/>
          <w:sz w:val="32"/>
          <w:szCs w:val="32"/>
          <w:lang w:val="en-US" w:eastAsia="zh-CN"/>
        </w:rPr>
        <w:t>允许通过150米以下空域满足特定条件的移动电话终端通过简化程序在无人机上使用。</w:t>
      </w:r>
      <w:r>
        <w:rPr>
          <w:rFonts w:hint="eastAsia" w:ascii="仿宋_GB2312" w:hAnsi="仿宋" w:eastAsia="仿宋_GB2312"/>
          <w:bCs/>
          <w:sz w:val="32"/>
          <w:szCs w:val="32"/>
          <w:lang w:val="en-US" w:eastAsia="zh-CN"/>
        </w:rPr>
        <w:t>2023年</w:t>
      </w:r>
      <w:r>
        <w:rPr>
          <w:rFonts w:hint="default" w:ascii="仿宋_GB2312" w:hAnsi="仿宋" w:eastAsia="仿宋_GB2312"/>
          <w:bCs/>
          <w:sz w:val="32"/>
          <w:szCs w:val="32"/>
          <w:lang w:val="en-US" w:eastAsia="zh-CN"/>
        </w:rPr>
        <w:t>4月</w:t>
      </w:r>
      <w:r>
        <w:rPr>
          <w:rFonts w:hint="eastAsia" w:ascii="仿宋_GB2312" w:hAnsi="仿宋" w:eastAsia="仿宋_GB2312"/>
          <w:bCs/>
          <w:sz w:val="32"/>
          <w:szCs w:val="32"/>
          <w:lang w:val="en-US" w:eastAsia="zh-CN"/>
        </w:rPr>
        <w:t>后</w:t>
      </w:r>
      <w:r>
        <w:rPr>
          <w:rFonts w:hint="default" w:ascii="仿宋_GB2312" w:hAnsi="仿宋" w:eastAsia="仿宋_GB2312"/>
          <w:bCs/>
          <w:sz w:val="32"/>
          <w:szCs w:val="32"/>
          <w:lang w:val="en-US" w:eastAsia="zh-CN"/>
        </w:rPr>
        <w:t>，</w:t>
      </w:r>
      <w:r>
        <w:rPr>
          <w:rFonts w:hint="eastAsia" w:ascii="仿宋_GB2312" w:hAnsi="仿宋" w:eastAsia="仿宋_GB2312"/>
          <w:bCs/>
          <w:sz w:val="32"/>
          <w:szCs w:val="32"/>
          <w:lang w:val="en-US" w:eastAsia="zh-CN"/>
        </w:rPr>
        <w:t>有</w:t>
      </w:r>
      <w:r>
        <w:rPr>
          <w:rFonts w:hint="default" w:ascii="仿宋_GB2312" w:hAnsi="仿宋" w:eastAsia="仿宋_GB2312"/>
          <w:bCs/>
          <w:sz w:val="32"/>
          <w:szCs w:val="32"/>
          <w:lang w:val="en-US" w:eastAsia="zh-CN"/>
        </w:rPr>
        <w:t>通过简化程序，</w:t>
      </w:r>
      <w:r>
        <w:rPr>
          <w:rFonts w:hint="eastAsia" w:ascii="仿宋_GB2312" w:hAnsi="仿宋" w:eastAsia="仿宋_GB2312"/>
          <w:bCs/>
          <w:sz w:val="32"/>
          <w:szCs w:val="32"/>
          <w:lang w:val="en-US" w:eastAsia="zh-CN"/>
        </w:rPr>
        <w:t>对</w:t>
      </w:r>
      <w:r>
        <w:rPr>
          <w:rFonts w:hint="default" w:ascii="仿宋_GB2312" w:hAnsi="仿宋" w:eastAsia="仿宋_GB2312"/>
          <w:bCs/>
          <w:sz w:val="32"/>
          <w:szCs w:val="32"/>
          <w:lang w:val="en-US" w:eastAsia="zh-CN"/>
        </w:rPr>
        <w:t>150m</w:t>
      </w:r>
      <w:r>
        <w:rPr>
          <w:rFonts w:hint="eastAsia" w:ascii="仿宋_GB2312" w:hAnsi="仿宋" w:eastAsia="仿宋_GB2312"/>
          <w:bCs/>
          <w:sz w:val="32"/>
          <w:szCs w:val="32"/>
          <w:lang w:val="en-US" w:eastAsia="zh-CN"/>
        </w:rPr>
        <w:t>上的飞行活动也开放了许可</w:t>
      </w:r>
      <w:r>
        <w:rPr>
          <w:rFonts w:hint="default" w:ascii="仿宋_GB2312" w:hAnsi="仿宋" w:eastAsia="仿宋_GB2312"/>
          <w:bCs/>
          <w:sz w:val="32"/>
          <w:szCs w:val="32"/>
          <w:lang w:val="en-US" w:eastAsia="zh-CN"/>
        </w:rPr>
        <w:t>。</w:t>
      </w:r>
      <w:r>
        <w:rPr>
          <w:rFonts w:hint="eastAsia" w:ascii="仿宋_GB2312" w:hAnsi="仿宋" w:eastAsia="仿宋_GB2312"/>
          <w:bCs/>
          <w:sz w:val="32"/>
          <w:szCs w:val="32"/>
          <w:lang w:val="en-US" w:eastAsia="zh-CN"/>
        </w:rPr>
        <w:t>2025年4月，允许5.2GHz频段用于无线LAN，并将应用场景扩展到无人机应用上。2025年5月，则进一步允许现有5G技术在无人机上应用。</w:t>
      </w:r>
    </w:p>
    <w:tbl>
      <w:tblPr>
        <w:tblStyle w:val="9"/>
        <w:tblpPr w:leftFromText="180" w:rightFromText="180" w:vertAnchor="text" w:horzAnchor="page" w:tblpX="1806" w:tblpY="6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67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pPr>
              <w:keepNext w:val="0"/>
              <w:keepLines w:val="0"/>
              <w:widowControl/>
              <w:suppressLineNumbers w:val="0"/>
              <w:jc w:val="distribute"/>
              <w:rPr>
                <w:rFonts w:hint="default" w:ascii="仿宋_GB2312" w:hAnsi="仿宋" w:eastAsia="仿宋_GB2312"/>
                <w:bCs/>
                <w:sz w:val="32"/>
                <w:szCs w:val="32"/>
                <w:vertAlign w:val="baseline"/>
                <w:lang w:val="en-US" w:eastAsia="zh-CN"/>
              </w:rPr>
            </w:pPr>
            <w:r>
              <w:rPr>
                <w:rFonts w:hint="eastAsia" w:ascii="仿宋_GB2312" w:hAnsi="仿宋" w:eastAsia="仿宋_GB2312"/>
                <w:bCs/>
                <w:sz w:val="32"/>
                <w:szCs w:val="32"/>
                <w:vertAlign w:val="baseline"/>
                <w:lang w:val="en-US" w:eastAsia="zh-CN"/>
              </w:rPr>
              <w:t>通信方式</w:t>
            </w:r>
          </w:p>
        </w:tc>
        <w:tc>
          <w:tcPr>
            <w:tcW w:w="6722" w:type="dxa"/>
          </w:tcPr>
          <w:p>
            <w:pPr>
              <w:keepNext w:val="0"/>
              <w:keepLines w:val="0"/>
              <w:widowControl/>
              <w:suppressLineNumbers w:val="0"/>
              <w:jc w:val="center"/>
              <w:rPr>
                <w:rFonts w:hint="default" w:ascii="仿宋_GB2312" w:hAnsi="仿宋" w:eastAsia="微软雅黑"/>
                <w:bCs/>
                <w:sz w:val="32"/>
                <w:szCs w:val="32"/>
                <w:vertAlign w:val="baseline"/>
                <w:lang w:val="en-US" w:eastAsia="zh-CN"/>
              </w:rPr>
            </w:pPr>
            <w:r>
              <w:rPr>
                <w:rStyle w:val="12"/>
                <w:rFonts w:ascii="微软雅黑" w:hAnsi="微软雅黑" w:eastAsia="微软雅黑" w:cs="微软雅黑"/>
                <w:b w:val="0"/>
                <w:bCs w:val="0"/>
                <w:i w:val="0"/>
                <w:iCs w:val="0"/>
                <w:caps w:val="0"/>
                <w:color w:val="222222"/>
                <w:spacing w:val="0"/>
                <w:sz w:val="21"/>
                <w:szCs w:val="21"/>
                <w:vertAlign w:val="baseline"/>
              </w:rPr>
              <w:t>4G</w:t>
            </w:r>
            <w:r>
              <w:rPr>
                <w:rStyle w:val="12"/>
                <w:rFonts w:hint="eastAsia" w:ascii="微软雅黑" w:hAnsi="微软雅黑" w:eastAsia="微软雅黑" w:cs="微软雅黑"/>
                <w:b w:val="0"/>
                <w:bCs w:val="0"/>
                <w:i w:val="0"/>
                <w:iCs w:val="0"/>
                <w:caps w:val="0"/>
                <w:color w:val="222222"/>
                <w:spacing w:val="0"/>
                <w:sz w:val="21"/>
                <w:szCs w:val="21"/>
                <w:vertAlign w:val="baseline"/>
                <w:lang w:eastAsia="zh-CN"/>
              </w:rPr>
              <w:t>、</w:t>
            </w:r>
            <w:r>
              <w:rPr>
                <w:rStyle w:val="12"/>
                <w:rFonts w:hint="eastAsia" w:ascii="微软雅黑" w:hAnsi="微软雅黑" w:eastAsia="微软雅黑" w:cs="微软雅黑"/>
                <w:b w:val="0"/>
                <w:bCs w:val="0"/>
                <w:i w:val="0"/>
                <w:iCs w:val="0"/>
                <w:caps w:val="0"/>
                <w:color w:val="222222"/>
                <w:spacing w:val="0"/>
                <w:sz w:val="21"/>
                <w:szCs w:val="21"/>
                <w:vertAlign w:val="baseline"/>
              </w:rPr>
              <w:t>5G</w:t>
            </w:r>
            <w:r>
              <w:rPr>
                <w:rStyle w:val="12"/>
                <w:rFonts w:hint="eastAsia" w:ascii="微软雅黑" w:hAnsi="微软雅黑" w:eastAsia="微软雅黑" w:cs="微软雅黑"/>
                <w:b w:val="0"/>
                <w:bCs w:val="0"/>
                <w:i w:val="0"/>
                <w:iCs w:val="0"/>
                <w:caps w:val="0"/>
                <w:color w:val="222222"/>
                <w:spacing w:val="0"/>
                <w:sz w:val="21"/>
                <w:szCs w:val="21"/>
                <w:vertAlign w:val="baseline"/>
                <w:lang w:eastAsia="zh-CN"/>
              </w:rPr>
              <w:t>、</w:t>
            </w:r>
            <w:r>
              <w:rPr>
                <w:rStyle w:val="12"/>
                <w:rFonts w:hint="eastAsia" w:ascii="微软雅黑" w:hAnsi="微软雅黑" w:eastAsia="微软雅黑" w:cs="微软雅黑"/>
                <w:b w:val="0"/>
                <w:bCs w:val="0"/>
                <w:i w:val="0"/>
                <w:iCs w:val="0"/>
                <w:caps w:val="0"/>
                <w:color w:val="222222"/>
                <w:spacing w:val="0"/>
                <w:sz w:val="21"/>
                <w:szCs w:val="21"/>
                <w:vertAlign w:val="baseline"/>
                <w:lang w:val="en-US" w:eastAsia="zh-CN"/>
              </w:rPr>
              <w:t>BWA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pPr>
              <w:keepNext w:val="0"/>
              <w:keepLines w:val="0"/>
              <w:widowControl/>
              <w:suppressLineNumbers w:val="0"/>
              <w:jc w:val="distribute"/>
              <w:rPr>
                <w:rFonts w:hint="default" w:ascii="仿宋_GB2312" w:hAnsi="仿宋" w:eastAsia="仿宋_GB2312"/>
                <w:bCs/>
                <w:sz w:val="32"/>
                <w:szCs w:val="32"/>
                <w:vertAlign w:val="baseline"/>
                <w:lang w:val="en-US" w:eastAsia="zh-CN"/>
              </w:rPr>
            </w:pPr>
            <w:r>
              <w:rPr>
                <w:rFonts w:hint="eastAsia" w:ascii="仿宋_GB2312" w:hAnsi="仿宋" w:eastAsia="仿宋_GB2312"/>
                <w:bCs/>
                <w:sz w:val="32"/>
                <w:szCs w:val="32"/>
                <w:vertAlign w:val="baseline"/>
                <w:lang w:val="en-US" w:eastAsia="zh-CN"/>
              </w:rPr>
              <w:t>频段</w:t>
            </w:r>
          </w:p>
        </w:tc>
        <w:tc>
          <w:tcPr>
            <w:tcW w:w="6722" w:type="dxa"/>
          </w:tcPr>
          <w:p>
            <w:pPr>
              <w:keepNext w:val="0"/>
              <w:keepLines w:val="0"/>
              <w:widowControl/>
              <w:suppressLineNumbers w:val="0"/>
              <w:jc w:val="left"/>
              <w:rPr>
                <w:rStyle w:val="12"/>
                <w:rFonts w:hint="eastAsia" w:ascii="微软雅黑" w:hAnsi="微软雅黑" w:eastAsia="微软雅黑" w:cs="微软雅黑"/>
                <w:b w:val="0"/>
                <w:bCs w:val="0"/>
                <w:i w:val="0"/>
                <w:iCs w:val="0"/>
                <w:caps w:val="0"/>
                <w:color w:val="222222"/>
                <w:spacing w:val="0"/>
                <w:sz w:val="21"/>
                <w:szCs w:val="21"/>
                <w:vertAlign w:val="baseline"/>
                <w:lang w:val="en-US" w:eastAsia="zh-CN"/>
              </w:rPr>
            </w:pPr>
            <w:r>
              <w:rPr>
                <w:rStyle w:val="12"/>
                <w:rFonts w:hint="eastAsia" w:ascii="微软雅黑" w:hAnsi="微软雅黑" w:eastAsia="微软雅黑" w:cs="微软雅黑"/>
                <w:b w:val="0"/>
                <w:bCs w:val="0"/>
                <w:i w:val="0"/>
                <w:iCs w:val="0"/>
                <w:caps w:val="0"/>
                <w:color w:val="222222"/>
                <w:spacing w:val="0"/>
                <w:sz w:val="21"/>
                <w:szCs w:val="21"/>
                <w:vertAlign w:val="baseline"/>
                <w:lang w:val="en-US" w:eastAsia="zh-CN"/>
              </w:rPr>
              <w:t>4G/5G：800MHz、900MHz、1.7GHz、2GHz 、4.7GHz 和 28GHz</w:t>
            </w:r>
          </w:p>
          <w:p>
            <w:pPr>
              <w:keepNext w:val="0"/>
              <w:keepLines w:val="0"/>
              <w:widowControl/>
              <w:suppressLineNumbers w:val="0"/>
              <w:jc w:val="left"/>
              <w:rPr>
                <w:rStyle w:val="12"/>
                <w:rFonts w:hint="eastAsia" w:ascii="微软雅黑" w:hAnsi="微软雅黑" w:eastAsia="微软雅黑" w:cs="微软雅黑"/>
                <w:b w:val="0"/>
                <w:bCs w:val="0"/>
                <w:i w:val="0"/>
                <w:iCs w:val="0"/>
                <w:caps w:val="0"/>
                <w:color w:val="222222"/>
                <w:spacing w:val="0"/>
                <w:sz w:val="21"/>
                <w:szCs w:val="21"/>
                <w:vertAlign w:val="baseline"/>
                <w:lang w:val="en-US" w:eastAsia="zh-CN"/>
              </w:rPr>
            </w:pPr>
            <w:r>
              <w:rPr>
                <w:rStyle w:val="12"/>
                <w:rFonts w:hint="eastAsia" w:ascii="微软雅黑" w:hAnsi="微软雅黑" w:eastAsia="微软雅黑" w:cs="微软雅黑"/>
                <w:b w:val="0"/>
                <w:bCs w:val="0"/>
                <w:i w:val="0"/>
                <w:iCs w:val="0"/>
                <w:caps w:val="0"/>
                <w:color w:val="222222"/>
                <w:spacing w:val="0"/>
                <w:sz w:val="21"/>
                <w:szCs w:val="21"/>
                <w:vertAlign w:val="baseline"/>
                <w:lang w:val="en-US" w:eastAsia="zh-CN"/>
              </w:rPr>
              <w:t>BWA：2.5GHz 频段</w:t>
            </w:r>
          </w:p>
          <w:p>
            <w:pPr>
              <w:keepNext w:val="0"/>
              <w:keepLines w:val="0"/>
              <w:widowControl/>
              <w:suppressLineNumbers w:val="0"/>
              <w:jc w:val="left"/>
              <w:rPr>
                <w:rStyle w:val="12"/>
                <w:rFonts w:hint="default" w:ascii="微软雅黑" w:hAnsi="微软雅黑" w:eastAsia="微软雅黑" w:cs="微软雅黑"/>
                <w:b w:val="0"/>
                <w:bCs w:val="0"/>
                <w:i w:val="0"/>
                <w:iCs w:val="0"/>
                <w:caps w:val="0"/>
                <w:color w:val="222222"/>
                <w:spacing w:val="0"/>
                <w:sz w:val="21"/>
                <w:szCs w:val="21"/>
                <w:vertAlign w:val="baseline"/>
                <w:lang w:val="en-US" w:eastAsia="zh-CN"/>
              </w:rPr>
            </w:pPr>
            <w:r>
              <w:rPr>
                <w:rStyle w:val="12"/>
                <w:rFonts w:hint="eastAsia" w:ascii="微软雅黑" w:hAnsi="微软雅黑" w:eastAsia="微软雅黑" w:cs="微软雅黑"/>
                <w:b w:val="0"/>
                <w:bCs w:val="0"/>
                <w:i w:val="0"/>
                <w:iCs w:val="0"/>
                <w:caps w:val="0"/>
                <w:color w:val="222222"/>
                <w:spacing w:val="0"/>
                <w:sz w:val="21"/>
                <w:szCs w:val="21"/>
                <w:vertAlign w:val="baseline"/>
                <w:lang w:val="en-US" w:eastAsia="zh-CN"/>
              </w:rPr>
              <w:t>无线LAN：2.4GHz、5.2GHz</w:t>
            </w:r>
          </w:p>
        </w:tc>
      </w:tr>
    </w:tbl>
    <w:p>
      <w:pPr>
        <w:pStyle w:val="5"/>
        <w:jc w:val="center"/>
        <w:rPr>
          <w:rFonts w:hint="default" w:eastAsia="黑体"/>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无人机通信条件</w:t>
      </w:r>
    </w:p>
    <w:p>
      <w:pPr>
        <w:keepNext w:val="0"/>
        <w:keepLines w:val="0"/>
        <w:widowControl/>
        <w:numPr>
          <w:ilvl w:val="0"/>
          <w:numId w:val="1"/>
        </w:numPr>
        <w:suppressLineNumbers w:val="0"/>
        <w:jc w:val="left"/>
        <w:rPr>
          <w:rFonts w:hint="default" w:ascii="仿宋_GB2312" w:hAnsi="仿宋" w:eastAsia="仿宋_GB2312"/>
          <w:b/>
          <w:bCs w:val="0"/>
          <w:sz w:val="32"/>
          <w:szCs w:val="32"/>
          <w:lang w:val="en-US" w:eastAsia="zh-CN"/>
        </w:rPr>
      </w:pPr>
      <w:r>
        <w:rPr>
          <w:rFonts w:hint="eastAsia" w:ascii="仿宋_GB2312" w:hAnsi="仿宋" w:eastAsia="仿宋_GB2312"/>
          <w:b/>
          <w:bCs w:val="0"/>
          <w:sz w:val="32"/>
          <w:szCs w:val="32"/>
          <w:lang w:val="en-US" w:eastAsia="zh-CN"/>
        </w:rPr>
        <w:t>日本运营商KDDI布局多年，推动无人机自主飞行</w:t>
      </w:r>
    </w:p>
    <w:p>
      <w:pPr>
        <w:keepNext w:val="0"/>
        <w:keepLines w:val="0"/>
        <w:widowControl/>
        <w:suppressLineNumbers w:val="0"/>
        <w:ind w:firstLine="643" w:firstLineChars="200"/>
        <w:jc w:val="left"/>
        <w:rPr>
          <w:rFonts w:hint="eastAsia" w:ascii="仿宋_GB2312" w:hAnsi="仿宋" w:eastAsia="仿宋_GB2312"/>
          <w:bCs/>
          <w:sz w:val="32"/>
          <w:szCs w:val="32"/>
          <w:lang w:val="en-US" w:eastAsia="zh-CN"/>
        </w:rPr>
      </w:pPr>
      <w:r>
        <w:rPr>
          <w:rFonts w:hint="eastAsia" w:ascii="仿宋_GB2312" w:hAnsi="仿宋" w:eastAsia="仿宋_GB2312"/>
          <w:b/>
          <w:bCs w:val="0"/>
          <w:sz w:val="32"/>
          <w:szCs w:val="32"/>
          <w:lang w:val="en-US" w:eastAsia="zh-CN"/>
        </w:rPr>
        <w:t>KDDI无人机业务商用前期开展多场景业务示范测试，推动商业化运营</w:t>
      </w:r>
      <w:r>
        <w:rPr>
          <w:rFonts w:hint="eastAsia" w:ascii="仿宋_GB2312" w:hAnsi="仿宋" w:eastAsia="仿宋_GB2312"/>
          <w:bCs/>
          <w:sz w:val="32"/>
          <w:szCs w:val="32"/>
          <w:lang w:val="en-US" w:eastAsia="zh-CN"/>
        </w:rPr>
        <w:t>。KDDI自2016年开始推动无人机的商业化运营，开发配备安全、远程飞行所必需的移动通信技术和管理系统的智能无人机，并开展示范测试机案例研究。2017年完成多无人机协同控制系统测试、单一飞手控制多架无人机测试开发“智能无人机平台”使用移动通信和3D地图实现自主无人机飞行。2020年，在长野县伊那市推出日本首个市营无人机送货服务，支持丘陵和山区的居民以及购物困难的老年人。2021-2022年，在有人值守的城市区域推出了无人机运输食品和医疗用品的示范测试，验证在接近现实条件下的运营和业务可行性。</w:t>
      </w:r>
    </w:p>
    <w:p>
      <w:pPr>
        <w:keepNext w:val="0"/>
        <w:keepLines w:val="0"/>
        <w:widowControl/>
        <w:suppressLineNumbers w:val="0"/>
        <w:ind w:firstLine="643" w:firstLineChars="200"/>
        <w:jc w:val="left"/>
        <w:rPr>
          <w:rFonts w:hint="eastAsia" w:ascii="仿宋_GB2312" w:hAnsi="仿宋" w:eastAsia="仿宋_GB2312"/>
          <w:bCs/>
          <w:sz w:val="32"/>
          <w:szCs w:val="32"/>
          <w:lang w:val="en-US" w:eastAsia="zh-CN"/>
        </w:rPr>
      </w:pPr>
      <w:r>
        <w:rPr>
          <w:rFonts w:hint="eastAsia" w:ascii="仿宋_GB2312" w:hAnsi="仿宋" w:eastAsia="仿宋_GB2312"/>
          <w:b/>
          <w:bCs w:val="0"/>
          <w:sz w:val="32"/>
          <w:szCs w:val="32"/>
          <w:lang w:val="en-US" w:eastAsia="zh-CN"/>
        </w:rPr>
        <w:t>KDDI成立全资子公司，专注无人机业务。</w:t>
      </w:r>
      <w:r>
        <w:rPr>
          <w:rFonts w:hint="eastAsia" w:ascii="仿宋_GB2312" w:hAnsi="仿宋" w:eastAsia="仿宋_GB2312"/>
          <w:bCs/>
          <w:sz w:val="32"/>
          <w:szCs w:val="32"/>
          <w:lang w:val="en-US" w:eastAsia="zh-CN"/>
        </w:rPr>
        <w:t>KDDI于2022年4月正式成立“KDDI SmartDrone Inc.”公司，目标是通过使用4G LTE/5G实现新的基于无人机的业务，并提供动态无人机服务，以满足客户在检查、物流、监控、农业和测量等各个领域的需求，让人们的个人生活和工作生活更轻松。该公司成立后，专注无人机业务运营、运营管理系统的建设以及应用场景的探索。</w:t>
      </w:r>
    </w:p>
    <w:p>
      <w:pPr>
        <w:pStyle w:val="5"/>
        <w:jc w:val="center"/>
        <w:rPr>
          <w:rFonts w:hint="default" w:eastAsia="黑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KDDI智能无人机公司的主要举措</w:t>
      </w:r>
    </w:p>
    <w:p>
      <w:pPr>
        <w:jc w:val="left"/>
      </w:pPr>
      <w:r>
        <w:drawing>
          <wp:inline distT="0" distB="0" distL="114300" distR="114300">
            <wp:extent cx="5291455" cy="21609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t="18333" r="-422" b="8184"/>
                    <a:stretch>
                      <a:fillRect/>
                    </a:stretch>
                  </pic:blipFill>
                  <pic:spPr>
                    <a:xfrm>
                      <a:off x="0" y="0"/>
                      <a:ext cx="5291455" cy="2160905"/>
                    </a:xfrm>
                    <a:prstGeom prst="rect">
                      <a:avLst/>
                    </a:prstGeom>
                    <a:noFill/>
                    <a:ln>
                      <a:noFill/>
                    </a:ln>
                  </pic:spPr>
                </pic:pic>
              </a:graphicData>
            </a:graphic>
          </wp:inline>
        </w:drawing>
      </w:r>
    </w:p>
    <w:p>
      <w:pPr>
        <w:pStyle w:val="5"/>
        <w:jc w:val="right"/>
        <w:rPr>
          <w:rFonts w:hint="default" w:eastAsia="黑体"/>
          <w:i/>
          <w:iCs/>
          <w:lang w:val="en-US" w:eastAsia="zh-CN"/>
        </w:rPr>
      </w:pPr>
      <w:r>
        <w:rPr>
          <w:i/>
          <w:iCs/>
        </w:rPr>
        <w:t xml:space="preserve">来源： </w:t>
      </w:r>
      <w:r>
        <w:rPr>
          <w:rFonts w:hint="eastAsia"/>
          <w:i/>
          <w:iCs/>
          <w:lang w:val="en-US" w:eastAsia="zh-CN"/>
        </w:rPr>
        <w:t>日本总务省</w:t>
      </w:r>
    </w:p>
    <w:p>
      <w:pPr>
        <w:keepNext w:val="0"/>
        <w:keepLines w:val="0"/>
        <w:widowControl/>
        <w:suppressLineNumbers w:val="0"/>
        <w:ind w:firstLine="643" w:firstLineChars="200"/>
        <w:jc w:val="left"/>
        <w:rPr>
          <w:rFonts w:hint="eastAsia" w:ascii="仿宋_GB2312" w:hAnsi="仿宋" w:eastAsia="仿宋_GB2312"/>
          <w:b w:val="0"/>
          <w:bCs/>
          <w:sz w:val="32"/>
          <w:szCs w:val="32"/>
          <w:lang w:val="en-US" w:eastAsia="zh-CN"/>
        </w:rPr>
      </w:pPr>
      <w:r>
        <w:rPr>
          <w:rFonts w:hint="eastAsia" w:ascii="仿宋_GB2312" w:hAnsi="仿宋" w:eastAsia="仿宋_GB2312"/>
          <w:b/>
          <w:bCs w:val="0"/>
          <w:sz w:val="32"/>
          <w:szCs w:val="32"/>
          <w:lang w:val="en-US" w:eastAsia="zh-CN"/>
        </w:rPr>
        <w:t>KDDI SmartDrone公司多方布局，形成“</w:t>
      </w:r>
      <w:bookmarkStart w:id="0" w:name="OLE_LINK1"/>
      <w:r>
        <w:rPr>
          <w:rFonts w:hint="eastAsia" w:ascii="仿宋_GB2312" w:hAnsi="仿宋" w:eastAsia="仿宋_GB2312"/>
          <w:b/>
          <w:bCs w:val="0"/>
          <w:sz w:val="32"/>
          <w:szCs w:val="32"/>
          <w:lang w:val="en-US" w:eastAsia="zh-CN"/>
        </w:rPr>
        <w:t>培训-硬件-网络-服务”的无人机全业务体系</w:t>
      </w:r>
      <w:bookmarkEnd w:id="0"/>
      <w:r>
        <w:rPr>
          <w:rFonts w:hint="eastAsia" w:ascii="仿宋_GB2312" w:hAnsi="仿宋" w:eastAsia="仿宋_GB2312"/>
          <w:b/>
          <w:bCs w:val="0"/>
          <w:sz w:val="32"/>
          <w:szCs w:val="32"/>
          <w:lang w:val="en-US" w:eastAsia="zh-CN"/>
        </w:rPr>
        <w:t>。一是设有“KDDI智能无人机学院”</w:t>
      </w:r>
      <w:r>
        <w:rPr>
          <w:rFonts w:hint="eastAsia" w:ascii="仿宋_GB2312" w:hAnsi="仿宋" w:eastAsia="仿宋_GB2312"/>
          <w:b w:val="0"/>
          <w:bCs/>
          <w:sz w:val="32"/>
          <w:szCs w:val="32"/>
          <w:lang w:val="en-US" w:eastAsia="zh-CN"/>
        </w:rPr>
        <w:t>可提供“一级无人机飞行员”和“二级无人机飞行员”等国家资格的认证，以及面向摄影、巡检、飞行管理等特点场景的专业培训。</w:t>
      </w:r>
      <w:r>
        <w:rPr>
          <w:rFonts w:hint="eastAsia" w:ascii="仿宋_GB2312" w:hAnsi="仿宋" w:eastAsia="仿宋_GB2312"/>
          <w:b/>
          <w:bCs w:val="0"/>
          <w:sz w:val="32"/>
          <w:szCs w:val="32"/>
          <w:lang w:val="en-US" w:eastAsia="zh-CN"/>
        </w:rPr>
        <w:t>二是推出“飞机出售”等硬件产品。</w:t>
      </w:r>
      <w:r>
        <w:rPr>
          <w:rFonts w:hint="eastAsia" w:ascii="仿宋_GB2312" w:hAnsi="仿宋" w:eastAsia="仿宋_GB2312"/>
          <w:b w:val="0"/>
          <w:bCs/>
          <w:sz w:val="32"/>
          <w:szCs w:val="32"/>
          <w:lang w:val="en-US" w:eastAsia="zh-CN"/>
        </w:rPr>
        <w:t>该公司官网可订购的无人机包括美国Skydio、法国Parrot、日本ACSL以及中国大疆等，并区分4G、5G型号。</w:t>
      </w:r>
      <w:r>
        <w:rPr>
          <w:rFonts w:hint="eastAsia" w:ascii="仿宋_GB2312" w:hAnsi="仿宋" w:eastAsia="仿宋_GB2312"/>
          <w:b/>
          <w:bCs w:val="0"/>
          <w:sz w:val="32"/>
          <w:szCs w:val="32"/>
          <w:lang w:val="en-US" w:eastAsia="zh-CN"/>
        </w:rPr>
        <w:t>三是推出灵活的网络套餐</w:t>
      </w:r>
      <w:r>
        <w:rPr>
          <w:rFonts w:hint="eastAsia" w:ascii="仿宋_GB2312" w:hAnsi="仿宋" w:eastAsia="仿宋_GB2312"/>
          <w:b w:val="0"/>
          <w:bCs/>
          <w:sz w:val="32"/>
          <w:szCs w:val="32"/>
          <w:lang w:val="en-US" w:eastAsia="zh-CN"/>
        </w:rPr>
        <w:t>。可根据时间、用量等方式进行灵活计费，进而方便客户根据目的选择定价计划。面向短期用户，月度套餐为49800日元/月（CNY ¥2483/月）；面向长期的用户，年度套餐为480000日元/年（CNY ¥23,928/年）。另外，针对长期使用，但是使用频率不高的用户还推出了按量付费计划，采用“基本费用+使用费用”的方式，其中基本费用按年一次性收取，为150000日元/年（CNY ¥7478/年），至此基础上每个月的使用按量付费，每月24,800日元- 49,800日元</w:t>
      </w:r>
      <w:r>
        <w:rPr>
          <w:rFonts w:hint="default" w:ascii="仿宋_GB2312" w:hAnsi="仿宋" w:eastAsia="仿宋_GB2312"/>
          <w:b w:val="0"/>
          <w:bCs/>
          <w:sz w:val="32"/>
          <w:szCs w:val="32"/>
          <w:lang w:val="en-US" w:eastAsia="zh-CN"/>
        </w:rPr>
        <w:t>（</w:t>
      </w:r>
      <w:r>
        <w:rPr>
          <w:rFonts w:hint="eastAsia" w:ascii="仿宋_GB2312" w:hAnsi="仿宋" w:eastAsia="仿宋_GB2312"/>
          <w:b w:val="0"/>
          <w:bCs/>
          <w:sz w:val="32"/>
          <w:szCs w:val="32"/>
          <w:lang w:val="en-US" w:eastAsia="zh-CN"/>
        </w:rPr>
        <w:t>CNY ¥1236-2,482</w:t>
      </w:r>
      <w:r>
        <w:rPr>
          <w:rFonts w:hint="default" w:ascii="仿宋_GB2312" w:hAnsi="仿宋" w:eastAsia="仿宋_GB2312"/>
          <w:b w:val="0"/>
          <w:bCs/>
          <w:sz w:val="32"/>
          <w:szCs w:val="32"/>
          <w:lang w:val="en-US" w:eastAsia="zh-CN"/>
        </w:rPr>
        <w:t>）</w:t>
      </w:r>
      <w:r>
        <w:rPr>
          <w:rFonts w:hint="eastAsia" w:ascii="仿宋_GB2312" w:hAnsi="仿宋" w:eastAsia="仿宋_GB2312"/>
          <w:b w:val="0"/>
          <w:bCs/>
          <w:sz w:val="32"/>
          <w:szCs w:val="32"/>
          <w:lang w:val="en-US" w:eastAsia="zh-CN"/>
        </w:rPr>
        <w:t>不等。</w:t>
      </w:r>
      <w:r>
        <w:rPr>
          <w:rFonts w:hint="eastAsia" w:ascii="仿宋_GB2312" w:hAnsi="仿宋" w:eastAsia="仿宋_GB2312"/>
          <w:b/>
          <w:bCs w:val="0"/>
          <w:sz w:val="32"/>
          <w:szCs w:val="32"/>
          <w:lang w:val="en-US" w:eastAsia="zh-CN"/>
        </w:rPr>
        <w:t>四是推出面向场景的解决方案。</w:t>
      </w:r>
      <w:r>
        <w:rPr>
          <w:rFonts w:hint="eastAsia" w:ascii="仿宋_GB2312" w:hAnsi="仿宋" w:eastAsia="仿宋_GB2312"/>
          <w:b w:val="0"/>
          <w:bCs/>
          <w:sz w:val="32"/>
          <w:szCs w:val="32"/>
          <w:lang w:val="en-US" w:eastAsia="zh-CN"/>
        </w:rPr>
        <w:t>面向监控、交付、检查、测量等领域，提供从服务介绍到运营的全面支持，高效解决客户面临的问题并提高运营效率。</w:t>
      </w:r>
    </w:p>
    <w:p>
      <w:pPr>
        <w:jc w:val="both"/>
        <w:rPr>
          <w:rFonts w:hint="eastAsia" w:ascii="黑体" w:hAnsi="黑体" w:eastAsia="黑体" w:cs="黑体"/>
          <w:sz w:val="36"/>
          <w:szCs w:val="44"/>
          <w:lang w:val="en-US" w:eastAsia="zh-CN"/>
        </w:rPr>
      </w:pPr>
      <w:r>
        <w:rPr>
          <w:rFonts w:hint="eastAsia" w:ascii="黑体" w:hAnsi="黑体" w:eastAsia="黑体" w:cs="黑体"/>
          <w:sz w:val="36"/>
          <w:szCs w:val="44"/>
          <w:lang w:val="en-US" w:eastAsia="zh-CN"/>
        </w:rPr>
        <w:t>三、日本低空发展及运营商布局对我启示</w:t>
      </w:r>
    </w:p>
    <w:p>
      <w:pPr>
        <w:keepNext w:val="0"/>
        <w:keepLines w:val="0"/>
        <w:widowControl/>
        <w:suppressLineNumbers w:val="0"/>
        <w:ind w:firstLine="643" w:firstLineChars="200"/>
        <w:jc w:val="left"/>
        <w:rPr>
          <w:rFonts w:hint="default" w:ascii="仿宋_GB2312" w:hAnsi="仿宋" w:eastAsia="仿宋_GB2312"/>
          <w:b w:val="0"/>
          <w:bCs/>
          <w:sz w:val="32"/>
          <w:szCs w:val="32"/>
          <w:lang w:val="en-US" w:eastAsia="zh-CN"/>
        </w:rPr>
      </w:pPr>
      <w:r>
        <w:rPr>
          <w:rFonts w:hint="eastAsia" w:ascii="仿宋_GB2312" w:hAnsi="仿宋" w:eastAsia="仿宋_GB2312"/>
          <w:b/>
          <w:bCs w:val="0"/>
          <w:sz w:val="32"/>
          <w:szCs w:val="32"/>
          <w:lang w:val="en-US" w:eastAsia="zh-CN"/>
        </w:rPr>
        <w:t>（一）细化无人机通信方式及飞行区域。</w:t>
      </w:r>
      <w:r>
        <w:rPr>
          <w:rFonts w:hint="eastAsia" w:ascii="仿宋_GB2312" w:hAnsi="仿宋" w:eastAsia="仿宋_GB2312"/>
          <w:b w:val="0"/>
          <w:bCs/>
          <w:sz w:val="32"/>
          <w:szCs w:val="32"/>
          <w:lang w:val="en-US" w:eastAsia="zh-CN"/>
        </w:rPr>
        <w:t>日本无人机通信逐步由150m以下空域向150m以上延伸，并在原有4G制式的基础上增加来5G制式、5.2G频段等，支持行业发展。并为保证运营安全，提出与人口密度结合的空域管理方式，有利于更加安全的飞行管控。目前，我国空域管理也逐步放开，但在通信频段、运营区域等方面仍需出台更加细化的政策规则，支持低空业务规模化、精细化发展。</w:t>
      </w:r>
    </w:p>
    <w:p>
      <w:pPr>
        <w:keepNext w:val="0"/>
        <w:keepLines w:val="0"/>
        <w:widowControl/>
        <w:suppressLineNumbers w:val="0"/>
        <w:ind w:firstLine="643" w:firstLineChars="200"/>
        <w:jc w:val="left"/>
        <w:rPr>
          <w:rFonts w:hint="eastAsia" w:ascii="仿宋_GB2312" w:hAnsi="仿宋" w:eastAsia="仿宋_GB2312"/>
          <w:b w:val="0"/>
          <w:bCs/>
          <w:sz w:val="32"/>
          <w:szCs w:val="32"/>
          <w:lang w:val="en-US" w:eastAsia="zh-CN"/>
        </w:rPr>
      </w:pPr>
      <w:r>
        <w:rPr>
          <w:rFonts w:hint="eastAsia" w:ascii="仿宋_GB2312" w:hAnsi="仿宋" w:eastAsia="仿宋_GB2312"/>
          <w:b/>
          <w:bCs w:val="0"/>
          <w:sz w:val="32"/>
          <w:szCs w:val="32"/>
          <w:lang w:val="en-US" w:eastAsia="zh-CN"/>
        </w:rPr>
        <w:t>（二）运营企业设置“培训-硬件-网络-服务”的无人机全业务体系。</w:t>
      </w:r>
      <w:r>
        <w:rPr>
          <w:rFonts w:hint="eastAsia" w:ascii="仿宋_GB2312" w:hAnsi="仿宋" w:eastAsia="仿宋_GB2312"/>
          <w:b w:val="0"/>
          <w:bCs/>
          <w:sz w:val="32"/>
          <w:szCs w:val="32"/>
          <w:lang w:val="en-US" w:eastAsia="zh-CN"/>
        </w:rPr>
        <w:t>日本KDDI经历多年的布局培育，形成了从培训到服务的全流程体系。而目前我国低空企业主要还处于专注硬件销售、网络服务、培训等优势领域的阶段，全业务体系化布局不足，未来中游运营类企业可以联合上下游进行相关体系探索。</w:t>
      </w:r>
    </w:p>
    <w:p>
      <w:pPr>
        <w:keepNext w:val="0"/>
        <w:keepLines w:val="0"/>
        <w:widowControl/>
        <w:suppressLineNumbers w:val="0"/>
        <w:ind w:firstLine="643" w:firstLineChars="200"/>
        <w:jc w:val="left"/>
        <w:rPr>
          <w:rFonts w:hint="default" w:ascii="仿宋_GB2312" w:hAnsi="仿宋" w:eastAsia="仿宋_GB2312"/>
          <w:b/>
          <w:bCs w:val="0"/>
          <w:sz w:val="32"/>
          <w:szCs w:val="32"/>
          <w:lang w:val="en-US" w:eastAsia="zh-CN"/>
        </w:rPr>
      </w:pPr>
      <w:r>
        <w:rPr>
          <w:rFonts w:hint="eastAsia" w:ascii="仿宋_GB2312" w:hAnsi="仿宋" w:eastAsia="仿宋_GB2312"/>
          <w:b/>
          <w:bCs w:val="0"/>
          <w:sz w:val="32"/>
          <w:szCs w:val="32"/>
          <w:lang w:val="en-US" w:eastAsia="zh-CN"/>
        </w:rPr>
        <w:t>（三）探索面向无人机的多样化运营服务模式。</w:t>
      </w:r>
      <w:r>
        <w:rPr>
          <w:rFonts w:hint="eastAsia" w:ascii="仿宋_GB2312" w:hAnsi="仿宋" w:eastAsia="仿宋_GB2312"/>
          <w:b w:val="0"/>
          <w:bCs/>
          <w:sz w:val="32"/>
          <w:szCs w:val="32"/>
          <w:lang w:val="en-US" w:eastAsia="zh-CN"/>
        </w:rPr>
        <w:t>探索面向用户临时需求、长期需求、低频需求、高频需求等多样化场景的服务模式，定制多类套餐，辅助无人机运营价值提升。</w:t>
      </w:r>
    </w:p>
    <w:p>
      <w:pPr>
        <w:keepNext w:val="0"/>
        <w:keepLines w:val="0"/>
        <w:widowControl/>
        <w:suppressLineNumbers w:val="0"/>
        <w:ind w:firstLine="640" w:firstLineChars="200"/>
        <w:jc w:val="left"/>
        <w:rPr>
          <w:rFonts w:hint="eastAsia" w:ascii="仿宋_GB2312" w:hAnsi="仿宋" w:eastAsia="仿宋_GB2312"/>
          <w:b w:val="0"/>
          <w:bCs/>
          <w:sz w:val="32"/>
          <w:szCs w:val="32"/>
          <w:lang w:val="en-US" w:eastAsia="zh-CN"/>
        </w:rPr>
      </w:pPr>
    </w:p>
    <w:p>
      <w:pPr>
        <w:jc w:val="left"/>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01EE96"/>
    <w:multiLevelType w:val="singleLevel"/>
    <w:tmpl w:val="5A01EE9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F656C7"/>
    <w:rsid w:val="03F81575"/>
    <w:rsid w:val="04362AA1"/>
    <w:rsid w:val="044B6171"/>
    <w:rsid w:val="0D5E4A76"/>
    <w:rsid w:val="0EA20611"/>
    <w:rsid w:val="101739F6"/>
    <w:rsid w:val="118B77D4"/>
    <w:rsid w:val="11BB0E3D"/>
    <w:rsid w:val="128F4448"/>
    <w:rsid w:val="12DC7A01"/>
    <w:rsid w:val="13197966"/>
    <w:rsid w:val="13504958"/>
    <w:rsid w:val="1E0E2F4A"/>
    <w:rsid w:val="1E6131E6"/>
    <w:rsid w:val="1FBF6760"/>
    <w:rsid w:val="20CE2113"/>
    <w:rsid w:val="27F656C7"/>
    <w:rsid w:val="324D344C"/>
    <w:rsid w:val="3CEB27A4"/>
    <w:rsid w:val="3D6A1141"/>
    <w:rsid w:val="3DA3624B"/>
    <w:rsid w:val="3F8E2116"/>
    <w:rsid w:val="40CE200B"/>
    <w:rsid w:val="4304095D"/>
    <w:rsid w:val="498E58D9"/>
    <w:rsid w:val="4D590BF1"/>
    <w:rsid w:val="4DC34E07"/>
    <w:rsid w:val="4F321471"/>
    <w:rsid w:val="4FA65395"/>
    <w:rsid w:val="5411123E"/>
    <w:rsid w:val="5612148F"/>
    <w:rsid w:val="58D42D5A"/>
    <w:rsid w:val="5A767E3F"/>
    <w:rsid w:val="5CBB2A63"/>
    <w:rsid w:val="5D7B3BA8"/>
    <w:rsid w:val="5F274BAB"/>
    <w:rsid w:val="5F8E5854"/>
    <w:rsid w:val="61131D28"/>
    <w:rsid w:val="651A4DFF"/>
    <w:rsid w:val="65441578"/>
    <w:rsid w:val="66854BCD"/>
    <w:rsid w:val="690633A8"/>
    <w:rsid w:val="6F097C49"/>
    <w:rsid w:val="6F2C10FB"/>
    <w:rsid w:val="725E322F"/>
    <w:rsid w:val="7A665A42"/>
    <w:rsid w:val="7BED565E"/>
    <w:rsid w:val="7C952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14"/>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keepNext/>
      <w:keepLines/>
      <w:spacing w:before="280" w:after="290" w:line="372" w:lineRule="auto"/>
      <w:outlineLvl w:val="3"/>
    </w:pPr>
    <w:rPr>
      <w:rFonts w:ascii="Arial" w:hAnsi="Arial" w:eastAsia="黑体" w:cs="Times New Roman"/>
      <w:b/>
      <w:sz w:val="28"/>
    </w:rPr>
  </w:style>
  <w:style w:type="paragraph" w:styleId="4">
    <w:name w:val="heading 5"/>
    <w:basedOn w:val="1"/>
    <w:next w:val="1"/>
    <w:semiHidden/>
    <w:unhideWhenUsed/>
    <w:qFormat/>
    <w:uiPriority w:val="0"/>
    <w:pPr>
      <w:keepNext/>
      <w:keepLines/>
      <w:spacing w:before="280" w:after="290" w:line="372" w:lineRule="auto"/>
      <w:outlineLvl w:val="4"/>
    </w:pPr>
    <w:rPr>
      <w:rFonts w:ascii="Calibri" w:hAnsi="Calibri" w:eastAsia="仿宋_GB2312" w:cs="Times New Roman"/>
      <w:b/>
      <w:sz w:val="28"/>
    </w:rPr>
  </w:style>
  <w:style w:type="character" w:default="1" w:styleId="10">
    <w:name w:val="Default Paragraph Font"/>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uiPriority w:val="0"/>
    <w:pPr>
      <w:jc w:val="left"/>
    </w:p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uiPriority w:val="0"/>
    <w:rPr>
      <w:color w:val="0000FF"/>
      <w:u w:val="single"/>
    </w:rPr>
  </w:style>
  <w:style w:type="character" w:customStyle="1" w:styleId="14">
    <w:name w:val="标题 3 字符"/>
    <w:basedOn w:val="10"/>
    <w:link w:val="2"/>
    <w:qFormat/>
    <w:uiPriority w:val="9"/>
    <w:rPr>
      <w:rFonts w:ascii="Calibri" w:hAnsi="Calibri" w:eastAsia="微软雅黑" w:cs="Times New Roman"/>
      <w:b/>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中国电信股份有限公司研究院</Company>
  <Pages>1</Pages>
  <Words>0</Words>
  <Characters>0</Characters>
  <Lines>0</Lines>
  <Paragraphs>0</Paragraphs>
  <TotalTime>12</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2025-06-06T03:03:00Z</dcterms:created>
  <dc:creator>liana</dc:creator>
  <cp:lastModifiedBy>liana</cp:lastModifiedBy>
  <dcterms:modified xsi:type="dcterms:W3CDTF">2025-06-13T06:13:22Z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A2B6A94F37904EA4AB305E6CFB658702_11</vt:lpwstr>
  </property>
</Properties>
</file>