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32CE" w:rsidRDefault="0014207B">
      <w:pPr>
        <w:spacing w:line="360" w:lineRule="auto"/>
        <w:jc w:val="center"/>
        <w:rPr>
          <w:rFonts w:ascii="仿宋" w:eastAsia="仿宋" w:hAnsi="仿宋" w:cs="仿宋"/>
          <w:b/>
          <w:bCs/>
          <w:sz w:val="36"/>
          <w:szCs w:val="36"/>
        </w:rPr>
      </w:pPr>
      <w:proofErr w:type="gramStart"/>
      <w:r>
        <w:rPr>
          <w:rFonts w:ascii="仿宋" w:eastAsia="仿宋" w:hAnsi="仿宋" w:cs="仿宋" w:hint="eastAsia"/>
          <w:b/>
          <w:bCs/>
          <w:sz w:val="36"/>
          <w:szCs w:val="36"/>
        </w:rPr>
        <w:t>智储破</w:t>
      </w:r>
      <w:proofErr w:type="gramEnd"/>
      <w:r>
        <w:rPr>
          <w:rFonts w:ascii="仿宋" w:eastAsia="仿宋" w:hAnsi="仿宋" w:cs="仿宋" w:hint="eastAsia"/>
          <w:b/>
          <w:bCs/>
          <w:sz w:val="36"/>
          <w:szCs w:val="36"/>
        </w:rPr>
        <w:t>局：全国分时电价分析及运营商应对策略</w:t>
      </w:r>
    </w:p>
    <w:p w:rsidR="00C232CE" w:rsidRDefault="00C232CE">
      <w:pPr>
        <w:jc w:val="center"/>
        <w:rPr>
          <w:rFonts w:ascii="仿宋" w:eastAsia="仿宋" w:hAnsi="仿宋" w:cs="仿宋"/>
          <w:sz w:val="24"/>
        </w:rPr>
      </w:pPr>
    </w:p>
    <w:p w:rsidR="00C232CE" w:rsidRDefault="00C232CE">
      <w:pPr>
        <w:jc w:val="center"/>
        <w:rPr>
          <w:rFonts w:ascii="仿宋" w:eastAsia="仿宋" w:hAnsi="仿宋" w:cs="仿宋"/>
          <w:sz w:val="24"/>
        </w:rPr>
      </w:pPr>
    </w:p>
    <w:p w:rsidR="00C232CE" w:rsidRDefault="0014207B">
      <w:pPr>
        <w:spacing w:line="360" w:lineRule="auto"/>
        <w:jc w:val="left"/>
        <w:rPr>
          <w:rFonts w:ascii="仿宋" w:eastAsia="仿宋" w:hAnsi="仿宋" w:cs="仿宋"/>
          <w:color w:val="000000" w:themeColor="text1"/>
          <w:sz w:val="24"/>
        </w:rPr>
      </w:pPr>
      <w:r>
        <w:rPr>
          <w:rFonts w:ascii="仿宋" w:eastAsia="仿宋" w:hAnsi="仿宋" w:cs="仿宋" w:hint="eastAsia"/>
          <w:b/>
          <w:bCs/>
          <w:color w:val="000000" w:themeColor="text1"/>
          <w:sz w:val="24"/>
        </w:rPr>
        <w:t>摘要</w:t>
      </w:r>
      <w:r>
        <w:rPr>
          <w:rFonts w:ascii="仿宋" w:eastAsia="仿宋" w:hAnsi="仿宋" w:cs="仿宋" w:hint="eastAsia"/>
          <w:color w:val="000000" w:themeColor="text1"/>
          <w:sz w:val="24"/>
        </w:rPr>
        <w:t>：</w:t>
      </w:r>
      <w:r>
        <w:rPr>
          <w:rFonts w:ascii="仿宋" w:eastAsia="仿宋" w:hAnsi="仿宋" w:cs="仿宋" w:hint="eastAsia"/>
          <w:color w:val="000000" w:themeColor="text1"/>
          <w:sz w:val="24"/>
        </w:rPr>
        <w:t>2025</w:t>
      </w:r>
      <w:r>
        <w:rPr>
          <w:rFonts w:ascii="仿宋" w:eastAsia="仿宋" w:hAnsi="仿宋" w:cs="仿宋" w:hint="eastAsia"/>
          <w:color w:val="000000" w:themeColor="text1"/>
          <w:sz w:val="24"/>
        </w:rPr>
        <w:t>年以来，江苏、吉林、山东等省份再次更新分时电价政策，近年来已有累计超过</w:t>
      </w:r>
      <w:r>
        <w:rPr>
          <w:rFonts w:ascii="仿宋" w:eastAsia="仿宋" w:hAnsi="仿宋" w:cs="仿宋" w:hint="eastAsia"/>
          <w:color w:val="000000" w:themeColor="text1"/>
          <w:sz w:val="24"/>
        </w:rPr>
        <w:t>20</w:t>
      </w:r>
      <w:r>
        <w:rPr>
          <w:rFonts w:ascii="仿宋" w:eastAsia="仿宋" w:hAnsi="仿宋" w:cs="仿宋" w:hint="eastAsia"/>
          <w:color w:val="000000" w:themeColor="text1"/>
          <w:sz w:val="24"/>
        </w:rPr>
        <w:t>个省、自治区、直辖市陆续</w:t>
      </w:r>
      <w:r>
        <w:rPr>
          <w:rFonts w:ascii="仿宋" w:eastAsia="仿宋" w:hAnsi="仿宋" w:cs="仿宋" w:hint="eastAsia"/>
          <w:color w:val="000000" w:themeColor="text1"/>
          <w:sz w:val="24"/>
        </w:rPr>
        <w:t>发布新分时电价执行要求，</w:t>
      </w:r>
      <w:r>
        <w:rPr>
          <w:rFonts w:ascii="仿宋" w:eastAsia="仿宋" w:hAnsi="仿宋" w:cs="仿宋" w:hint="eastAsia"/>
          <w:color w:val="000000" w:themeColor="text1"/>
          <w:sz w:val="24"/>
        </w:rPr>
        <w:t>旨在加强引导用户调整用电行为、优化电力资源配置。文章通过分析当前全国分时电价政策执行范围以及对运营商用电成本的影响，提出在分时电价冲击下应</w:t>
      </w:r>
      <w:r>
        <w:rPr>
          <w:rFonts w:ascii="仿宋" w:eastAsia="仿宋" w:hAnsi="仿宋" w:cs="仿宋" w:hint="eastAsia"/>
          <w:color w:val="000000" w:themeColor="text1"/>
          <w:sz w:val="24"/>
        </w:rPr>
        <w:t>制定更全面的应对策略，加快传统蓄电池向智能化备储一体方向转型升级。</w:t>
      </w:r>
    </w:p>
    <w:p w:rsidR="00C232CE" w:rsidRDefault="0014207B">
      <w:pPr>
        <w:pStyle w:val="1"/>
        <w:rPr>
          <w:sz w:val="28"/>
          <w:szCs w:val="18"/>
        </w:rPr>
      </w:pPr>
      <w:r>
        <w:rPr>
          <w:rFonts w:hint="eastAsia"/>
          <w:sz w:val="28"/>
          <w:szCs w:val="18"/>
        </w:rPr>
        <w:t>一、分时电价现状与未来趋势判断</w:t>
      </w:r>
    </w:p>
    <w:p w:rsidR="00C232CE" w:rsidRDefault="0014207B">
      <w:pPr>
        <w:spacing w:line="360" w:lineRule="auto"/>
        <w:ind w:firstLineChars="200" w:firstLine="482"/>
        <w:jc w:val="left"/>
        <w:outlineLvl w:val="1"/>
        <w:rPr>
          <w:rFonts w:ascii="仿宋" w:eastAsia="仿宋" w:hAnsi="仿宋" w:cs="仿宋"/>
          <w:b/>
          <w:bCs/>
          <w:color w:val="000000" w:themeColor="text1"/>
          <w:sz w:val="24"/>
        </w:rPr>
      </w:pPr>
      <w:r>
        <w:rPr>
          <w:rFonts w:ascii="仿宋" w:eastAsia="仿宋" w:hAnsi="仿宋" w:cs="仿宋" w:hint="eastAsia"/>
          <w:b/>
          <w:bCs/>
          <w:color w:val="000000" w:themeColor="text1"/>
          <w:sz w:val="24"/>
        </w:rPr>
        <w:t>（一）我国分时电价覆盖范围逐步扩大，推动新型储能大力发展</w:t>
      </w:r>
    </w:p>
    <w:p w:rsidR="00C232CE" w:rsidRDefault="0014207B">
      <w:pPr>
        <w:spacing w:line="360" w:lineRule="auto"/>
        <w:ind w:firstLineChars="200" w:firstLine="480"/>
        <w:jc w:val="left"/>
        <w:outlineLvl w:val="1"/>
        <w:rPr>
          <w:rFonts w:ascii="仿宋" w:eastAsia="仿宋" w:hAnsi="仿宋" w:cs="仿宋"/>
          <w:color w:val="000000" w:themeColor="text1"/>
          <w:sz w:val="24"/>
        </w:rPr>
      </w:pPr>
      <w:r>
        <w:rPr>
          <w:rFonts w:ascii="仿宋" w:eastAsia="仿宋" w:hAnsi="仿宋" w:cs="仿宋" w:hint="eastAsia"/>
          <w:color w:val="000000" w:themeColor="text1"/>
          <w:sz w:val="24"/>
        </w:rPr>
        <w:t>依据国家发展和改革委员会发布的分时电价政策要求</w:t>
      </w:r>
      <w:r>
        <w:rPr>
          <w:rStyle w:val="a6"/>
          <w:rFonts w:ascii="仿宋" w:eastAsia="仿宋" w:hAnsi="仿宋" w:cs="仿宋" w:hint="eastAsia"/>
          <w:color w:val="000000" w:themeColor="text1"/>
          <w:sz w:val="24"/>
        </w:rPr>
        <w:footnoteReference w:id="1"/>
      </w:r>
      <w:r>
        <w:rPr>
          <w:rFonts w:ascii="仿宋" w:eastAsia="仿宋" w:hAnsi="仿宋" w:cs="仿宋" w:hint="eastAsia"/>
          <w:color w:val="000000" w:themeColor="text1"/>
          <w:sz w:val="24"/>
        </w:rPr>
        <w:t>，各地正在加快完善分时电价实施机制。</w:t>
      </w:r>
      <w:r>
        <w:rPr>
          <w:rFonts w:ascii="仿宋" w:eastAsia="仿宋" w:hAnsi="仿宋" w:cs="仿宋" w:hint="eastAsia"/>
          <w:b/>
          <w:bCs/>
          <w:color w:val="000000" w:themeColor="text1"/>
          <w:sz w:val="24"/>
        </w:rPr>
        <w:t>一是大工业用户已全面覆盖，一般工商业</w:t>
      </w:r>
      <w:r>
        <w:rPr>
          <w:rFonts w:ascii="仿宋" w:eastAsia="仿宋" w:hAnsi="仿宋" w:cs="仿宋"/>
          <w:b/>
          <w:bCs/>
          <w:color w:val="000000" w:themeColor="text1"/>
          <w:sz w:val="24"/>
        </w:rPr>
        <w:t>等其他用户</w:t>
      </w:r>
      <w:r>
        <w:rPr>
          <w:rFonts w:ascii="仿宋" w:eastAsia="仿宋" w:hAnsi="仿宋" w:cs="仿宋" w:hint="eastAsia"/>
          <w:b/>
          <w:bCs/>
          <w:color w:val="000000" w:themeColor="text1"/>
          <w:sz w:val="24"/>
        </w:rPr>
        <w:t>正逐步推广</w:t>
      </w:r>
      <w:r>
        <w:rPr>
          <w:rFonts w:ascii="仿宋" w:eastAsia="仿宋" w:hAnsi="仿宋" w:cs="仿宋" w:hint="eastAsia"/>
          <w:color w:val="000000" w:themeColor="text1"/>
          <w:sz w:val="24"/>
        </w:rPr>
        <w:t>。目前，北京、上海等</w:t>
      </w:r>
      <w:r>
        <w:rPr>
          <w:rFonts w:ascii="仿宋" w:eastAsia="仿宋" w:hAnsi="仿宋" w:cs="仿宋" w:hint="eastAsia"/>
          <w:color w:val="000000" w:themeColor="text1"/>
          <w:sz w:val="24"/>
        </w:rPr>
        <w:t>12</w:t>
      </w:r>
      <w:r>
        <w:rPr>
          <w:rFonts w:ascii="仿宋" w:eastAsia="仿宋" w:hAnsi="仿宋" w:cs="仿宋" w:hint="eastAsia"/>
          <w:color w:val="000000" w:themeColor="text1"/>
          <w:sz w:val="24"/>
        </w:rPr>
        <w:t>省、自治区、直辖市</w:t>
      </w:r>
      <w:r>
        <w:rPr>
          <w:rFonts w:ascii="仿宋" w:eastAsia="仿宋" w:hAnsi="仿宋" w:cs="仿宋" w:hint="eastAsia"/>
          <w:color w:val="000000" w:themeColor="text1"/>
          <w:sz w:val="24"/>
        </w:rPr>
        <w:t>要求所有工商业全面执行（除国家专</w:t>
      </w:r>
      <w:proofErr w:type="gramStart"/>
      <w:r>
        <w:rPr>
          <w:rFonts w:ascii="仿宋" w:eastAsia="仿宋" w:hAnsi="仿宋" w:cs="仿宋" w:hint="eastAsia"/>
          <w:color w:val="000000" w:themeColor="text1"/>
          <w:sz w:val="24"/>
        </w:rPr>
        <w:t>规</w:t>
      </w:r>
      <w:proofErr w:type="gramEnd"/>
      <w:r>
        <w:rPr>
          <w:rFonts w:ascii="仿宋" w:eastAsia="仿宋" w:hAnsi="仿宋" w:cs="仿宋" w:hint="eastAsia"/>
          <w:color w:val="000000" w:themeColor="text1"/>
          <w:sz w:val="24"/>
        </w:rPr>
        <w:t>用电外）；江苏、浙江等</w:t>
      </w:r>
      <w:r>
        <w:rPr>
          <w:rFonts w:ascii="仿宋" w:eastAsia="仿宋" w:hAnsi="仿宋" w:cs="仿宋" w:hint="eastAsia"/>
          <w:color w:val="000000" w:themeColor="text1"/>
          <w:sz w:val="24"/>
        </w:rPr>
        <w:t>9</w:t>
      </w:r>
      <w:r>
        <w:rPr>
          <w:rFonts w:ascii="仿宋" w:eastAsia="仿宋" w:hAnsi="仿宋" w:cs="仿宋" w:hint="eastAsia"/>
          <w:color w:val="000000" w:themeColor="text1"/>
          <w:sz w:val="24"/>
        </w:rPr>
        <w:t>省</w:t>
      </w:r>
      <w:r>
        <w:rPr>
          <w:rFonts w:ascii="仿宋" w:eastAsia="仿宋" w:hAnsi="仿宋" w:cs="仿宋" w:hint="eastAsia"/>
          <w:color w:val="000000" w:themeColor="text1"/>
          <w:sz w:val="24"/>
        </w:rPr>
        <w:t>要求大工业用户、</w:t>
      </w:r>
      <w:r>
        <w:rPr>
          <w:rFonts w:ascii="仿宋" w:eastAsia="仿宋" w:hAnsi="仿宋" w:cs="仿宋" w:hint="eastAsia"/>
          <w:color w:val="000000" w:themeColor="text1"/>
          <w:sz w:val="24"/>
        </w:rPr>
        <w:t>100</w:t>
      </w:r>
      <w:r>
        <w:rPr>
          <w:rFonts w:ascii="仿宋" w:eastAsia="仿宋" w:hAnsi="仿宋" w:cs="仿宋" w:hint="eastAsia"/>
          <w:color w:val="000000" w:themeColor="text1"/>
          <w:sz w:val="24"/>
        </w:rPr>
        <w:t>千伏安及以上工商业用户执行，</w:t>
      </w:r>
      <w:r>
        <w:rPr>
          <w:rFonts w:ascii="仿宋" w:eastAsia="仿宋" w:hAnsi="仿宋" w:cs="仿宋" w:hint="eastAsia"/>
          <w:color w:val="000000" w:themeColor="text1"/>
          <w:sz w:val="24"/>
        </w:rPr>
        <w:t>100</w:t>
      </w:r>
      <w:r>
        <w:rPr>
          <w:rFonts w:ascii="仿宋" w:eastAsia="仿宋" w:hAnsi="仿宋" w:cs="仿宋" w:hint="eastAsia"/>
          <w:color w:val="000000" w:themeColor="text1"/>
          <w:sz w:val="24"/>
        </w:rPr>
        <w:t>千伏安以下用户可自愿选择（如海南提出</w:t>
      </w:r>
      <w:r>
        <w:rPr>
          <w:rFonts w:ascii="仿宋" w:eastAsia="仿宋" w:hAnsi="仿宋" w:cs="仿宋" w:hint="eastAsia"/>
          <w:color w:val="000000" w:themeColor="text1"/>
          <w:sz w:val="24"/>
        </w:rPr>
        <w:t>5G</w:t>
      </w:r>
      <w:r>
        <w:rPr>
          <w:rFonts w:ascii="仿宋" w:eastAsia="仿宋" w:hAnsi="仿宋" w:cs="仿宋" w:hint="eastAsia"/>
          <w:color w:val="000000" w:themeColor="text1"/>
          <w:sz w:val="24"/>
        </w:rPr>
        <w:t>基站自主选择）。</w:t>
      </w:r>
      <w:r>
        <w:rPr>
          <w:rFonts w:ascii="仿宋" w:eastAsia="仿宋" w:hAnsi="仿宋" w:cs="仿宋" w:hint="eastAsia"/>
          <w:b/>
          <w:bCs/>
          <w:color w:val="000000" w:themeColor="text1"/>
          <w:sz w:val="24"/>
        </w:rPr>
        <w:t>二是多省持续扩大分时电价执行范围</w:t>
      </w:r>
      <w:r>
        <w:rPr>
          <w:rFonts w:ascii="仿宋" w:eastAsia="仿宋" w:hAnsi="仿宋" w:cs="仿宋" w:hint="eastAsia"/>
          <w:color w:val="000000" w:themeColor="text1"/>
          <w:sz w:val="24"/>
        </w:rPr>
        <w:t>。北京、河南等陆续扩大覆盖范围至所有工商业用户（除国家专</w:t>
      </w:r>
      <w:proofErr w:type="gramStart"/>
      <w:r>
        <w:rPr>
          <w:rFonts w:ascii="仿宋" w:eastAsia="仿宋" w:hAnsi="仿宋" w:cs="仿宋" w:hint="eastAsia"/>
          <w:color w:val="000000" w:themeColor="text1"/>
          <w:sz w:val="24"/>
        </w:rPr>
        <w:t>规</w:t>
      </w:r>
      <w:proofErr w:type="gramEnd"/>
      <w:r>
        <w:rPr>
          <w:rFonts w:ascii="仿宋" w:eastAsia="仿宋" w:hAnsi="仿宋" w:cs="仿宋" w:hint="eastAsia"/>
          <w:color w:val="000000" w:themeColor="text1"/>
          <w:sz w:val="24"/>
        </w:rPr>
        <w:t>用电外）；浙江对大工业用户从选择执行改为强制执行；江苏、安徽等扩展至</w:t>
      </w:r>
      <w:r>
        <w:rPr>
          <w:rFonts w:ascii="仿宋" w:eastAsia="仿宋" w:hAnsi="仿宋" w:cs="仿宋" w:hint="eastAsia"/>
          <w:color w:val="000000" w:themeColor="text1"/>
          <w:sz w:val="24"/>
        </w:rPr>
        <w:t>100</w:t>
      </w:r>
      <w:r>
        <w:rPr>
          <w:rFonts w:ascii="仿宋" w:eastAsia="仿宋" w:hAnsi="仿宋" w:cs="仿宋" w:hint="eastAsia"/>
          <w:color w:val="000000" w:themeColor="text1"/>
          <w:sz w:val="24"/>
        </w:rPr>
        <w:t>千伏安以下工商业用户可自愿执行；广东计划从大工业用户逐步扩增至其他工商业用户。</w:t>
      </w:r>
      <w:r>
        <w:rPr>
          <w:rFonts w:ascii="仿宋" w:eastAsia="仿宋" w:hAnsi="仿宋" w:cs="仿宋" w:hint="eastAsia"/>
          <w:b/>
          <w:bCs/>
          <w:color w:val="000000" w:themeColor="text1"/>
          <w:sz w:val="24"/>
        </w:rPr>
        <w:t>随着新型电力系统与电力市场的进一步完善，预计未来分时电价政策实施范围将覆盖更多用电主体。</w:t>
      </w:r>
    </w:p>
    <w:p w:rsidR="00C232CE" w:rsidRDefault="00C232CE">
      <w:pPr>
        <w:spacing w:line="360" w:lineRule="auto"/>
        <w:jc w:val="left"/>
        <w:rPr>
          <w:rFonts w:ascii="仿宋" w:eastAsia="仿宋" w:hAnsi="仿宋" w:cs="仿宋"/>
          <w:color w:val="000000" w:themeColor="text1"/>
          <w:sz w:val="24"/>
        </w:rPr>
      </w:pPr>
    </w:p>
    <w:p w:rsidR="00C232CE" w:rsidRDefault="0014207B">
      <w:pPr>
        <w:keepNext/>
        <w:spacing w:line="360" w:lineRule="auto"/>
        <w:ind w:firstLineChars="200" w:firstLine="420"/>
        <w:jc w:val="center"/>
        <w:rPr>
          <w:rFonts w:ascii="仿宋" w:eastAsia="仿宋" w:hAnsi="仿宋" w:cs="仿宋"/>
          <w:color w:val="000000" w:themeColor="text1"/>
          <w:szCs w:val="21"/>
        </w:rPr>
      </w:pPr>
      <w:r>
        <w:rPr>
          <w:rFonts w:ascii="仿宋" w:eastAsia="仿宋" w:hAnsi="仿宋" w:cs="仿宋" w:hint="eastAsia"/>
          <w:color w:val="000000" w:themeColor="text1"/>
          <w:szCs w:val="21"/>
        </w:rPr>
        <w:t>表</w:t>
      </w:r>
      <w:r>
        <w:rPr>
          <w:rFonts w:ascii="仿宋" w:eastAsia="仿宋" w:hAnsi="仿宋" w:cs="仿宋" w:hint="eastAsia"/>
          <w:color w:val="000000" w:themeColor="text1"/>
          <w:szCs w:val="21"/>
        </w:rPr>
        <w:t xml:space="preserve">1 </w:t>
      </w:r>
      <w:r>
        <w:rPr>
          <w:rFonts w:ascii="仿宋" w:eastAsia="仿宋" w:hAnsi="仿宋" w:cs="仿宋" w:hint="eastAsia"/>
          <w:color w:val="000000" w:themeColor="text1"/>
          <w:spacing w:val="5"/>
          <w:shd w:val="clear" w:color="auto" w:fill="FFFFFF"/>
        </w:rPr>
        <w:t>全国各省分时电价执行范围</w:t>
      </w:r>
    </w:p>
    <w:tbl>
      <w:tblPr>
        <w:tblStyle w:val="a4"/>
        <w:tblW w:w="0" w:type="auto"/>
        <w:jc w:val="center"/>
        <w:tblLook w:val="04A0" w:firstRow="1" w:lastRow="0" w:firstColumn="1" w:lastColumn="0" w:noHBand="0" w:noVBand="1"/>
      </w:tblPr>
      <w:tblGrid>
        <w:gridCol w:w="3230"/>
        <w:gridCol w:w="3485"/>
        <w:gridCol w:w="738"/>
      </w:tblGrid>
      <w:tr w:rsidR="00C232CE">
        <w:trPr>
          <w:cantSplit/>
          <w:trHeight w:val="449"/>
          <w:jc w:val="center"/>
        </w:trPr>
        <w:tc>
          <w:tcPr>
            <w:tcW w:w="3230" w:type="dxa"/>
            <w:shd w:val="clear" w:color="auto" w:fill="D8D8D8" w:themeFill="background1" w:themeFillShade="D8"/>
            <w:vAlign w:val="center"/>
          </w:tcPr>
          <w:p w:rsidR="00C232CE" w:rsidRDefault="0014207B">
            <w:pPr>
              <w:jc w:val="center"/>
              <w:rPr>
                <w:rFonts w:ascii="楷体" w:eastAsia="楷体" w:hAnsi="楷体" w:cs="楷体"/>
                <w:b/>
                <w:bCs/>
                <w:color w:val="000000" w:themeColor="text1"/>
                <w:sz w:val="18"/>
                <w:szCs w:val="18"/>
              </w:rPr>
            </w:pPr>
            <w:r>
              <w:rPr>
                <w:rFonts w:ascii="楷体" w:eastAsia="楷体" w:hAnsi="楷体" w:cs="楷体" w:hint="eastAsia"/>
                <w:b/>
                <w:bCs/>
                <w:color w:val="000000" w:themeColor="text1"/>
                <w:sz w:val="18"/>
                <w:szCs w:val="18"/>
              </w:rPr>
              <w:t>分时电价执行范围</w:t>
            </w:r>
          </w:p>
        </w:tc>
        <w:tc>
          <w:tcPr>
            <w:tcW w:w="3485" w:type="dxa"/>
            <w:shd w:val="clear" w:color="auto" w:fill="D8D8D8" w:themeFill="background1" w:themeFillShade="D8"/>
            <w:vAlign w:val="center"/>
          </w:tcPr>
          <w:p w:rsidR="00C232CE" w:rsidRDefault="0014207B">
            <w:pPr>
              <w:jc w:val="center"/>
              <w:rPr>
                <w:rFonts w:ascii="楷体" w:eastAsia="楷体" w:hAnsi="楷体" w:cs="楷体"/>
                <w:b/>
                <w:bCs/>
                <w:color w:val="000000" w:themeColor="text1"/>
                <w:sz w:val="18"/>
                <w:szCs w:val="18"/>
              </w:rPr>
            </w:pPr>
            <w:r>
              <w:rPr>
                <w:rFonts w:ascii="楷体" w:eastAsia="楷体" w:hAnsi="楷体" w:cs="楷体" w:hint="eastAsia"/>
                <w:b/>
                <w:bCs/>
                <w:color w:val="000000" w:themeColor="text1"/>
                <w:sz w:val="18"/>
                <w:szCs w:val="18"/>
              </w:rPr>
              <w:t>涉及的省、自治区、直辖市</w:t>
            </w:r>
          </w:p>
        </w:tc>
        <w:tc>
          <w:tcPr>
            <w:tcW w:w="738" w:type="dxa"/>
            <w:shd w:val="clear" w:color="auto" w:fill="D8D8D8" w:themeFill="background1" w:themeFillShade="D8"/>
            <w:vAlign w:val="center"/>
          </w:tcPr>
          <w:p w:rsidR="00C232CE" w:rsidRDefault="0014207B">
            <w:pPr>
              <w:jc w:val="center"/>
              <w:rPr>
                <w:rFonts w:ascii="楷体" w:eastAsia="楷体" w:hAnsi="楷体" w:cs="楷体"/>
                <w:b/>
                <w:bCs/>
                <w:color w:val="000000" w:themeColor="text1"/>
                <w:sz w:val="18"/>
                <w:szCs w:val="18"/>
              </w:rPr>
            </w:pPr>
            <w:r>
              <w:rPr>
                <w:rFonts w:ascii="楷体" w:eastAsia="楷体" w:hAnsi="楷体" w:cs="楷体" w:hint="eastAsia"/>
                <w:b/>
                <w:bCs/>
                <w:color w:val="000000" w:themeColor="text1"/>
                <w:sz w:val="18"/>
                <w:szCs w:val="18"/>
              </w:rPr>
              <w:t>数量</w:t>
            </w:r>
          </w:p>
        </w:tc>
      </w:tr>
      <w:tr w:rsidR="00C232CE">
        <w:trPr>
          <w:cantSplit/>
          <w:trHeight w:val="1366"/>
          <w:jc w:val="center"/>
        </w:trPr>
        <w:tc>
          <w:tcPr>
            <w:tcW w:w="3230" w:type="dxa"/>
            <w:vAlign w:val="center"/>
          </w:tcPr>
          <w:p w:rsidR="00C232CE" w:rsidRDefault="0014207B">
            <w:pPr>
              <w:jc w:val="left"/>
              <w:rPr>
                <w:rFonts w:ascii="楷体" w:eastAsia="楷体" w:hAnsi="楷体" w:cs="楷体"/>
                <w:color w:val="000000" w:themeColor="text1"/>
                <w:sz w:val="18"/>
                <w:szCs w:val="18"/>
              </w:rPr>
            </w:pPr>
            <w:r>
              <w:rPr>
                <w:rFonts w:ascii="楷体" w:eastAsia="楷体" w:hAnsi="楷体" w:cs="楷体" w:hint="eastAsia"/>
                <w:color w:val="000000" w:themeColor="text1"/>
                <w:sz w:val="18"/>
                <w:szCs w:val="18"/>
              </w:rPr>
              <w:t>所有工商业电力用户执行（国家有专门规定的用电除外）</w:t>
            </w:r>
          </w:p>
        </w:tc>
        <w:tc>
          <w:tcPr>
            <w:tcW w:w="3485" w:type="dxa"/>
            <w:vAlign w:val="center"/>
          </w:tcPr>
          <w:p w:rsidR="00C232CE" w:rsidRDefault="0014207B">
            <w:pPr>
              <w:jc w:val="left"/>
              <w:rPr>
                <w:rFonts w:ascii="楷体" w:eastAsia="楷体" w:hAnsi="楷体" w:cs="楷体"/>
                <w:color w:val="000000" w:themeColor="text1"/>
                <w:sz w:val="18"/>
                <w:szCs w:val="18"/>
              </w:rPr>
            </w:pPr>
            <w:r>
              <w:rPr>
                <w:rFonts w:ascii="楷体" w:eastAsia="楷体" w:hAnsi="楷体" w:cs="楷体" w:hint="eastAsia"/>
                <w:color w:val="000000" w:themeColor="text1"/>
                <w:sz w:val="18"/>
                <w:szCs w:val="18"/>
              </w:rPr>
              <w:t>北京、上海、河南、福建、甘肃、山西、天津、宁夏、青海、山东、陕西、新疆</w:t>
            </w:r>
          </w:p>
        </w:tc>
        <w:tc>
          <w:tcPr>
            <w:tcW w:w="738" w:type="dxa"/>
            <w:vAlign w:val="center"/>
          </w:tcPr>
          <w:p w:rsidR="00C232CE" w:rsidRDefault="0014207B">
            <w:pPr>
              <w:spacing w:line="360" w:lineRule="auto"/>
              <w:jc w:val="center"/>
              <w:rPr>
                <w:rFonts w:ascii="楷体" w:eastAsia="楷体" w:hAnsi="楷体" w:cs="楷体"/>
                <w:color w:val="000000" w:themeColor="text1"/>
                <w:sz w:val="18"/>
                <w:szCs w:val="18"/>
              </w:rPr>
            </w:pPr>
            <w:r>
              <w:rPr>
                <w:rFonts w:ascii="楷体" w:eastAsia="楷体" w:hAnsi="楷体" w:cs="楷体" w:hint="eastAsia"/>
                <w:color w:val="000000" w:themeColor="text1"/>
                <w:sz w:val="18"/>
                <w:szCs w:val="18"/>
              </w:rPr>
              <w:t>12</w:t>
            </w:r>
          </w:p>
        </w:tc>
      </w:tr>
      <w:tr w:rsidR="00C232CE">
        <w:trPr>
          <w:cantSplit/>
          <w:trHeight w:val="1366"/>
          <w:jc w:val="center"/>
        </w:trPr>
        <w:tc>
          <w:tcPr>
            <w:tcW w:w="3230" w:type="dxa"/>
            <w:vAlign w:val="center"/>
          </w:tcPr>
          <w:p w:rsidR="00C232CE" w:rsidRDefault="0014207B">
            <w:pPr>
              <w:jc w:val="left"/>
              <w:rPr>
                <w:rFonts w:ascii="楷体" w:eastAsia="楷体" w:hAnsi="楷体" w:cs="楷体"/>
                <w:color w:val="000000" w:themeColor="text1"/>
                <w:sz w:val="18"/>
                <w:szCs w:val="18"/>
              </w:rPr>
            </w:pPr>
            <w:r>
              <w:rPr>
                <w:rFonts w:ascii="楷体" w:eastAsia="楷体" w:hAnsi="楷体" w:cs="楷体" w:hint="eastAsia"/>
                <w:color w:val="000000" w:themeColor="text1"/>
                <w:sz w:val="18"/>
                <w:szCs w:val="18"/>
              </w:rPr>
              <w:lastRenderedPageBreak/>
              <w:t>大工业用户、</w:t>
            </w:r>
            <w:r>
              <w:rPr>
                <w:rFonts w:ascii="楷体" w:eastAsia="楷体" w:hAnsi="楷体" w:cs="楷体" w:hint="eastAsia"/>
                <w:color w:val="000000" w:themeColor="text1"/>
                <w:sz w:val="18"/>
                <w:szCs w:val="18"/>
              </w:rPr>
              <w:t>100</w:t>
            </w:r>
            <w:r>
              <w:rPr>
                <w:rFonts w:ascii="楷体" w:eastAsia="楷体" w:hAnsi="楷体" w:cs="楷体" w:hint="eastAsia"/>
                <w:color w:val="000000" w:themeColor="text1"/>
                <w:sz w:val="18"/>
                <w:szCs w:val="18"/>
              </w:rPr>
              <w:t>千伏安及以上一般工商业用户等执行；</w:t>
            </w:r>
          </w:p>
          <w:p w:rsidR="00C232CE" w:rsidRDefault="0014207B">
            <w:pPr>
              <w:jc w:val="left"/>
              <w:rPr>
                <w:rFonts w:ascii="楷体" w:eastAsia="楷体" w:hAnsi="楷体" w:cs="楷体"/>
                <w:color w:val="000000" w:themeColor="text1"/>
                <w:sz w:val="18"/>
                <w:szCs w:val="18"/>
              </w:rPr>
            </w:pPr>
            <w:r>
              <w:rPr>
                <w:rFonts w:ascii="楷体" w:eastAsia="楷体" w:hAnsi="楷体" w:cs="楷体" w:hint="eastAsia"/>
                <w:color w:val="000000" w:themeColor="text1"/>
                <w:sz w:val="18"/>
                <w:szCs w:val="18"/>
              </w:rPr>
              <w:t>一般工商业及其他用户、</w:t>
            </w:r>
            <w:r>
              <w:rPr>
                <w:rFonts w:ascii="楷体" w:eastAsia="楷体" w:hAnsi="楷体" w:cs="楷体" w:hint="eastAsia"/>
                <w:color w:val="000000" w:themeColor="text1"/>
                <w:sz w:val="18"/>
                <w:szCs w:val="18"/>
              </w:rPr>
              <w:t>100</w:t>
            </w:r>
            <w:r>
              <w:rPr>
                <w:rFonts w:ascii="楷体" w:eastAsia="楷体" w:hAnsi="楷体" w:cs="楷体" w:hint="eastAsia"/>
                <w:color w:val="000000" w:themeColor="text1"/>
                <w:sz w:val="18"/>
                <w:szCs w:val="18"/>
              </w:rPr>
              <w:t>千伏安以下工商业用户可自愿选择执行；</w:t>
            </w:r>
          </w:p>
        </w:tc>
        <w:tc>
          <w:tcPr>
            <w:tcW w:w="3485" w:type="dxa"/>
            <w:vAlign w:val="center"/>
          </w:tcPr>
          <w:p w:rsidR="00C232CE" w:rsidRDefault="0014207B">
            <w:pPr>
              <w:pStyle w:val="a3"/>
              <w:widowControl/>
              <w:shd w:val="clear" w:color="auto" w:fill="FFFFFF"/>
              <w:spacing w:beforeAutospacing="0" w:afterAutospacing="0" w:line="10" w:lineRule="atLeast"/>
              <w:rPr>
                <w:rFonts w:ascii="楷体" w:eastAsia="楷体" w:hAnsi="楷体" w:cs="楷体"/>
                <w:color w:val="000000" w:themeColor="text1"/>
                <w:sz w:val="18"/>
                <w:szCs w:val="18"/>
              </w:rPr>
            </w:pPr>
            <w:r>
              <w:rPr>
                <w:rFonts w:ascii="楷体" w:eastAsia="楷体" w:hAnsi="楷体" w:cs="楷体" w:hint="eastAsia"/>
                <w:color w:val="000000" w:themeColor="text1"/>
                <w:sz w:val="18"/>
                <w:szCs w:val="18"/>
              </w:rPr>
              <w:t>江苏、湖南、浙江、安徽、海南、内蒙古、黑龙江、河北、四川</w:t>
            </w:r>
          </w:p>
        </w:tc>
        <w:tc>
          <w:tcPr>
            <w:tcW w:w="738" w:type="dxa"/>
            <w:vAlign w:val="center"/>
          </w:tcPr>
          <w:p w:rsidR="00C232CE" w:rsidRDefault="0014207B">
            <w:pPr>
              <w:spacing w:line="360" w:lineRule="auto"/>
              <w:jc w:val="center"/>
              <w:rPr>
                <w:rFonts w:ascii="楷体" w:eastAsia="楷体" w:hAnsi="楷体" w:cs="楷体"/>
                <w:color w:val="000000" w:themeColor="text1"/>
                <w:sz w:val="18"/>
                <w:szCs w:val="18"/>
              </w:rPr>
            </w:pPr>
            <w:r>
              <w:rPr>
                <w:rFonts w:ascii="楷体" w:eastAsia="楷体" w:hAnsi="楷体" w:cs="楷体" w:hint="eastAsia"/>
                <w:color w:val="000000" w:themeColor="text1"/>
                <w:sz w:val="18"/>
                <w:szCs w:val="18"/>
              </w:rPr>
              <w:t>9</w:t>
            </w:r>
          </w:p>
        </w:tc>
      </w:tr>
      <w:tr w:rsidR="00C232CE">
        <w:trPr>
          <w:cantSplit/>
          <w:trHeight w:val="1393"/>
          <w:jc w:val="center"/>
        </w:trPr>
        <w:tc>
          <w:tcPr>
            <w:tcW w:w="3230" w:type="dxa"/>
            <w:vAlign w:val="center"/>
          </w:tcPr>
          <w:p w:rsidR="00C232CE" w:rsidRDefault="0014207B">
            <w:pPr>
              <w:jc w:val="left"/>
              <w:rPr>
                <w:rFonts w:ascii="楷体" w:eastAsia="楷体" w:hAnsi="楷体" w:cs="楷体"/>
                <w:color w:val="000000" w:themeColor="text1"/>
                <w:sz w:val="18"/>
                <w:szCs w:val="18"/>
              </w:rPr>
            </w:pPr>
            <w:r>
              <w:rPr>
                <w:rFonts w:ascii="楷体" w:eastAsia="楷体" w:hAnsi="楷体" w:cs="楷体" w:hint="eastAsia"/>
                <w:color w:val="000000" w:themeColor="text1"/>
                <w:sz w:val="18"/>
                <w:szCs w:val="18"/>
              </w:rPr>
              <w:t>大工业用户、</w:t>
            </w:r>
            <w:r>
              <w:rPr>
                <w:rFonts w:ascii="楷体" w:eastAsia="楷体" w:hAnsi="楷体" w:cs="楷体" w:hint="eastAsia"/>
                <w:color w:val="000000" w:themeColor="text1"/>
                <w:sz w:val="18"/>
                <w:szCs w:val="18"/>
              </w:rPr>
              <w:t>100</w:t>
            </w:r>
            <w:r>
              <w:rPr>
                <w:rFonts w:ascii="楷体" w:eastAsia="楷体" w:hAnsi="楷体" w:cs="楷体" w:hint="eastAsia"/>
                <w:color w:val="000000" w:themeColor="text1"/>
                <w:sz w:val="18"/>
                <w:szCs w:val="18"/>
              </w:rPr>
              <w:t>千伏安及以上一般工商业用户、</w:t>
            </w:r>
            <w:r>
              <w:rPr>
                <w:rFonts w:ascii="楷体" w:eastAsia="楷体" w:hAnsi="楷体" w:cs="楷体" w:hint="eastAsia"/>
                <w:color w:val="000000" w:themeColor="text1"/>
                <w:sz w:val="18"/>
                <w:szCs w:val="18"/>
              </w:rPr>
              <w:t>10</w:t>
            </w:r>
            <w:r>
              <w:rPr>
                <w:rFonts w:ascii="楷体" w:eastAsia="楷体" w:hAnsi="楷体" w:cs="楷体" w:hint="eastAsia"/>
                <w:color w:val="000000" w:themeColor="text1"/>
                <w:sz w:val="18"/>
                <w:szCs w:val="18"/>
              </w:rPr>
              <w:t>千伏或以上专用变压器用户等执行</w:t>
            </w:r>
            <w:r>
              <w:rPr>
                <w:rFonts w:ascii="楷体" w:eastAsia="楷体" w:hAnsi="楷体" w:cs="楷体" w:hint="eastAsia"/>
                <w:color w:val="000000" w:themeColor="text1"/>
                <w:sz w:val="18"/>
                <w:szCs w:val="18"/>
              </w:rPr>
              <w:t>；</w:t>
            </w:r>
          </w:p>
          <w:p w:rsidR="00C232CE" w:rsidRDefault="0014207B">
            <w:pPr>
              <w:jc w:val="left"/>
              <w:rPr>
                <w:rFonts w:ascii="楷体" w:eastAsia="楷体" w:hAnsi="楷体" w:cs="楷体"/>
                <w:color w:val="000000" w:themeColor="text1"/>
                <w:sz w:val="18"/>
                <w:szCs w:val="18"/>
              </w:rPr>
            </w:pPr>
            <w:r>
              <w:rPr>
                <w:rFonts w:ascii="楷体" w:eastAsia="楷体" w:hAnsi="楷体" w:cs="楷体" w:hint="eastAsia"/>
                <w:color w:val="000000" w:themeColor="text1"/>
                <w:sz w:val="18"/>
                <w:szCs w:val="18"/>
              </w:rPr>
              <w:t>其他用户类型暂不支持；</w:t>
            </w:r>
          </w:p>
        </w:tc>
        <w:tc>
          <w:tcPr>
            <w:tcW w:w="3485" w:type="dxa"/>
            <w:vAlign w:val="center"/>
          </w:tcPr>
          <w:p w:rsidR="00C232CE" w:rsidRDefault="0014207B">
            <w:pPr>
              <w:pStyle w:val="a3"/>
              <w:widowControl/>
              <w:shd w:val="clear" w:color="auto" w:fill="FFFFFF"/>
              <w:spacing w:beforeAutospacing="0" w:afterAutospacing="0" w:line="10" w:lineRule="atLeast"/>
              <w:rPr>
                <w:rFonts w:ascii="楷体" w:eastAsia="楷体" w:hAnsi="楷体" w:cs="楷体"/>
                <w:color w:val="000000" w:themeColor="text1"/>
                <w:sz w:val="18"/>
                <w:szCs w:val="18"/>
              </w:rPr>
            </w:pPr>
            <w:r>
              <w:rPr>
                <w:rFonts w:ascii="楷体" w:eastAsia="楷体" w:hAnsi="楷体" w:cs="楷体" w:hint="eastAsia"/>
                <w:color w:val="000000" w:themeColor="text1"/>
                <w:kern w:val="2"/>
                <w:sz w:val="18"/>
                <w:szCs w:val="18"/>
                <w:lang w:bidi="ar-SA"/>
              </w:rPr>
              <w:t>江西、湖北、广东、贵州、云南、辽宁、重庆、广西、西藏、吉林</w:t>
            </w:r>
          </w:p>
        </w:tc>
        <w:tc>
          <w:tcPr>
            <w:tcW w:w="738" w:type="dxa"/>
            <w:vAlign w:val="center"/>
          </w:tcPr>
          <w:p w:rsidR="00C232CE" w:rsidRDefault="0014207B">
            <w:pPr>
              <w:spacing w:line="360" w:lineRule="auto"/>
              <w:jc w:val="center"/>
              <w:rPr>
                <w:rFonts w:ascii="楷体" w:eastAsia="楷体" w:hAnsi="楷体" w:cs="楷体"/>
                <w:color w:val="000000" w:themeColor="text1"/>
                <w:sz w:val="18"/>
                <w:szCs w:val="18"/>
              </w:rPr>
            </w:pPr>
            <w:r>
              <w:rPr>
                <w:rFonts w:ascii="楷体" w:eastAsia="楷体" w:hAnsi="楷体" w:cs="楷体" w:hint="eastAsia"/>
                <w:color w:val="000000" w:themeColor="text1"/>
                <w:sz w:val="18"/>
                <w:szCs w:val="18"/>
              </w:rPr>
              <w:t>10</w:t>
            </w:r>
          </w:p>
        </w:tc>
      </w:tr>
    </w:tbl>
    <w:p w:rsidR="00C232CE" w:rsidRDefault="00C232CE">
      <w:pPr>
        <w:spacing w:line="360" w:lineRule="auto"/>
        <w:ind w:firstLineChars="200" w:firstLine="480"/>
        <w:jc w:val="left"/>
        <w:rPr>
          <w:rFonts w:ascii="仿宋" w:eastAsia="仿宋" w:hAnsi="仿宋" w:cs="仿宋"/>
          <w:color w:val="000000" w:themeColor="text1"/>
          <w:sz w:val="24"/>
          <w:highlight w:val="cyan"/>
        </w:rPr>
      </w:pPr>
    </w:p>
    <w:p w:rsidR="00C232CE" w:rsidRDefault="0014207B">
      <w:pPr>
        <w:spacing w:line="360" w:lineRule="auto"/>
        <w:ind w:firstLineChars="200" w:firstLine="480"/>
        <w:jc w:val="left"/>
        <w:rPr>
          <w:rFonts w:ascii="仿宋" w:eastAsia="仿宋" w:hAnsi="仿宋" w:cs="仿宋"/>
          <w:b/>
          <w:bCs/>
          <w:color w:val="000000" w:themeColor="text1"/>
          <w:sz w:val="24"/>
        </w:rPr>
      </w:pPr>
      <w:r>
        <w:rPr>
          <w:rFonts w:ascii="仿宋" w:eastAsia="仿宋" w:hAnsi="仿宋" w:cs="仿宋" w:hint="eastAsia"/>
          <w:color w:val="000000" w:themeColor="text1"/>
          <w:sz w:val="24"/>
        </w:rPr>
        <w:t>针对分时电价范围扩大与成本压力，信息通信行业正积极探索应对方案。</w:t>
      </w:r>
      <w:r>
        <w:rPr>
          <w:rFonts w:ascii="仿宋" w:eastAsia="仿宋" w:hAnsi="仿宋" w:cs="仿宋" w:hint="eastAsia"/>
          <w:b/>
          <w:bCs/>
          <w:color w:val="000000" w:themeColor="text1"/>
          <w:sz w:val="24"/>
        </w:rPr>
        <w:t>一是建设“可再生能源</w:t>
      </w:r>
      <w:r>
        <w:rPr>
          <w:rFonts w:ascii="仿宋" w:eastAsia="仿宋" w:hAnsi="仿宋" w:cs="仿宋" w:hint="eastAsia"/>
          <w:b/>
          <w:bCs/>
          <w:color w:val="000000" w:themeColor="text1"/>
          <w:sz w:val="24"/>
        </w:rPr>
        <w:t>+</w:t>
      </w:r>
      <w:r>
        <w:rPr>
          <w:rFonts w:ascii="仿宋" w:eastAsia="仿宋" w:hAnsi="仿宋" w:cs="仿宋" w:hint="eastAsia"/>
          <w:b/>
          <w:bCs/>
          <w:color w:val="000000" w:themeColor="text1"/>
          <w:sz w:val="24"/>
        </w:rPr>
        <w:t>新型储能”设施。</w:t>
      </w:r>
      <w:r>
        <w:rPr>
          <w:rFonts w:ascii="仿宋" w:eastAsia="仿宋" w:hAnsi="仿宋" w:cs="仿宋" w:hint="eastAsia"/>
          <w:color w:val="000000" w:themeColor="text1"/>
          <w:sz w:val="24"/>
        </w:rPr>
        <w:t>如中国电信（安徽）</w:t>
      </w:r>
      <w:proofErr w:type="gramStart"/>
      <w:r>
        <w:rPr>
          <w:rFonts w:ascii="仿宋" w:eastAsia="仿宋" w:hAnsi="仿宋" w:cs="仿宋" w:hint="eastAsia"/>
          <w:color w:val="000000" w:themeColor="text1"/>
          <w:sz w:val="24"/>
        </w:rPr>
        <w:t>智算中心</w:t>
      </w:r>
      <w:proofErr w:type="gramEnd"/>
      <w:r>
        <w:rPr>
          <w:rFonts w:ascii="仿宋" w:eastAsia="仿宋" w:hAnsi="仿宋" w:cs="仿宋" w:hint="eastAsia"/>
          <w:color w:val="000000" w:themeColor="text1"/>
          <w:sz w:val="24"/>
        </w:rPr>
        <w:t>储能项目计划采用磷酸铁锂集装箱储能技术，通过削峰填谷压降电费，</w:t>
      </w:r>
      <w:proofErr w:type="gramStart"/>
      <w:r>
        <w:rPr>
          <w:rFonts w:ascii="仿宋" w:eastAsia="仿宋" w:hAnsi="仿宋" w:cs="仿宋" w:hint="eastAsia"/>
          <w:color w:val="000000" w:themeColor="text1"/>
          <w:sz w:val="24"/>
        </w:rPr>
        <w:t>为智算中心</w:t>
      </w:r>
      <w:proofErr w:type="gramEnd"/>
      <w:r>
        <w:rPr>
          <w:rFonts w:ascii="仿宋" w:eastAsia="仿宋" w:hAnsi="仿宋" w:cs="仿宋" w:hint="eastAsia"/>
          <w:color w:val="000000" w:themeColor="text1"/>
          <w:sz w:val="24"/>
        </w:rPr>
        <w:t>提供高效、可靠的储能解决方案。中国移动在通信站点“源网荷储”一体化项目利用储备一体</w:t>
      </w:r>
      <w:proofErr w:type="gramStart"/>
      <w:r>
        <w:rPr>
          <w:rFonts w:ascii="仿宋" w:eastAsia="仿宋" w:hAnsi="仿宋" w:cs="仿宋" w:hint="eastAsia"/>
          <w:color w:val="000000" w:themeColor="text1"/>
          <w:sz w:val="24"/>
        </w:rPr>
        <w:t>和铅碳电池</w:t>
      </w:r>
      <w:proofErr w:type="gramEnd"/>
      <w:r>
        <w:rPr>
          <w:rFonts w:ascii="仿宋" w:eastAsia="仿宋" w:hAnsi="仿宋" w:cs="仿宋" w:hint="eastAsia"/>
          <w:color w:val="000000" w:themeColor="text1"/>
          <w:sz w:val="24"/>
        </w:rPr>
        <w:t>延寿等技术，实现负荷保供与峰谷收益。</w:t>
      </w:r>
      <w:r>
        <w:rPr>
          <w:rFonts w:ascii="仿宋" w:eastAsia="仿宋" w:hAnsi="仿宋" w:cs="仿宋" w:hint="eastAsia"/>
          <w:b/>
          <w:bCs/>
          <w:color w:val="000000" w:themeColor="text1"/>
          <w:sz w:val="24"/>
        </w:rPr>
        <w:t>二是构建智慧能源管理</w:t>
      </w:r>
      <w:r>
        <w:rPr>
          <w:rFonts w:ascii="仿宋" w:eastAsia="仿宋" w:hAnsi="仿宋" w:cs="仿宋"/>
          <w:b/>
          <w:bCs/>
          <w:color w:val="000000" w:themeColor="text1"/>
          <w:sz w:val="24"/>
        </w:rPr>
        <w:t>平台</w:t>
      </w:r>
      <w:r>
        <w:rPr>
          <w:rFonts w:ascii="仿宋" w:eastAsia="仿宋" w:hAnsi="仿宋" w:cs="仿宋" w:hint="eastAsia"/>
          <w:color w:val="000000" w:themeColor="text1"/>
          <w:sz w:val="24"/>
        </w:rPr>
        <w:t>。如</w:t>
      </w:r>
      <w:proofErr w:type="gramStart"/>
      <w:r>
        <w:rPr>
          <w:rFonts w:ascii="仿宋" w:eastAsia="仿宋" w:hAnsi="仿宋" w:cs="仿宋" w:hint="eastAsia"/>
          <w:color w:val="000000" w:themeColor="text1"/>
          <w:sz w:val="24"/>
        </w:rPr>
        <w:t>合盈数据张家口算力集群打造算电智慧</w:t>
      </w:r>
      <w:proofErr w:type="gramEnd"/>
      <w:r>
        <w:rPr>
          <w:rFonts w:ascii="仿宋" w:eastAsia="仿宋" w:hAnsi="仿宋" w:cs="仿宋" w:hint="eastAsia"/>
          <w:color w:val="000000" w:themeColor="text1"/>
          <w:sz w:val="24"/>
        </w:rPr>
        <w:t>协同管理系统，提升分时电价下的电力调峰能力。中国铁塔</w:t>
      </w:r>
      <w:proofErr w:type="gramStart"/>
      <w:r>
        <w:rPr>
          <w:rFonts w:ascii="仿宋" w:eastAsia="仿宋" w:hAnsi="仿宋" w:cs="仿宋" w:hint="eastAsia"/>
          <w:color w:val="000000" w:themeColor="text1"/>
          <w:sz w:val="24"/>
        </w:rPr>
        <w:t>研</w:t>
      </w:r>
      <w:proofErr w:type="gramEnd"/>
      <w:r>
        <w:rPr>
          <w:rFonts w:ascii="仿宋" w:eastAsia="仿宋" w:hAnsi="仿宋" w:cs="仿宋" w:hint="eastAsia"/>
          <w:color w:val="000000" w:themeColor="text1"/>
          <w:sz w:val="24"/>
        </w:rPr>
        <w:t>推出基站虚拟电厂平台，整合空调、</w:t>
      </w:r>
      <w:proofErr w:type="gramStart"/>
      <w:r>
        <w:rPr>
          <w:rFonts w:ascii="仿宋" w:eastAsia="仿宋" w:hAnsi="仿宋" w:cs="仿宋" w:hint="eastAsia"/>
          <w:color w:val="000000" w:themeColor="text1"/>
          <w:sz w:val="24"/>
        </w:rPr>
        <w:t>光伏及备用</w:t>
      </w:r>
      <w:proofErr w:type="gramEnd"/>
      <w:r>
        <w:rPr>
          <w:rFonts w:ascii="仿宋" w:eastAsia="仿宋" w:hAnsi="仿宋" w:cs="仿宋" w:hint="eastAsia"/>
          <w:color w:val="000000" w:themeColor="text1"/>
          <w:sz w:val="24"/>
        </w:rPr>
        <w:t>储能参与电网需求响应和削峰填谷。</w:t>
      </w:r>
      <w:r>
        <w:rPr>
          <w:rFonts w:ascii="仿宋" w:eastAsia="仿宋" w:hAnsi="仿宋" w:cs="仿宋" w:hint="eastAsia"/>
          <w:b/>
          <w:bCs/>
          <w:color w:val="000000" w:themeColor="text1"/>
          <w:sz w:val="24"/>
        </w:rPr>
        <w:t>通过储能设施与智能管理协同，实现用电成本优化与电网调节能力提升。</w:t>
      </w:r>
    </w:p>
    <w:p w:rsidR="00C232CE" w:rsidRDefault="0014207B">
      <w:pPr>
        <w:pStyle w:val="1"/>
        <w:rPr>
          <w:sz w:val="28"/>
          <w:szCs w:val="18"/>
        </w:rPr>
      </w:pPr>
      <w:bookmarkStart w:id="0" w:name="_Toc26399"/>
      <w:r>
        <w:rPr>
          <w:rFonts w:hint="eastAsia"/>
          <w:sz w:val="28"/>
          <w:szCs w:val="18"/>
        </w:rPr>
        <w:t>二、</w:t>
      </w:r>
      <w:bookmarkEnd w:id="0"/>
      <w:r>
        <w:rPr>
          <w:rFonts w:hint="eastAsia"/>
          <w:sz w:val="28"/>
          <w:szCs w:val="18"/>
        </w:rPr>
        <w:t>分时电价实施对通信运营商的影响和挑战</w:t>
      </w:r>
    </w:p>
    <w:p w:rsidR="00C232CE" w:rsidRDefault="0014207B">
      <w:pPr>
        <w:spacing w:line="360" w:lineRule="auto"/>
        <w:ind w:firstLineChars="200" w:firstLine="482"/>
        <w:jc w:val="left"/>
        <w:outlineLvl w:val="1"/>
        <w:rPr>
          <w:rFonts w:ascii="仿宋" w:eastAsia="仿宋" w:hAnsi="仿宋" w:cs="仿宋"/>
          <w:b/>
          <w:bCs/>
          <w:color w:val="000000" w:themeColor="text1"/>
          <w:sz w:val="24"/>
        </w:rPr>
      </w:pPr>
      <w:r>
        <w:rPr>
          <w:rFonts w:ascii="仿宋" w:eastAsia="仿宋" w:hAnsi="仿宋" w:cs="仿宋" w:hint="eastAsia"/>
          <w:b/>
          <w:bCs/>
          <w:color w:val="000000" w:themeColor="text1"/>
          <w:sz w:val="24"/>
        </w:rPr>
        <w:t>（一）分时电价全面执行将增加企业电费支出</w:t>
      </w:r>
    </w:p>
    <w:p w:rsidR="00C232CE" w:rsidRDefault="0014207B">
      <w:pPr>
        <w:widowControl/>
        <w:shd w:val="clear" w:color="auto" w:fill="FFFFFF"/>
        <w:spacing w:line="360" w:lineRule="auto"/>
        <w:ind w:firstLineChars="200" w:firstLine="500"/>
        <w:jc w:val="left"/>
        <w:rPr>
          <w:rFonts w:ascii="仿宋" w:eastAsia="仿宋" w:hAnsi="仿宋" w:cs="仿宋"/>
          <w:color w:val="000000" w:themeColor="text1"/>
          <w:spacing w:val="5"/>
          <w:sz w:val="24"/>
          <w:szCs w:val="32"/>
          <w:shd w:val="clear" w:color="auto" w:fill="FFFFFF"/>
        </w:rPr>
      </w:pPr>
      <w:r>
        <w:rPr>
          <w:rFonts w:ascii="仿宋" w:eastAsia="仿宋" w:hAnsi="仿宋" w:cs="仿宋" w:hint="eastAsia"/>
          <w:color w:val="000000" w:themeColor="text1"/>
          <w:spacing w:val="5"/>
          <w:sz w:val="24"/>
          <w:szCs w:val="32"/>
          <w:shd w:val="clear" w:color="auto" w:fill="FFFFFF"/>
        </w:rPr>
        <w:t>在综合型通信机楼中，办公场所和营业厅用电通常与大楼共用同一电表。由于这些负荷在白天电价高峰时段用电量集中（如办公设备、空调运行），而夜间用电需求显著降低，实施分时电价后，高峰时段的高电价将显著推高整体电费支出。</w:t>
      </w:r>
      <w:r>
        <w:rPr>
          <w:rFonts w:ascii="仿宋" w:eastAsia="仿宋" w:hAnsi="仿宋" w:cs="仿宋" w:hint="eastAsia"/>
          <w:b/>
          <w:bCs/>
          <w:color w:val="000000" w:themeColor="text1"/>
          <w:spacing w:val="5"/>
          <w:sz w:val="24"/>
          <w:szCs w:val="32"/>
          <w:shd w:val="clear" w:color="auto" w:fill="FFFFFF"/>
        </w:rPr>
        <w:t>以南方某综合通信机楼为例，执行分时电价后需要增加</w:t>
      </w:r>
      <w:r>
        <w:rPr>
          <w:rFonts w:ascii="仿宋" w:eastAsia="仿宋" w:hAnsi="仿宋" w:cs="仿宋" w:hint="eastAsia"/>
          <w:b/>
          <w:bCs/>
          <w:color w:val="000000" w:themeColor="text1"/>
          <w:spacing w:val="5"/>
          <w:sz w:val="24"/>
          <w:szCs w:val="32"/>
          <w:shd w:val="clear" w:color="auto" w:fill="FFFFFF"/>
        </w:rPr>
        <w:t>5%</w:t>
      </w:r>
      <w:r>
        <w:rPr>
          <w:rFonts w:ascii="仿宋" w:eastAsia="仿宋" w:hAnsi="仿宋" w:cs="仿宋" w:hint="eastAsia"/>
          <w:b/>
          <w:bCs/>
          <w:color w:val="000000" w:themeColor="text1"/>
          <w:spacing w:val="5"/>
          <w:sz w:val="24"/>
          <w:szCs w:val="32"/>
          <w:shd w:val="clear" w:color="auto" w:fill="FFFFFF"/>
        </w:rPr>
        <w:t>的电费支出，如通过削峰填谷可以使电费支出减少超过</w:t>
      </w:r>
      <w:r>
        <w:rPr>
          <w:rFonts w:ascii="仿宋" w:eastAsia="仿宋" w:hAnsi="仿宋" w:cs="仿宋" w:hint="eastAsia"/>
          <w:b/>
          <w:bCs/>
          <w:color w:val="000000" w:themeColor="text1"/>
          <w:spacing w:val="5"/>
          <w:sz w:val="24"/>
          <w:szCs w:val="32"/>
          <w:shd w:val="clear" w:color="auto" w:fill="FFFFFF"/>
        </w:rPr>
        <w:t>20%</w:t>
      </w:r>
      <w:r>
        <w:rPr>
          <w:rFonts w:ascii="仿宋" w:eastAsia="仿宋" w:hAnsi="仿宋" w:cs="仿宋" w:hint="eastAsia"/>
          <w:color w:val="000000" w:themeColor="text1"/>
          <w:spacing w:val="5"/>
          <w:sz w:val="24"/>
          <w:szCs w:val="32"/>
          <w:shd w:val="clear" w:color="auto" w:fill="FFFFFF"/>
        </w:rPr>
        <w:t>。</w:t>
      </w:r>
    </w:p>
    <w:p w:rsidR="00C232CE" w:rsidRDefault="0014207B">
      <w:pPr>
        <w:widowControl/>
        <w:shd w:val="clear" w:color="auto" w:fill="FFFFFF"/>
        <w:spacing w:before="100" w:line="360" w:lineRule="auto"/>
        <w:ind w:firstLineChars="200" w:firstLine="420"/>
        <w:jc w:val="center"/>
        <w:rPr>
          <w:rFonts w:ascii="仿宋" w:eastAsia="仿宋" w:hAnsi="仿宋" w:cs="仿宋"/>
          <w:color w:val="000000" w:themeColor="text1"/>
          <w:spacing w:val="5"/>
          <w:sz w:val="24"/>
          <w:szCs w:val="32"/>
          <w:shd w:val="clear" w:color="auto" w:fill="FFFFFF"/>
        </w:rPr>
      </w:pPr>
      <w:r>
        <w:rPr>
          <w:noProof/>
        </w:rPr>
        <w:lastRenderedPageBreak/>
        <w:drawing>
          <wp:inline distT="0" distB="0" distL="114300" distR="114300">
            <wp:extent cx="3096260" cy="1969770"/>
            <wp:effectExtent l="0" t="0" r="1270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096260" cy="1969770"/>
                    </a:xfrm>
                    <a:prstGeom prst="rect">
                      <a:avLst/>
                    </a:prstGeom>
                    <a:noFill/>
                    <a:ln>
                      <a:noFill/>
                    </a:ln>
                  </pic:spPr>
                </pic:pic>
              </a:graphicData>
            </a:graphic>
          </wp:inline>
        </w:drawing>
      </w:r>
    </w:p>
    <w:p w:rsidR="00C232CE" w:rsidRDefault="0014207B">
      <w:pPr>
        <w:widowControl/>
        <w:shd w:val="clear" w:color="auto" w:fill="FFFFFF"/>
        <w:spacing w:beforeLines="50" w:before="156"/>
        <w:ind w:firstLineChars="200" w:firstLine="440"/>
        <w:jc w:val="center"/>
        <w:rPr>
          <w:rFonts w:ascii="仿宋" w:eastAsia="仿宋" w:hAnsi="仿宋" w:cs="仿宋"/>
          <w:color w:val="000000" w:themeColor="text1"/>
          <w:spacing w:val="5"/>
          <w:shd w:val="clear" w:color="auto" w:fill="FFFFFF"/>
        </w:rPr>
      </w:pPr>
      <w:r>
        <w:rPr>
          <w:rFonts w:ascii="仿宋" w:eastAsia="仿宋" w:hAnsi="仿宋" w:cs="仿宋" w:hint="eastAsia"/>
          <w:color w:val="000000" w:themeColor="text1"/>
          <w:spacing w:val="5"/>
          <w:shd w:val="clear" w:color="auto" w:fill="FFFFFF"/>
        </w:rPr>
        <w:t>图</w:t>
      </w:r>
      <w:r>
        <w:rPr>
          <w:rFonts w:ascii="仿宋" w:eastAsia="仿宋" w:hAnsi="仿宋" w:cs="仿宋" w:hint="eastAsia"/>
          <w:color w:val="000000" w:themeColor="text1"/>
          <w:spacing w:val="5"/>
          <w:shd w:val="clear" w:color="auto" w:fill="FFFFFF"/>
        </w:rPr>
        <w:t xml:space="preserve">1 </w:t>
      </w:r>
      <w:r>
        <w:rPr>
          <w:rFonts w:ascii="仿宋" w:eastAsia="仿宋" w:hAnsi="仿宋" w:cs="仿宋" w:hint="eastAsia"/>
          <w:color w:val="000000" w:themeColor="text1"/>
          <w:spacing w:val="5"/>
          <w:shd w:val="clear" w:color="auto" w:fill="FFFFFF"/>
        </w:rPr>
        <w:t>南方某综合通信机楼的电费预测图</w:t>
      </w:r>
    </w:p>
    <w:p w:rsidR="00C232CE" w:rsidRDefault="00C232CE">
      <w:pPr>
        <w:widowControl/>
        <w:shd w:val="clear" w:color="auto" w:fill="FFFFFF"/>
        <w:ind w:firstLineChars="200" w:firstLine="440"/>
        <w:jc w:val="center"/>
        <w:rPr>
          <w:rFonts w:ascii="仿宋" w:eastAsia="仿宋" w:hAnsi="仿宋" w:cs="仿宋"/>
          <w:color w:val="000000" w:themeColor="text1"/>
          <w:spacing w:val="5"/>
          <w:shd w:val="clear" w:color="auto" w:fill="FFFFFF"/>
        </w:rPr>
      </w:pPr>
    </w:p>
    <w:p w:rsidR="00C232CE" w:rsidRDefault="0014207B">
      <w:pPr>
        <w:widowControl/>
        <w:shd w:val="clear" w:color="auto" w:fill="FFFFFF"/>
        <w:spacing w:line="360" w:lineRule="auto"/>
        <w:ind w:firstLineChars="200" w:firstLine="500"/>
        <w:jc w:val="left"/>
        <w:rPr>
          <w:rFonts w:ascii="仿宋" w:eastAsia="仿宋" w:hAnsi="仿宋" w:cs="仿宋"/>
          <w:color w:val="000000" w:themeColor="text1"/>
          <w:spacing w:val="5"/>
          <w:sz w:val="24"/>
          <w:szCs w:val="32"/>
          <w:shd w:val="clear" w:color="auto" w:fill="FFFFFF"/>
        </w:rPr>
      </w:pPr>
      <w:r>
        <w:rPr>
          <w:rFonts w:ascii="仿宋" w:eastAsia="仿宋" w:hAnsi="仿宋" w:cs="仿宋" w:hint="eastAsia"/>
          <w:color w:val="000000" w:themeColor="text1"/>
          <w:spacing w:val="5"/>
          <w:sz w:val="24"/>
          <w:szCs w:val="32"/>
          <w:shd w:val="clear" w:color="auto" w:fill="FFFFFF"/>
        </w:rPr>
        <w:t>从季节性用电特性分析，夏季执行分时电价将显著增加电费支出。这是因为炎热气候下，机房空调需在白天电价高峰时段高强度运行以散热，此时用电需求远高于夜间低谷时段。</w:t>
      </w:r>
      <w:r>
        <w:rPr>
          <w:rFonts w:ascii="仿宋" w:eastAsia="仿宋" w:hAnsi="仿宋" w:cs="仿宋" w:hint="eastAsia"/>
          <w:b/>
          <w:bCs/>
          <w:color w:val="000000" w:themeColor="text1"/>
          <w:spacing w:val="5"/>
          <w:sz w:val="24"/>
          <w:szCs w:val="32"/>
          <w:shd w:val="clear" w:color="auto" w:fill="FFFFFF"/>
        </w:rPr>
        <w:t>以南方某综合</w:t>
      </w:r>
      <w:proofErr w:type="gramStart"/>
      <w:r>
        <w:rPr>
          <w:rFonts w:ascii="仿宋" w:eastAsia="仿宋" w:hAnsi="仿宋" w:cs="仿宋" w:hint="eastAsia"/>
          <w:b/>
          <w:bCs/>
          <w:color w:val="000000" w:themeColor="text1"/>
          <w:spacing w:val="5"/>
          <w:sz w:val="24"/>
          <w:szCs w:val="32"/>
          <w:shd w:val="clear" w:color="auto" w:fill="FFFFFF"/>
        </w:rPr>
        <w:t>接入区</w:t>
      </w:r>
      <w:proofErr w:type="gramEnd"/>
      <w:r>
        <w:rPr>
          <w:rFonts w:ascii="仿宋" w:eastAsia="仿宋" w:hAnsi="仿宋" w:cs="仿宋" w:hint="eastAsia"/>
          <w:b/>
          <w:bCs/>
          <w:color w:val="000000" w:themeColor="text1"/>
          <w:spacing w:val="5"/>
          <w:sz w:val="24"/>
          <w:szCs w:val="32"/>
          <w:shd w:val="clear" w:color="auto" w:fill="FFFFFF"/>
        </w:rPr>
        <w:t>机房为例，</w:t>
      </w:r>
      <w:r>
        <w:rPr>
          <w:rFonts w:ascii="仿宋" w:eastAsia="仿宋" w:hAnsi="仿宋" w:cs="仿宋"/>
          <w:b/>
          <w:bCs/>
          <w:color w:val="000000" w:themeColor="text1"/>
          <w:spacing w:val="5"/>
          <w:sz w:val="24"/>
          <w:szCs w:val="32"/>
          <w:shd w:val="clear" w:color="auto" w:fill="FFFFFF"/>
        </w:rPr>
        <w:t>夏季</w:t>
      </w:r>
      <w:r>
        <w:rPr>
          <w:rFonts w:ascii="仿宋" w:eastAsia="仿宋" w:hAnsi="仿宋" w:cs="仿宋" w:hint="eastAsia"/>
          <w:b/>
          <w:bCs/>
          <w:color w:val="000000" w:themeColor="text1"/>
          <w:spacing w:val="5"/>
          <w:sz w:val="24"/>
          <w:szCs w:val="32"/>
          <w:shd w:val="clear" w:color="auto" w:fill="FFFFFF"/>
        </w:rPr>
        <w:t>（</w:t>
      </w:r>
      <w:r>
        <w:rPr>
          <w:rFonts w:ascii="仿宋" w:eastAsia="仿宋" w:hAnsi="仿宋" w:cs="仿宋" w:hint="eastAsia"/>
          <w:b/>
          <w:bCs/>
          <w:color w:val="000000" w:themeColor="text1"/>
          <w:spacing w:val="5"/>
          <w:sz w:val="24"/>
          <w:szCs w:val="32"/>
          <w:shd w:val="clear" w:color="auto" w:fill="FFFFFF"/>
        </w:rPr>
        <w:t>8</w:t>
      </w:r>
      <w:r>
        <w:rPr>
          <w:rFonts w:ascii="仿宋" w:eastAsia="仿宋" w:hAnsi="仿宋" w:cs="仿宋" w:hint="eastAsia"/>
          <w:b/>
          <w:bCs/>
          <w:color w:val="000000" w:themeColor="text1"/>
          <w:spacing w:val="5"/>
          <w:sz w:val="24"/>
          <w:szCs w:val="32"/>
          <w:shd w:val="clear" w:color="auto" w:fill="FFFFFF"/>
        </w:rPr>
        <w:t>月）</w:t>
      </w:r>
      <w:r>
        <w:rPr>
          <w:rFonts w:ascii="仿宋" w:eastAsia="仿宋" w:hAnsi="仿宋" w:cs="仿宋"/>
          <w:b/>
          <w:bCs/>
          <w:color w:val="000000" w:themeColor="text1"/>
          <w:spacing w:val="5"/>
          <w:sz w:val="24"/>
          <w:szCs w:val="32"/>
          <w:shd w:val="clear" w:color="auto" w:fill="FFFFFF"/>
        </w:rPr>
        <w:t>执行</w:t>
      </w:r>
      <w:r>
        <w:rPr>
          <w:rFonts w:ascii="仿宋" w:eastAsia="仿宋" w:hAnsi="仿宋" w:cs="仿宋" w:hint="eastAsia"/>
          <w:b/>
          <w:bCs/>
          <w:color w:val="000000" w:themeColor="text1"/>
          <w:spacing w:val="5"/>
          <w:sz w:val="24"/>
          <w:szCs w:val="32"/>
          <w:shd w:val="clear" w:color="auto" w:fill="FFFFFF"/>
        </w:rPr>
        <w:t>分时电价将会增加</w:t>
      </w:r>
      <w:r>
        <w:rPr>
          <w:rFonts w:ascii="仿宋" w:eastAsia="仿宋" w:hAnsi="仿宋" w:cs="仿宋" w:hint="eastAsia"/>
          <w:b/>
          <w:bCs/>
          <w:color w:val="000000" w:themeColor="text1"/>
          <w:spacing w:val="5"/>
          <w:sz w:val="24"/>
          <w:szCs w:val="32"/>
          <w:shd w:val="clear" w:color="auto" w:fill="FFFFFF"/>
        </w:rPr>
        <w:t>14%</w:t>
      </w:r>
      <w:r>
        <w:rPr>
          <w:rFonts w:ascii="仿宋" w:eastAsia="仿宋" w:hAnsi="仿宋" w:cs="仿宋" w:hint="eastAsia"/>
          <w:b/>
          <w:bCs/>
          <w:color w:val="000000" w:themeColor="text1"/>
          <w:spacing w:val="5"/>
          <w:sz w:val="24"/>
          <w:szCs w:val="32"/>
          <w:shd w:val="clear" w:color="auto" w:fill="FFFFFF"/>
        </w:rPr>
        <w:t>的电费支出，冬季（</w:t>
      </w:r>
      <w:r>
        <w:rPr>
          <w:rFonts w:ascii="仿宋" w:eastAsia="仿宋" w:hAnsi="仿宋" w:cs="仿宋" w:hint="eastAsia"/>
          <w:b/>
          <w:bCs/>
          <w:color w:val="000000" w:themeColor="text1"/>
          <w:spacing w:val="5"/>
          <w:sz w:val="24"/>
          <w:szCs w:val="32"/>
          <w:shd w:val="clear" w:color="auto" w:fill="FFFFFF"/>
        </w:rPr>
        <w:t>12</w:t>
      </w:r>
      <w:r>
        <w:rPr>
          <w:rFonts w:ascii="仿宋" w:eastAsia="仿宋" w:hAnsi="仿宋" w:cs="仿宋" w:hint="eastAsia"/>
          <w:b/>
          <w:bCs/>
          <w:color w:val="000000" w:themeColor="text1"/>
          <w:spacing w:val="5"/>
          <w:sz w:val="24"/>
          <w:szCs w:val="32"/>
          <w:shd w:val="clear" w:color="auto" w:fill="FFFFFF"/>
        </w:rPr>
        <w:t>月）执行分时电价需要增加</w:t>
      </w:r>
      <w:r>
        <w:rPr>
          <w:rFonts w:ascii="仿宋" w:eastAsia="仿宋" w:hAnsi="仿宋" w:cs="仿宋" w:hint="eastAsia"/>
          <w:b/>
          <w:bCs/>
          <w:color w:val="000000" w:themeColor="text1"/>
          <w:spacing w:val="5"/>
          <w:sz w:val="24"/>
          <w:szCs w:val="32"/>
          <w:shd w:val="clear" w:color="auto" w:fill="FFFFFF"/>
        </w:rPr>
        <w:t>4%</w:t>
      </w:r>
      <w:r>
        <w:rPr>
          <w:rFonts w:ascii="仿宋" w:eastAsia="仿宋" w:hAnsi="仿宋" w:cs="仿宋" w:hint="eastAsia"/>
          <w:b/>
          <w:bCs/>
          <w:color w:val="000000" w:themeColor="text1"/>
          <w:spacing w:val="5"/>
          <w:sz w:val="24"/>
          <w:szCs w:val="32"/>
          <w:shd w:val="clear" w:color="auto" w:fill="FFFFFF"/>
        </w:rPr>
        <w:t>的电费支出。</w:t>
      </w:r>
    </w:p>
    <w:p w:rsidR="00C232CE" w:rsidRDefault="0014207B">
      <w:pPr>
        <w:widowControl/>
        <w:shd w:val="clear" w:color="auto" w:fill="FFFFFF"/>
        <w:spacing w:beforeLines="50" w:before="156" w:line="360" w:lineRule="auto"/>
        <w:jc w:val="center"/>
        <w:rPr>
          <w:rFonts w:ascii="仿宋" w:eastAsia="仿宋" w:hAnsi="仿宋" w:cs="仿宋"/>
          <w:color w:val="000000" w:themeColor="text1"/>
        </w:rPr>
      </w:pPr>
      <w:r>
        <w:rPr>
          <w:rFonts w:ascii="仿宋" w:eastAsia="仿宋" w:hAnsi="仿宋" w:cs="仿宋" w:hint="eastAsia"/>
          <w:noProof/>
          <w:color w:val="000000" w:themeColor="text1"/>
        </w:rPr>
        <w:drawing>
          <wp:inline distT="0" distB="0" distL="114300" distR="114300">
            <wp:extent cx="3239770" cy="1971675"/>
            <wp:effectExtent l="0" t="0" r="635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3239770" cy="1971675"/>
                    </a:xfrm>
                    <a:prstGeom prst="rect">
                      <a:avLst/>
                    </a:prstGeom>
                    <a:noFill/>
                    <a:ln>
                      <a:noFill/>
                    </a:ln>
                  </pic:spPr>
                </pic:pic>
              </a:graphicData>
            </a:graphic>
          </wp:inline>
        </w:drawing>
      </w:r>
    </w:p>
    <w:p w:rsidR="00C232CE" w:rsidRDefault="0014207B">
      <w:pPr>
        <w:widowControl/>
        <w:shd w:val="clear" w:color="auto" w:fill="FFFFFF"/>
        <w:spacing w:beforeLines="50" w:before="156"/>
        <w:ind w:firstLineChars="200" w:firstLine="440"/>
        <w:jc w:val="center"/>
        <w:rPr>
          <w:rFonts w:ascii="仿宋" w:eastAsia="仿宋" w:hAnsi="仿宋" w:cs="仿宋"/>
          <w:color w:val="000000" w:themeColor="text1"/>
          <w:spacing w:val="5"/>
          <w:shd w:val="clear" w:color="auto" w:fill="FFFFFF"/>
        </w:rPr>
      </w:pPr>
      <w:r>
        <w:rPr>
          <w:rFonts w:ascii="仿宋" w:eastAsia="仿宋" w:hAnsi="仿宋" w:cs="仿宋" w:hint="eastAsia"/>
          <w:color w:val="000000" w:themeColor="text1"/>
          <w:spacing w:val="5"/>
          <w:shd w:val="clear" w:color="auto" w:fill="FFFFFF"/>
        </w:rPr>
        <w:t>图</w:t>
      </w:r>
      <w:r>
        <w:rPr>
          <w:rFonts w:ascii="仿宋" w:eastAsia="仿宋" w:hAnsi="仿宋" w:cs="仿宋" w:hint="eastAsia"/>
          <w:color w:val="000000" w:themeColor="text1"/>
          <w:spacing w:val="5"/>
          <w:shd w:val="clear" w:color="auto" w:fill="FFFFFF"/>
        </w:rPr>
        <w:t xml:space="preserve">2 </w:t>
      </w:r>
      <w:r>
        <w:rPr>
          <w:rFonts w:ascii="仿宋" w:eastAsia="仿宋" w:hAnsi="仿宋" w:cs="仿宋" w:hint="eastAsia"/>
          <w:color w:val="000000" w:themeColor="text1"/>
          <w:spacing w:val="5"/>
          <w:shd w:val="clear" w:color="auto" w:fill="FFFFFF"/>
        </w:rPr>
        <w:t>南方某综合</w:t>
      </w:r>
      <w:proofErr w:type="gramStart"/>
      <w:r>
        <w:rPr>
          <w:rFonts w:ascii="仿宋" w:eastAsia="仿宋" w:hAnsi="仿宋" w:cs="仿宋" w:hint="eastAsia"/>
          <w:color w:val="000000" w:themeColor="text1"/>
          <w:spacing w:val="5"/>
          <w:shd w:val="clear" w:color="auto" w:fill="FFFFFF"/>
        </w:rPr>
        <w:t>接入区</w:t>
      </w:r>
      <w:proofErr w:type="gramEnd"/>
      <w:r>
        <w:rPr>
          <w:rFonts w:ascii="仿宋" w:eastAsia="仿宋" w:hAnsi="仿宋" w:cs="仿宋" w:hint="eastAsia"/>
          <w:color w:val="000000" w:themeColor="text1"/>
          <w:spacing w:val="5"/>
          <w:shd w:val="clear" w:color="auto" w:fill="FFFFFF"/>
        </w:rPr>
        <w:t>机房电费预测图</w:t>
      </w:r>
    </w:p>
    <w:p w:rsidR="00C232CE" w:rsidRDefault="00C232CE">
      <w:pPr>
        <w:widowControl/>
        <w:shd w:val="clear" w:color="auto" w:fill="FFFFFF"/>
        <w:ind w:firstLineChars="200" w:firstLine="440"/>
        <w:jc w:val="center"/>
        <w:rPr>
          <w:rFonts w:ascii="仿宋" w:eastAsia="仿宋" w:hAnsi="仿宋" w:cs="仿宋"/>
          <w:color w:val="000000" w:themeColor="text1"/>
          <w:spacing w:val="5"/>
          <w:shd w:val="clear" w:color="auto" w:fill="FFFFFF"/>
        </w:rPr>
      </w:pPr>
    </w:p>
    <w:p w:rsidR="00C232CE" w:rsidRDefault="0014207B">
      <w:pPr>
        <w:spacing w:line="360" w:lineRule="auto"/>
        <w:ind w:firstLineChars="200" w:firstLine="482"/>
        <w:jc w:val="left"/>
        <w:outlineLvl w:val="1"/>
        <w:rPr>
          <w:rFonts w:ascii="仿宋" w:eastAsia="仿宋" w:hAnsi="仿宋" w:cs="仿宋"/>
          <w:b/>
          <w:bCs/>
          <w:color w:val="000000" w:themeColor="text1"/>
          <w:sz w:val="24"/>
        </w:rPr>
      </w:pPr>
      <w:r>
        <w:rPr>
          <w:rFonts w:ascii="仿宋" w:eastAsia="仿宋" w:hAnsi="仿宋" w:cs="仿宋" w:hint="eastAsia"/>
          <w:b/>
          <w:bCs/>
          <w:color w:val="000000" w:themeColor="text1"/>
          <w:sz w:val="24"/>
        </w:rPr>
        <w:t>（二）传统铅酸蓄电池难以同时</w:t>
      </w:r>
      <w:proofErr w:type="gramStart"/>
      <w:r>
        <w:rPr>
          <w:rFonts w:ascii="仿宋" w:eastAsia="仿宋" w:hAnsi="仿宋" w:cs="仿宋" w:hint="eastAsia"/>
          <w:b/>
          <w:bCs/>
          <w:color w:val="000000" w:themeColor="text1"/>
          <w:sz w:val="24"/>
        </w:rPr>
        <w:t>满足备电和</w:t>
      </w:r>
      <w:proofErr w:type="gramEnd"/>
      <w:r>
        <w:rPr>
          <w:rFonts w:ascii="仿宋" w:eastAsia="仿宋" w:hAnsi="仿宋" w:cs="仿宋" w:hint="eastAsia"/>
          <w:b/>
          <w:bCs/>
          <w:color w:val="000000" w:themeColor="text1"/>
          <w:sz w:val="24"/>
        </w:rPr>
        <w:t>储能的需求</w:t>
      </w:r>
    </w:p>
    <w:p w:rsidR="00C232CE" w:rsidRDefault="0014207B">
      <w:pPr>
        <w:widowControl/>
        <w:shd w:val="clear" w:color="auto" w:fill="FFFFFF"/>
        <w:spacing w:line="360" w:lineRule="auto"/>
        <w:ind w:firstLineChars="200" w:firstLine="500"/>
        <w:jc w:val="left"/>
        <w:rPr>
          <w:rFonts w:ascii="仿宋" w:eastAsia="仿宋" w:hAnsi="仿宋" w:cs="仿宋"/>
          <w:color w:val="000000" w:themeColor="text1"/>
          <w:spacing w:val="5"/>
          <w:sz w:val="24"/>
          <w:szCs w:val="32"/>
          <w:shd w:val="clear" w:color="auto" w:fill="FFFFFF"/>
        </w:rPr>
      </w:pPr>
      <w:r>
        <w:rPr>
          <w:rFonts w:ascii="仿宋" w:eastAsia="仿宋" w:hAnsi="仿宋" w:cs="仿宋" w:hint="eastAsia"/>
          <w:color w:val="000000" w:themeColor="text1"/>
          <w:spacing w:val="5"/>
          <w:sz w:val="24"/>
          <w:szCs w:val="32"/>
          <w:shd w:val="clear" w:color="auto" w:fill="FFFFFF"/>
        </w:rPr>
        <w:t>起初，通信运营商在机房配置铅酸蓄电池主要是为市电停电时提供应急供电，确保机房设备正常运行。但是</w:t>
      </w:r>
      <w:r>
        <w:rPr>
          <w:rFonts w:ascii="仿宋" w:eastAsia="仿宋" w:hAnsi="仿宋" w:cs="仿宋" w:hint="eastAsia"/>
          <w:b/>
          <w:bCs/>
          <w:color w:val="000000" w:themeColor="text1"/>
          <w:spacing w:val="5"/>
          <w:sz w:val="24"/>
          <w:szCs w:val="32"/>
          <w:shd w:val="clear" w:color="auto" w:fill="FFFFFF"/>
        </w:rPr>
        <w:t>铅酸蓄电池的全生命周期充放电循环次数通常只有</w:t>
      </w:r>
      <w:r>
        <w:rPr>
          <w:rFonts w:ascii="仿宋" w:eastAsia="仿宋" w:hAnsi="仿宋" w:cs="仿宋" w:hint="eastAsia"/>
          <w:b/>
          <w:bCs/>
          <w:color w:val="000000" w:themeColor="text1"/>
          <w:spacing w:val="5"/>
          <w:sz w:val="24"/>
          <w:szCs w:val="32"/>
          <w:shd w:val="clear" w:color="auto" w:fill="FFFFFF"/>
        </w:rPr>
        <w:t>500</w:t>
      </w:r>
      <w:r>
        <w:rPr>
          <w:rFonts w:ascii="仿宋" w:eastAsia="仿宋" w:hAnsi="仿宋" w:cs="仿宋" w:hint="eastAsia"/>
          <w:b/>
          <w:bCs/>
          <w:color w:val="000000" w:themeColor="text1"/>
          <w:spacing w:val="5"/>
          <w:sz w:val="24"/>
          <w:szCs w:val="32"/>
          <w:shd w:val="clear" w:color="auto" w:fill="FFFFFF"/>
        </w:rPr>
        <w:t>次左右</w:t>
      </w:r>
      <w:r>
        <w:rPr>
          <w:rFonts w:ascii="仿宋" w:eastAsia="仿宋" w:hAnsi="仿宋" w:cs="仿宋" w:hint="eastAsia"/>
          <w:color w:val="000000" w:themeColor="text1"/>
          <w:spacing w:val="5"/>
          <w:sz w:val="24"/>
          <w:szCs w:val="32"/>
          <w:shd w:val="clear" w:color="auto" w:fill="FFFFFF"/>
        </w:rPr>
        <w:t>，难以满足长期循环充放电使用需求。其次，</w:t>
      </w:r>
      <w:r>
        <w:rPr>
          <w:rFonts w:ascii="仿宋" w:eastAsia="仿宋" w:hAnsi="仿宋" w:cs="仿宋" w:hint="eastAsia"/>
          <w:b/>
          <w:bCs/>
          <w:color w:val="000000" w:themeColor="text1"/>
          <w:spacing w:val="5"/>
          <w:sz w:val="24"/>
          <w:szCs w:val="32"/>
          <w:shd w:val="clear" w:color="auto" w:fill="FFFFFF"/>
        </w:rPr>
        <w:t>铅酸蓄电池的剩余容量难以通过简单手段进行准确分析</w:t>
      </w:r>
      <w:r>
        <w:rPr>
          <w:rFonts w:ascii="仿宋" w:eastAsia="仿宋" w:hAnsi="仿宋" w:cs="仿宋" w:hint="eastAsia"/>
          <w:color w:val="000000" w:themeColor="text1"/>
          <w:spacing w:val="5"/>
          <w:sz w:val="24"/>
          <w:szCs w:val="32"/>
          <w:shd w:val="clear" w:color="auto" w:fill="FFFFFF"/>
        </w:rPr>
        <w:t>，仅通过电压、电流参数难以准确评估电池寿命和性能。盲目频繁进行充放电可能导致电池性能提前劣</w:t>
      </w:r>
      <w:r>
        <w:rPr>
          <w:rFonts w:ascii="仿宋" w:eastAsia="仿宋" w:hAnsi="仿宋" w:cs="仿宋" w:hint="eastAsia"/>
          <w:color w:val="000000" w:themeColor="text1"/>
          <w:spacing w:val="5"/>
          <w:sz w:val="24"/>
          <w:szCs w:val="32"/>
          <w:shd w:val="clear" w:color="auto" w:fill="FFFFFF"/>
        </w:rPr>
        <w:lastRenderedPageBreak/>
        <w:t>化，增加日常维护难度。此外，</w:t>
      </w:r>
      <w:r>
        <w:rPr>
          <w:rFonts w:ascii="仿宋" w:eastAsia="仿宋" w:hAnsi="仿宋" w:cs="仿宋" w:hint="eastAsia"/>
          <w:b/>
          <w:bCs/>
          <w:color w:val="000000" w:themeColor="text1"/>
          <w:spacing w:val="5"/>
          <w:sz w:val="24"/>
          <w:szCs w:val="32"/>
          <w:shd w:val="clear" w:color="auto" w:fill="FFFFFF"/>
        </w:rPr>
        <w:t>传统铅酸蓄电池一般被称为“哑设备”</w:t>
      </w:r>
      <w:r>
        <w:rPr>
          <w:rFonts w:ascii="仿宋" w:eastAsia="仿宋" w:hAnsi="仿宋" w:cs="仿宋" w:hint="eastAsia"/>
          <w:color w:val="000000" w:themeColor="text1"/>
          <w:spacing w:val="5"/>
          <w:sz w:val="24"/>
          <w:szCs w:val="32"/>
          <w:shd w:val="clear" w:color="auto" w:fill="FFFFFF"/>
        </w:rPr>
        <w:t>，在其运行过程中缺乏故障提示、故障预警和故障保护功能。在未配备任何监控设备情况下，若单体电池发生故障会逐步影响整组电池性能，严重时导致电池组放电容量断崖式下跌，影响通信设备的正常运行。</w:t>
      </w:r>
    </w:p>
    <w:p w:rsidR="00C232CE" w:rsidRDefault="0014207B">
      <w:pPr>
        <w:pStyle w:val="1"/>
        <w:rPr>
          <w:sz w:val="28"/>
          <w:szCs w:val="18"/>
        </w:rPr>
      </w:pPr>
      <w:bookmarkStart w:id="1" w:name="_Toc5893"/>
      <w:r>
        <w:rPr>
          <w:rFonts w:hint="eastAsia"/>
          <w:sz w:val="28"/>
          <w:szCs w:val="18"/>
        </w:rPr>
        <w:t>三、分时电价实施的应对策略建议</w:t>
      </w:r>
      <w:bookmarkEnd w:id="1"/>
    </w:p>
    <w:p w:rsidR="00C232CE" w:rsidRDefault="0014207B">
      <w:pPr>
        <w:spacing w:line="360" w:lineRule="auto"/>
        <w:ind w:firstLineChars="200" w:firstLine="482"/>
        <w:jc w:val="left"/>
        <w:outlineLvl w:val="1"/>
        <w:rPr>
          <w:rFonts w:ascii="仿宋" w:eastAsia="仿宋" w:hAnsi="仿宋" w:cs="仿宋"/>
          <w:b/>
          <w:bCs/>
          <w:color w:val="000000" w:themeColor="text1"/>
          <w:sz w:val="24"/>
        </w:rPr>
      </w:pPr>
      <w:bookmarkStart w:id="2" w:name="_Toc8794"/>
      <w:r>
        <w:rPr>
          <w:rFonts w:ascii="仿宋" w:eastAsia="仿宋" w:hAnsi="仿宋" w:cs="仿宋" w:hint="eastAsia"/>
          <w:b/>
          <w:bCs/>
          <w:color w:val="000000" w:themeColor="text1"/>
          <w:sz w:val="24"/>
        </w:rPr>
        <w:t>（一）推进备储一体智能电池升级，</w:t>
      </w:r>
      <w:proofErr w:type="gramStart"/>
      <w:r>
        <w:rPr>
          <w:rFonts w:ascii="仿宋" w:eastAsia="仿宋" w:hAnsi="仿宋" w:cs="仿宋" w:hint="eastAsia"/>
          <w:b/>
          <w:bCs/>
          <w:color w:val="000000" w:themeColor="text1"/>
          <w:sz w:val="24"/>
        </w:rPr>
        <w:t>提升备电和</w:t>
      </w:r>
      <w:proofErr w:type="gramEnd"/>
      <w:r>
        <w:rPr>
          <w:rFonts w:ascii="仿宋" w:eastAsia="仿宋" w:hAnsi="仿宋" w:cs="仿宋" w:hint="eastAsia"/>
          <w:b/>
          <w:bCs/>
          <w:color w:val="000000" w:themeColor="text1"/>
          <w:sz w:val="24"/>
        </w:rPr>
        <w:t>储能的安全性与可靠性</w:t>
      </w:r>
    </w:p>
    <w:p w:rsidR="00C232CE" w:rsidRDefault="0014207B">
      <w:pPr>
        <w:widowControl/>
        <w:shd w:val="clear" w:color="auto" w:fill="FFFFFF"/>
        <w:spacing w:line="360" w:lineRule="auto"/>
        <w:ind w:firstLineChars="200" w:firstLine="500"/>
        <w:jc w:val="left"/>
        <w:rPr>
          <w:rFonts w:ascii="仿宋" w:eastAsia="仿宋" w:hAnsi="仿宋" w:cs="仿宋"/>
          <w:color w:val="000000" w:themeColor="text1"/>
          <w:spacing w:val="5"/>
          <w:sz w:val="24"/>
          <w:szCs w:val="32"/>
          <w:shd w:val="clear" w:color="auto" w:fill="FFFFFF"/>
        </w:rPr>
      </w:pPr>
      <w:r>
        <w:rPr>
          <w:rFonts w:ascii="仿宋" w:eastAsia="仿宋" w:hAnsi="仿宋" w:cs="仿宋" w:hint="eastAsia"/>
          <w:color w:val="000000" w:themeColor="text1"/>
          <w:spacing w:val="5"/>
          <w:sz w:val="24"/>
          <w:szCs w:val="32"/>
          <w:shd w:val="clear" w:color="auto" w:fill="FFFFFF"/>
        </w:rPr>
        <w:t>通信运营商在全国有大量的通信机房与基站资源，</w:t>
      </w:r>
      <w:r>
        <w:rPr>
          <w:rFonts w:ascii="仿宋" w:eastAsia="仿宋" w:hAnsi="仿宋" w:cs="仿宋" w:hint="eastAsia"/>
          <w:b/>
          <w:bCs/>
          <w:color w:val="000000" w:themeColor="text1"/>
          <w:spacing w:val="5"/>
          <w:sz w:val="24"/>
          <w:szCs w:val="32"/>
          <w:shd w:val="clear" w:color="auto" w:fill="FFFFFF"/>
        </w:rPr>
        <w:t>应加快制定全网机房后备电池备储一体升级方案，逐步</w:t>
      </w:r>
      <w:proofErr w:type="gramStart"/>
      <w:r>
        <w:rPr>
          <w:rFonts w:ascii="仿宋" w:eastAsia="仿宋" w:hAnsi="仿宋" w:cs="仿宋" w:hint="eastAsia"/>
          <w:b/>
          <w:bCs/>
          <w:color w:val="000000" w:themeColor="text1"/>
          <w:spacing w:val="5"/>
          <w:sz w:val="24"/>
          <w:szCs w:val="32"/>
          <w:shd w:val="clear" w:color="auto" w:fill="FFFFFF"/>
        </w:rPr>
        <w:t>将现网铅酸</w:t>
      </w:r>
      <w:proofErr w:type="gramEnd"/>
      <w:r>
        <w:rPr>
          <w:rFonts w:ascii="仿宋" w:eastAsia="仿宋" w:hAnsi="仿宋" w:cs="仿宋" w:hint="eastAsia"/>
          <w:b/>
          <w:bCs/>
          <w:color w:val="000000" w:themeColor="text1"/>
          <w:spacing w:val="5"/>
          <w:sz w:val="24"/>
          <w:szCs w:val="32"/>
          <w:shd w:val="clear" w:color="auto" w:fill="FFFFFF"/>
        </w:rPr>
        <w:t>电池替换为新型高</w:t>
      </w:r>
      <w:proofErr w:type="gramStart"/>
      <w:r>
        <w:rPr>
          <w:rFonts w:ascii="仿宋" w:eastAsia="仿宋" w:hAnsi="仿宋" w:cs="仿宋" w:hint="eastAsia"/>
          <w:b/>
          <w:bCs/>
          <w:color w:val="000000" w:themeColor="text1"/>
          <w:spacing w:val="5"/>
          <w:sz w:val="24"/>
          <w:szCs w:val="32"/>
          <w:shd w:val="clear" w:color="auto" w:fill="FFFFFF"/>
        </w:rPr>
        <w:t>安全长</w:t>
      </w:r>
      <w:proofErr w:type="gramEnd"/>
      <w:r>
        <w:rPr>
          <w:rFonts w:ascii="仿宋" w:eastAsia="仿宋" w:hAnsi="仿宋" w:cs="仿宋" w:hint="eastAsia"/>
          <w:b/>
          <w:bCs/>
          <w:color w:val="000000" w:themeColor="text1"/>
          <w:spacing w:val="5"/>
          <w:sz w:val="24"/>
          <w:szCs w:val="32"/>
          <w:shd w:val="clear" w:color="auto" w:fill="FFFFFF"/>
        </w:rPr>
        <w:t>寿命智慧化的备储一体电池。</w:t>
      </w:r>
      <w:r>
        <w:rPr>
          <w:rFonts w:ascii="仿宋" w:eastAsia="仿宋" w:hAnsi="仿宋" w:cs="仿宋" w:hint="eastAsia"/>
          <w:color w:val="000000" w:themeColor="text1"/>
          <w:spacing w:val="5"/>
          <w:sz w:val="24"/>
          <w:szCs w:val="32"/>
          <w:shd w:val="clear" w:color="auto" w:fill="FFFFFF"/>
        </w:rPr>
        <w:t>优先选择在分时电价已全面执行或用户可以自愿选择执行的区域进行推广应用，通过电池每日循环充放电、削峰填谷，减轻分时电价所带来的用电成本增加。同时，</w:t>
      </w:r>
      <w:r>
        <w:rPr>
          <w:rFonts w:ascii="仿宋" w:eastAsia="仿宋" w:hAnsi="仿宋" w:cs="仿宋" w:hint="eastAsia"/>
          <w:b/>
          <w:bCs/>
          <w:color w:val="000000" w:themeColor="text1"/>
          <w:spacing w:val="5"/>
          <w:sz w:val="24"/>
          <w:szCs w:val="32"/>
          <w:shd w:val="clear" w:color="auto" w:fill="FFFFFF"/>
        </w:rPr>
        <w:t>加快全网统一的蓄电池智能维护管理系统部署，</w:t>
      </w:r>
      <w:r>
        <w:rPr>
          <w:rFonts w:ascii="仿宋" w:eastAsia="仿宋" w:hAnsi="仿宋" w:cs="仿宋" w:hint="eastAsia"/>
          <w:color w:val="000000" w:themeColor="text1"/>
          <w:spacing w:val="5"/>
          <w:sz w:val="24"/>
          <w:szCs w:val="32"/>
          <w:shd w:val="clear" w:color="auto" w:fill="FFFFFF"/>
        </w:rPr>
        <w:t>研发安全可靠的蓄电池容量快速检测算法，对在网电池进行实时监控，及时消除蓄电池运行风险，提</w:t>
      </w:r>
      <w:proofErr w:type="gramStart"/>
      <w:r>
        <w:rPr>
          <w:rFonts w:ascii="仿宋" w:eastAsia="仿宋" w:hAnsi="仿宋" w:cs="仿宋" w:hint="eastAsia"/>
          <w:color w:val="000000" w:themeColor="text1"/>
          <w:spacing w:val="5"/>
          <w:sz w:val="24"/>
          <w:szCs w:val="32"/>
          <w:shd w:val="clear" w:color="auto" w:fill="FFFFFF"/>
        </w:rPr>
        <w:t>高云网</w:t>
      </w:r>
      <w:proofErr w:type="gramEnd"/>
      <w:r>
        <w:rPr>
          <w:rFonts w:ascii="仿宋" w:eastAsia="仿宋" w:hAnsi="仿宋" w:cs="仿宋" w:hint="eastAsia"/>
          <w:color w:val="000000" w:themeColor="text1"/>
          <w:spacing w:val="5"/>
          <w:sz w:val="24"/>
          <w:szCs w:val="32"/>
          <w:shd w:val="clear" w:color="auto" w:fill="FFFFFF"/>
        </w:rPr>
        <w:t>智能化运营水平。</w:t>
      </w:r>
    </w:p>
    <w:p w:rsidR="00C232CE" w:rsidRDefault="0014207B">
      <w:pPr>
        <w:spacing w:line="360" w:lineRule="auto"/>
        <w:ind w:firstLineChars="200" w:firstLine="482"/>
        <w:jc w:val="left"/>
        <w:outlineLvl w:val="1"/>
        <w:rPr>
          <w:rFonts w:ascii="仿宋" w:eastAsia="仿宋" w:hAnsi="仿宋" w:cs="仿宋"/>
          <w:b/>
          <w:bCs/>
          <w:color w:val="000000" w:themeColor="text1"/>
          <w:sz w:val="24"/>
        </w:rPr>
      </w:pPr>
      <w:r>
        <w:rPr>
          <w:rFonts w:ascii="仿宋" w:eastAsia="仿宋" w:hAnsi="仿宋" w:cs="仿宋" w:hint="eastAsia"/>
          <w:b/>
          <w:bCs/>
          <w:color w:val="000000" w:themeColor="text1"/>
          <w:sz w:val="24"/>
        </w:rPr>
        <w:t>（二）建立分时电价监测和响应机制，积极应对分时电价政策实施</w:t>
      </w:r>
    </w:p>
    <w:p w:rsidR="00C232CE" w:rsidRDefault="0014207B">
      <w:pPr>
        <w:widowControl/>
        <w:shd w:val="clear" w:color="auto" w:fill="FFFFFF"/>
        <w:spacing w:line="360" w:lineRule="auto"/>
        <w:ind w:firstLine="420"/>
        <w:jc w:val="left"/>
        <w:rPr>
          <w:rFonts w:ascii="仿宋" w:eastAsia="仿宋" w:hAnsi="仿宋" w:cs="仿宋"/>
          <w:color w:val="000000" w:themeColor="text1"/>
          <w:spacing w:val="5"/>
          <w:sz w:val="24"/>
          <w:szCs w:val="32"/>
          <w:shd w:val="clear" w:color="auto" w:fill="FFFFFF"/>
        </w:rPr>
      </w:pPr>
      <w:r>
        <w:rPr>
          <w:rFonts w:ascii="仿宋" w:eastAsia="仿宋" w:hAnsi="仿宋" w:cs="仿宋" w:hint="eastAsia"/>
          <w:color w:val="000000" w:themeColor="text1"/>
          <w:spacing w:val="5"/>
          <w:sz w:val="24"/>
          <w:szCs w:val="32"/>
          <w:shd w:val="clear" w:color="auto" w:fill="FFFFFF"/>
        </w:rPr>
        <w:t>基于分时电价政策覆盖范围不断扩大背景下，</w:t>
      </w:r>
      <w:r>
        <w:rPr>
          <w:rFonts w:ascii="仿宋" w:eastAsia="仿宋" w:hAnsi="仿宋" w:cs="仿宋" w:hint="eastAsia"/>
          <w:b/>
          <w:bCs/>
          <w:color w:val="000000" w:themeColor="text1"/>
          <w:spacing w:val="5"/>
          <w:sz w:val="24"/>
          <w:szCs w:val="32"/>
          <w:shd w:val="clear" w:color="auto" w:fill="FFFFFF"/>
        </w:rPr>
        <w:t>应加快建立分时电价监测机制，形成有效应对策略。</w:t>
      </w:r>
      <w:r>
        <w:rPr>
          <w:rFonts w:ascii="仿宋" w:eastAsia="仿宋" w:hAnsi="仿宋" w:cs="仿宋" w:hint="eastAsia"/>
          <w:color w:val="000000" w:themeColor="text1"/>
          <w:spacing w:val="5"/>
          <w:sz w:val="24"/>
          <w:szCs w:val="32"/>
          <w:shd w:val="clear" w:color="auto" w:fill="FFFFFF"/>
        </w:rPr>
        <w:t>持续跟踪各省、各地市、各县区的分时电价政策更新，建立电价峰谷时段、峰谷时长和峰谷价差变化的动态响应机制，及时调整通信机楼、基站、数据中心用电策略，提升机房备储一体电池使用价值。同时，</w:t>
      </w:r>
      <w:r>
        <w:rPr>
          <w:rFonts w:ascii="仿宋" w:eastAsia="仿宋" w:hAnsi="仿宋" w:cs="仿宋" w:hint="eastAsia"/>
          <w:b/>
          <w:bCs/>
          <w:color w:val="000000" w:themeColor="text1"/>
          <w:spacing w:val="5"/>
          <w:sz w:val="24"/>
          <w:szCs w:val="32"/>
          <w:shd w:val="clear" w:color="auto" w:fill="FFFFFF"/>
        </w:rPr>
        <w:t>因地制宜推动用电策略调整，压降企业用电成本</w:t>
      </w:r>
      <w:r>
        <w:rPr>
          <w:rFonts w:ascii="仿宋" w:eastAsia="仿宋" w:hAnsi="仿宋" w:cs="仿宋" w:hint="eastAsia"/>
          <w:color w:val="000000" w:themeColor="text1"/>
          <w:spacing w:val="5"/>
          <w:sz w:val="24"/>
          <w:szCs w:val="32"/>
          <w:shd w:val="clear" w:color="auto" w:fill="FFFFFF"/>
        </w:rPr>
        <w:t>。</w:t>
      </w:r>
      <w:r>
        <w:rPr>
          <w:rFonts w:ascii="仿宋" w:eastAsia="仿宋" w:hAnsi="仿宋" w:cs="仿宋" w:hint="eastAsia"/>
          <w:color w:val="000000" w:themeColor="text1"/>
          <w:spacing w:val="5"/>
          <w:sz w:val="24"/>
          <w:szCs w:val="32"/>
          <w:shd w:val="clear" w:color="auto" w:fill="FFFFFF"/>
        </w:rPr>
        <w:t>总结不同地区的分时电价申请要求与实施条件，形成可参考可复制的运营方案，</w:t>
      </w:r>
      <w:r>
        <w:rPr>
          <w:rFonts w:ascii="仿宋" w:eastAsia="仿宋" w:hAnsi="仿宋" w:cs="仿宋" w:hint="eastAsia"/>
          <w:color w:val="000000" w:themeColor="text1"/>
          <w:spacing w:val="5"/>
          <w:sz w:val="24"/>
          <w:szCs w:val="32"/>
          <w:shd w:val="clear" w:color="auto" w:fill="FFFFFF"/>
        </w:rPr>
        <w:t>为分时电价全面实施建立良好基础。</w:t>
      </w:r>
    </w:p>
    <w:p w:rsidR="00C232CE" w:rsidRDefault="0014207B">
      <w:pPr>
        <w:spacing w:line="360" w:lineRule="auto"/>
        <w:ind w:firstLineChars="200" w:firstLine="482"/>
        <w:jc w:val="left"/>
        <w:outlineLvl w:val="1"/>
        <w:rPr>
          <w:rFonts w:ascii="仿宋" w:eastAsia="仿宋" w:hAnsi="仿宋" w:cs="仿宋"/>
          <w:b/>
          <w:bCs/>
          <w:strike/>
          <w:color w:val="000000" w:themeColor="text1"/>
          <w:sz w:val="24"/>
        </w:rPr>
      </w:pPr>
      <w:r>
        <w:rPr>
          <w:rFonts w:ascii="仿宋" w:eastAsia="仿宋" w:hAnsi="仿宋" w:cs="仿宋" w:hint="eastAsia"/>
          <w:b/>
          <w:bCs/>
          <w:color w:val="000000" w:themeColor="text1"/>
          <w:sz w:val="24"/>
        </w:rPr>
        <w:t>（三）加大新型储能技术研发投入，推动机房用</w:t>
      </w:r>
      <w:proofErr w:type="gramStart"/>
      <w:r>
        <w:rPr>
          <w:rFonts w:ascii="仿宋" w:eastAsia="仿宋" w:hAnsi="仿宋" w:cs="仿宋" w:hint="eastAsia"/>
          <w:b/>
          <w:bCs/>
          <w:color w:val="000000" w:themeColor="text1"/>
          <w:sz w:val="24"/>
        </w:rPr>
        <w:t>能结构</w:t>
      </w:r>
      <w:proofErr w:type="gramEnd"/>
      <w:r>
        <w:rPr>
          <w:rFonts w:ascii="仿宋" w:eastAsia="仿宋" w:hAnsi="仿宋" w:cs="仿宋" w:hint="eastAsia"/>
          <w:b/>
          <w:bCs/>
          <w:color w:val="000000" w:themeColor="text1"/>
          <w:sz w:val="24"/>
        </w:rPr>
        <w:t>转型</w:t>
      </w:r>
    </w:p>
    <w:p w:rsidR="00C232CE" w:rsidRDefault="0014207B">
      <w:pPr>
        <w:widowControl/>
        <w:shd w:val="clear" w:color="auto" w:fill="FFFFFF"/>
        <w:spacing w:line="360" w:lineRule="auto"/>
        <w:ind w:firstLine="420"/>
        <w:jc w:val="left"/>
        <w:rPr>
          <w:rFonts w:ascii="仿宋" w:eastAsia="仿宋" w:hAnsi="仿宋" w:cs="仿宋"/>
          <w:color w:val="000000" w:themeColor="text1"/>
          <w:spacing w:val="5"/>
          <w:sz w:val="24"/>
          <w:szCs w:val="32"/>
          <w:shd w:val="clear" w:color="auto" w:fill="FFFFFF"/>
        </w:rPr>
      </w:pPr>
      <w:r>
        <w:rPr>
          <w:rFonts w:ascii="仿宋" w:eastAsia="仿宋" w:hAnsi="仿宋" w:cs="仿宋" w:hint="eastAsia"/>
          <w:b/>
          <w:bCs/>
          <w:color w:val="000000" w:themeColor="text1"/>
          <w:spacing w:val="5"/>
          <w:sz w:val="24"/>
          <w:szCs w:val="32"/>
          <w:shd w:val="clear" w:color="auto" w:fill="FFFFFF"/>
        </w:rPr>
        <w:t>应加强钠离子电池、固态电池等先进储能技术跟踪研究，推进新型备储一体技术创新</w:t>
      </w:r>
      <w:r>
        <w:rPr>
          <w:rFonts w:ascii="仿宋" w:eastAsia="仿宋" w:hAnsi="仿宋" w:cs="仿宋" w:hint="eastAsia"/>
          <w:color w:val="000000" w:themeColor="text1"/>
          <w:spacing w:val="5"/>
          <w:sz w:val="24"/>
          <w:szCs w:val="32"/>
          <w:shd w:val="clear" w:color="auto" w:fill="FFFFFF"/>
        </w:rPr>
        <w:t>。推动行业研发适用于信息通信领域的新型智能电池，提升</w:t>
      </w:r>
      <w:proofErr w:type="gramStart"/>
      <w:r>
        <w:rPr>
          <w:rFonts w:ascii="仿宋" w:eastAsia="仿宋" w:hAnsi="仿宋" w:cs="仿宋" w:hint="eastAsia"/>
          <w:color w:val="000000" w:themeColor="text1"/>
          <w:spacing w:val="5"/>
          <w:sz w:val="24"/>
          <w:szCs w:val="32"/>
          <w:shd w:val="clear" w:color="auto" w:fill="FFFFFF"/>
        </w:rPr>
        <w:t>机房备电和</w:t>
      </w:r>
      <w:proofErr w:type="gramEnd"/>
      <w:r>
        <w:rPr>
          <w:rFonts w:ascii="仿宋" w:eastAsia="仿宋" w:hAnsi="仿宋" w:cs="仿宋" w:hint="eastAsia"/>
          <w:color w:val="000000" w:themeColor="text1"/>
          <w:spacing w:val="5"/>
          <w:sz w:val="24"/>
          <w:szCs w:val="32"/>
          <w:shd w:val="clear" w:color="auto" w:fill="FFFFFF"/>
        </w:rPr>
        <w:t>储能系统的安全性和智能化水平。另外，结合各省可再生资源优势，</w:t>
      </w:r>
      <w:r>
        <w:rPr>
          <w:rFonts w:ascii="仿宋" w:eastAsia="仿宋" w:hAnsi="仿宋" w:cs="仿宋" w:hint="eastAsia"/>
          <w:b/>
          <w:bCs/>
          <w:color w:val="000000" w:themeColor="text1"/>
          <w:spacing w:val="5"/>
          <w:sz w:val="24"/>
          <w:szCs w:val="32"/>
          <w:shd w:val="clear" w:color="auto" w:fill="FFFFFF"/>
        </w:rPr>
        <w:t>积极推动“光储一体”、“风光储一体”等项目实施，持续推进机房用</w:t>
      </w:r>
      <w:proofErr w:type="gramStart"/>
      <w:r>
        <w:rPr>
          <w:rFonts w:ascii="仿宋" w:eastAsia="仿宋" w:hAnsi="仿宋" w:cs="仿宋" w:hint="eastAsia"/>
          <w:b/>
          <w:bCs/>
          <w:color w:val="000000" w:themeColor="text1"/>
          <w:spacing w:val="5"/>
          <w:sz w:val="24"/>
          <w:szCs w:val="32"/>
          <w:shd w:val="clear" w:color="auto" w:fill="FFFFFF"/>
        </w:rPr>
        <w:t>能结</w:t>
      </w:r>
      <w:r>
        <w:rPr>
          <w:rFonts w:ascii="仿宋" w:eastAsia="仿宋" w:hAnsi="仿宋" w:cs="仿宋" w:hint="eastAsia"/>
          <w:b/>
          <w:bCs/>
          <w:color w:val="000000" w:themeColor="text1"/>
          <w:spacing w:val="5"/>
          <w:sz w:val="24"/>
          <w:szCs w:val="32"/>
          <w:shd w:val="clear" w:color="auto" w:fill="FFFFFF"/>
        </w:rPr>
        <w:lastRenderedPageBreak/>
        <w:t>构</w:t>
      </w:r>
      <w:proofErr w:type="gramEnd"/>
      <w:r>
        <w:rPr>
          <w:rFonts w:ascii="仿宋" w:eastAsia="仿宋" w:hAnsi="仿宋" w:cs="仿宋" w:hint="eastAsia"/>
          <w:b/>
          <w:bCs/>
          <w:color w:val="000000" w:themeColor="text1"/>
          <w:spacing w:val="5"/>
          <w:sz w:val="24"/>
          <w:szCs w:val="32"/>
          <w:shd w:val="clear" w:color="auto" w:fill="FFFFFF"/>
        </w:rPr>
        <w:t>转型</w:t>
      </w:r>
      <w:r>
        <w:rPr>
          <w:rFonts w:ascii="仿宋" w:eastAsia="仿宋" w:hAnsi="仿宋" w:cs="仿宋" w:hint="eastAsia"/>
          <w:color w:val="000000" w:themeColor="text1"/>
          <w:spacing w:val="5"/>
          <w:sz w:val="24"/>
          <w:szCs w:val="32"/>
          <w:shd w:val="clear" w:color="auto" w:fill="FFFFFF"/>
        </w:rPr>
        <w:t>。通过绿色能源和储能技术的应用，优化机房用电结构，降低企业整体碳排放，为全社会提供绿色低碳的通信网络服务。</w:t>
      </w:r>
      <w:bookmarkEnd w:id="2"/>
    </w:p>
    <w:p w:rsidR="00C232CE" w:rsidRDefault="00C232CE">
      <w:pPr>
        <w:widowControl/>
        <w:shd w:val="clear" w:color="auto" w:fill="FFFFFF"/>
        <w:spacing w:line="360" w:lineRule="auto"/>
        <w:ind w:firstLine="420"/>
        <w:jc w:val="left"/>
        <w:rPr>
          <w:rFonts w:ascii="仿宋" w:eastAsia="仿宋" w:hAnsi="仿宋" w:cs="仿宋"/>
          <w:color w:val="000000" w:themeColor="text1"/>
          <w:spacing w:val="5"/>
          <w:sz w:val="24"/>
          <w:szCs w:val="32"/>
          <w:shd w:val="clear" w:color="auto" w:fill="FFFFFF"/>
        </w:rPr>
      </w:pPr>
    </w:p>
    <w:p w:rsidR="00C232CE" w:rsidRDefault="0014207B">
      <w:pPr>
        <w:spacing w:line="360" w:lineRule="auto"/>
        <w:jc w:val="left"/>
        <w:rPr>
          <w:rFonts w:ascii="仿宋" w:eastAsia="仿宋" w:hAnsi="仿宋" w:cs="仿宋"/>
          <w:b/>
          <w:bCs/>
          <w:sz w:val="24"/>
        </w:rPr>
      </w:pPr>
      <w:r>
        <w:rPr>
          <w:rFonts w:ascii="仿宋" w:eastAsia="仿宋" w:hAnsi="仿宋" w:cs="仿宋" w:hint="eastAsia"/>
          <w:b/>
          <w:bCs/>
          <w:sz w:val="24"/>
        </w:rPr>
        <w:t>作者简介</w:t>
      </w:r>
    </w:p>
    <w:p w:rsidR="00C232CE" w:rsidRDefault="0014207B">
      <w:pPr>
        <w:widowControl/>
        <w:shd w:val="clear" w:color="auto" w:fill="FFFFFF"/>
        <w:spacing w:line="360" w:lineRule="auto"/>
        <w:ind w:firstLine="420"/>
        <w:jc w:val="left"/>
        <w:rPr>
          <w:rFonts w:ascii="仿宋" w:eastAsia="仿宋" w:hAnsi="仿宋" w:cs="仿宋"/>
          <w:color w:val="000000" w:themeColor="text1"/>
          <w:spacing w:val="5"/>
          <w:sz w:val="24"/>
          <w:szCs w:val="32"/>
          <w:shd w:val="clear" w:color="auto" w:fill="FFFFFF"/>
        </w:rPr>
      </w:pPr>
      <w:r>
        <w:rPr>
          <w:rFonts w:ascii="仿宋" w:eastAsia="仿宋" w:hAnsi="仿宋" w:cs="仿宋" w:hint="eastAsia"/>
          <w:noProof/>
          <w:color w:val="000000" w:themeColor="text1"/>
          <w:spacing w:val="5"/>
          <w:sz w:val="24"/>
          <w:szCs w:val="32"/>
          <w:shd w:val="clear" w:color="auto" w:fill="FFFFFF"/>
        </w:rPr>
        <w:drawing>
          <wp:inline distT="0" distB="0" distL="114300" distR="114300">
            <wp:extent cx="716280" cy="1003300"/>
            <wp:effectExtent l="0" t="0" r="0" b="2540"/>
            <wp:docPr id="2" name="图片 2" descr="1寸个人相片-白底大于30KB（张伟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寸个人相片-白底大于30KB（张伟业）"/>
                    <pic:cNvPicPr>
                      <a:picLocks noChangeAspect="1"/>
                    </pic:cNvPicPr>
                  </pic:nvPicPr>
                  <pic:blipFill>
                    <a:blip r:embed="rId8"/>
                    <a:stretch>
                      <a:fillRect/>
                    </a:stretch>
                  </pic:blipFill>
                  <pic:spPr>
                    <a:xfrm>
                      <a:off x="0" y="0"/>
                      <a:ext cx="716280" cy="1003300"/>
                    </a:xfrm>
                    <a:prstGeom prst="rect">
                      <a:avLst/>
                    </a:prstGeom>
                  </pic:spPr>
                </pic:pic>
              </a:graphicData>
            </a:graphic>
          </wp:inline>
        </w:drawing>
      </w:r>
    </w:p>
    <w:p w:rsidR="00C232CE" w:rsidRDefault="0014207B">
      <w:pPr>
        <w:widowControl/>
        <w:shd w:val="clear" w:color="auto" w:fill="FFFFFF"/>
        <w:spacing w:line="360" w:lineRule="auto"/>
        <w:ind w:firstLine="420"/>
        <w:jc w:val="left"/>
        <w:rPr>
          <w:rFonts w:ascii="仿宋" w:eastAsia="仿宋" w:hAnsi="仿宋" w:cs="仿宋"/>
          <w:color w:val="000000" w:themeColor="text1"/>
          <w:spacing w:val="5"/>
          <w:sz w:val="24"/>
          <w:szCs w:val="32"/>
          <w:shd w:val="clear" w:color="auto" w:fill="FFFFFF"/>
        </w:rPr>
      </w:pPr>
      <w:r>
        <w:rPr>
          <w:rFonts w:ascii="仿宋" w:eastAsia="仿宋" w:hAnsi="仿宋" w:cs="仿宋" w:hint="eastAsia"/>
          <w:color w:val="000000" w:themeColor="text1"/>
          <w:spacing w:val="5"/>
          <w:sz w:val="24"/>
          <w:szCs w:val="32"/>
          <w:shd w:val="clear" w:color="auto" w:fill="FFFFFF"/>
        </w:rPr>
        <w:t>张伟业，绿色低碳技术研发部</w:t>
      </w:r>
    </w:p>
    <w:p w:rsidR="00C232CE" w:rsidRDefault="0014207B">
      <w:pPr>
        <w:widowControl/>
        <w:shd w:val="clear" w:color="auto" w:fill="FFFFFF"/>
        <w:spacing w:line="360" w:lineRule="auto"/>
        <w:ind w:firstLine="420"/>
        <w:jc w:val="left"/>
        <w:rPr>
          <w:rFonts w:ascii="仿宋" w:eastAsia="仿宋" w:hAnsi="仿宋" w:cs="仿宋"/>
          <w:color w:val="000000" w:themeColor="text1"/>
          <w:spacing w:val="5"/>
          <w:sz w:val="24"/>
          <w:szCs w:val="32"/>
          <w:shd w:val="clear" w:color="auto" w:fill="FFFFFF"/>
        </w:rPr>
      </w:pPr>
      <w:r>
        <w:rPr>
          <w:rFonts w:ascii="仿宋" w:eastAsia="仿宋" w:hAnsi="仿宋" w:cs="仿宋" w:hint="eastAsia"/>
          <w:color w:val="000000" w:themeColor="text1"/>
          <w:spacing w:val="5"/>
          <w:sz w:val="24"/>
          <w:szCs w:val="32"/>
          <w:shd w:val="clear" w:color="auto" w:fill="FFFFFF"/>
        </w:rPr>
        <w:t>硕士，</w:t>
      </w:r>
      <w:r>
        <w:rPr>
          <w:rFonts w:ascii="仿宋" w:eastAsia="仿宋" w:hAnsi="仿宋" w:cs="仿宋" w:hint="eastAsia"/>
          <w:sz w:val="24"/>
        </w:rPr>
        <w:t>中级</w:t>
      </w:r>
      <w:r>
        <w:rPr>
          <w:rFonts w:ascii="仿宋" w:eastAsia="仿宋" w:hAnsi="仿宋" w:cs="仿宋" w:hint="eastAsia"/>
          <w:sz w:val="24"/>
        </w:rPr>
        <w:t>通信工程师</w:t>
      </w:r>
      <w:r>
        <w:rPr>
          <w:rFonts w:ascii="仿宋" w:eastAsia="仿宋" w:hAnsi="仿宋" w:cs="仿宋" w:hint="eastAsia"/>
          <w:sz w:val="24"/>
        </w:rPr>
        <w:t>，</w:t>
      </w:r>
      <w:r>
        <w:rPr>
          <w:rFonts w:ascii="仿宋" w:eastAsia="仿宋" w:hAnsi="仿宋" w:cs="仿宋" w:hint="eastAsia"/>
          <w:sz w:val="24"/>
        </w:rPr>
        <w:t>长期从事通信行业</w:t>
      </w:r>
      <w:r>
        <w:rPr>
          <w:rFonts w:ascii="仿宋" w:eastAsia="仿宋" w:hAnsi="仿宋" w:cs="仿宋" w:hint="eastAsia"/>
          <w:sz w:val="24"/>
        </w:rPr>
        <w:t>发展</w:t>
      </w:r>
      <w:r>
        <w:rPr>
          <w:rFonts w:ascii="仿宋" w:eastAsia="仿宋" w:hAnsi="仿宋" w:cs="仿宋" w:hint="eastAsia"/>
          <w:sz w:val="24"/>
        </w:rPr>
        <w:t>分析、</w:t>
      </w:r>
      <w:r>
        <w:rPr>
          <w:rFonts w:ascii="仿宋" w:eastAsia="仿宋" w:hAnsi="仿宋" w:cs="仿宋" w:hint="eastAsia"/>
          <w:sz w:val="24"/>
        </w:rPr>
        <w:t>企业绿色低碳发展规划工作</w:t>
      </w:r>
      <w:r>
        <w:rPr>
          <w:rFonts w:ascii="仿宋" w:eastAsia="仿宋" w:hAnsi="仿宋" w:cs="仿宋" w:hint="eastAsia"/>
          <w:sz w:val="24"/>
        </w:rPr>
        <w:t>，</w:t>
      </w:r>
      <w:r>
        <w:rPr>
          <w:rFonts w:ascii="仿宋" w:eastAsia="仿宋" w:hAnsi="仿宋" w:cs="仿宋" w:hint="eastAsia"/>
          <w:sz w:val="24"/>
        </w:rPr>
        <w:t>专注信息通信绿色发展路径研究</w:t>
      </w:r>
      <w:r>
        <w:rPr>
          <w:rFonts w:ascii="仿宋" w:eastAsia="仿宋" w:hAnsi="仿宋" w:cs="仿宋" w:hint="eastAsia"/>
          <w:sz w:val="24"/>
        </w:rPr>
        <w:t>。</w:t>
      </w:r>
    </w:p>
    <w:p w:rsidR="00C232CE" w:rsidRDefault="00591A85">
      <w:r>
        <w:rPr>
          <w:rFonts w:ascii="仿宋" w:eastAsia="仿宋" w:hAnsi="仿宋" w:cs="仿宋" w:hint="eastAsia"/>
          <w:noProof/>
          <w:sz w:val="24"/>
        </w:rPr>
        <w:drawing>
          <wp:inline distT="0" distB="0" distL="114300" distR="114300" wp14:anchorId="16E9E8BB" wp14:editId="2692029C">
            <wp:extent cx="833120" cy="1167765"/>
            <wp:effectExtent l="0" t="0" r="5080" b="635"/>
            <wp:docPr id="3" name="图片 3" descr="梁建君 白底2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梁建君 白底2寸"/>
                    <pic:cNvPicPr>
                      <a:picLocks noChangeAspect="1"/>
                    </pic:cNvPicPr>
                  </pic:nvPicPr>
                  <pic:blipFill>
                    <a:blip r:embed="rId9"/>
                    <a:stretch>
                      <a:fillRect/>
                    </a:stretch>
                  </pic:blipFill>
                  <pic:spPr>
                    <a:xfrm>
                      <a:off x="0" y="0"/>
                      <a:ext cx="833120" cy="1167765"/>
                    </a:xfrm>
                    <a:prstGeom prst="rect">
                      <a:avLst/>
                    </a:prstGeom>
                  </pic:spPr>
                </pic:pic>
              </a:graphicData>
            </a:graphic>
          </wp:inline>
        </w:drawing>
      </w:r>
    </w:p>
    <w:p w:rsidR="00591A85" w:rsidRDefault="00591A85" w:rsidP="00591A85">
      <w:pPr>
        <w:spacing w:line="360" w:lineRule="auto"/>
        <w:ind w:firstLineChars="200" w:firstLine="480"/>
        <w:jc w:val="left"/>
        <w:rPr>
          <w:rFonts w:ascii="仿宋" w:eastAsia="仿宋" w:hAnsi="仿宋" w:cs="仿宋"/>
          <w:sz w:val="24"/>
        </w:rPr>
      </w:pPr>
      <w:r>
        <w:rPr>
          <w:rFonts w:ascii="仿宋" w:eastAsia="仿宋" w:hAnsi="仿宋" w:cs="仿宋" w:hint="eastAsia"/>
          <w:sz w:val="24"/>
        </w:rPr>
        <w:t>梁建君，</w:t>
      </w:r>
      <w:r>
        <w:rPr>
          <w:rFonts w:ascii="仿宋" w:eastAsia="仿宋" w:hAnsi="仿宋" w:cs="仿宋" w:hint="eastAsia"/>
          <w:sz w:val="24"/>
        </w:rPr>
        <w:t>绿色低碳技术研发部</w:t>
      </w:r>
    </w:p>
    <w:p w:rsidR="00591A85" w:rsidRDefault="00591A85" w:rsidP="00591A85">
      <w:pPr>
        <w:spacing w:line="360" w:lineRule="auto"/>
        <w:ind w:firstLineChars="200" w:firstLine="480"/>
        <w:jc w:val="left"/>
        <w:rPr>
          <w:rFonts w:ascii="仿宋" w:eastAsia="仿宋" w:hAnsi="仿宋" w:cs="仿宋"/>
          <w:sz w:val="24"/>
        </w:rPr>
      </w:pPr>
      <w:r>
        <w:rPr>
          <w:rFonts w:ascii="仿宋" w:eastAsia="仿宋" w:hAnsi="仿宋" w:cs="仿宋" w:hint="eastAsia"/>
          <w:sz w:val="24"/>
        </w:rPr>
        <w:t>毕业于中山大学，中级经济师，中国通信学会会员。长期从事通信行业分析、战略分析，发表通信行业期刊论文30余篇。</w:t>
      </w:r>
    </w:p>
    <w:p w:rsidR="00591A85" w:rsidRDefault="00591A85">
      <w:r>
        <w:rPr>
          <w:noProof/>
        </w:rPr>
        <w:drawing>
          <wp:inline distT="0" distB="0" distL="0" distR="0" wp14:anchorId="63927248" wp14:editId="043723F4">
            <wp:extent cx="971550" cy="1412875"/>
            <wp:effectExtent l="0" t="0" r="6350" b="9525"/>
            <wp:docPr id="601356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56139"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75551" cy="1419135"/>
                    </a:xfrm>
                    <a:prstGeom prst="rect">
                      <a:avLst/>
                    </a:prstGeom>
                    <a:noFill/>
                    <a:ln>
                      <a:noFill/>
                    </a:ln>
                  </pic:spPr>
                </pic:pic>
              </a:graphicData>
            </a:graphic>
          </wp:inline>
        </w:drawing>
      </w:r>
    </w:p>
    <w:p w:rsidR="00591A85" w:rsidRDefault="00591A85" w:rsidP="00591A85">
      <w:pPr>
        <w:ind w:firstLine="480"/>
        <w:rPr>
          <w:rFonts w:ascii="仿宋" w:eastAsia="仿宋" w:hAnsi="仿宋" w:cs="仿宋"/>
          <w:sz w:val="24"/>
        </w:rPr>
      </w:pPr>
      <w:r w:rsidRPr="00591A85">
        <w:rPr>
          <w:rFonts w:ascii="仿宋" w:eastAsia="仿宋" w:hAnsi="仿宋" w:cs="仿宋"/>
          <w:sz w:val="24"/>
        </w:rPr>
        <w:t>王丽珊</w:t>
      </w:r>
      <w:r w:rsidRPr="00591A85">
        <w:rPr>
          <w:rFonts w:ascii="仿宋" w:eastAsia="仿宋" w:hAnsi="仿宋" w:cs="仿宋" w:hint="eastAsia"/>
          <w:sz w:val="24"/>
        </w:rPr>
        <w:t>，</w:t>
      </w:r>
      <w:r>
        <w:rPr>
          <w:rFonts w:ascii="仿宋" w:eastAsia="仿宋" w:hAnsi="仿宋" w:cs="仿宋" w:hint="eastAsia"/>
          <w:sz w:val="24"/>
        </w:rPr>
        <w:t>绿色低碳技术研发部</w:t>
      </w:r>
    </w:p>
    <w:p w:rsidR="00591A85" w:rsidRPr="00591A85" w:rsidRDefault="00591A85" w:rsidP="00591A85">
      <w:pPr>
        <w:ind w:firstLine="480"/>
        <w:rPr>
          <w:rFonts w:ascii="仿宋" w:eastAsia="仿宋" w:hAnsi="仿宋" w:cs="仿宋"/>
          <w:sz w:val="24"/>
        </w:rPr>
      </w:pPr>
      <w:r w:rsidRPr="00591A85">
        <w:rPr>
          <w:rFonts w:ascii="仿宋" w:eastAsia="仿宋" w:hAnsi="仿宋" w:cs="仿宋"/>
          <w:sz w:val="24"/>
        </w:rPr>
        <w:t>硕士，中级工程师，从事</w:t>
      </w:r>
      <w:r w:rsidRPr="00591A85">
        <w:rPr>
          <w:rFonts w:ascii="仿宋" w:eastAsia="仿宋" w:hAnsi="仿宋" w:cs="仿宋" w:hint="eastAsia"/>
          <w:sz w:val="24"/>
        </w:rPr>
        <w:t>绿色</w:t>
      </w:r>
      <w:r w:rsidRPr="00591A85">
        <w:rPr>
          <w:rFonts w:ascii="仿宋" w:eastAsia="仿宋" w:hAnsi="仿宋" w:cs="仿宋"/>
          <w:sz w:val="24"/>
        </w:rPr>
        <w:t>低碳相关领域研究十余年</w:t>
      </w:r>
      <w:r w:rsidRPr="00591A85">
        <w:rPr>
          <w:rFonts w:ascii="仿宋" w:eastAsia="仿宋" w:hAnsi="仿宋" w:cs="仿宋" w:hint="eastAsia"/>
          <w:sz w:val="24"/>
        </w:rPr>
        <w:t>，</w:t>
      </w:r>
      <w:r w:rsidRPr="00591A85">
        <w:rPr>
          <w:rFonts w:ascii="仿宋" w:eastAsia="仿宋" w:hAnsi="仿宋" w:cs="仿宋"/>
          <w:sz w:val="24"/>
        </w:rPr>
        <w:t>专注于</w:t>
      </w:r>
      <w:r w:rsidRPr="00591A85">
        <w:rPr>
          <w:rFonts w:ascii="仿宋" w:eastAsia="仿宋" w:hAnsi="仿宋" w:cs="仿宋" w:hint="eastAsia"/>
          <w:sz w:val="24"/>
        </w:rPr>
        <w:t>信息</w:t>
      </w:r>
      <w:r w:rsidRPr="00591A85">
        <w:rPr>
          <w:rFonts w:ascii="仿宋" w:eastAsia="仿宋" w:hAnsi="仿宋" w:cs="仿宋"/>
          <w:sz w:val="24"/>
        </w:rPr>
        <w:t>通信领域绿色发展研究。</w:t>
      </w:r>
    </w:p>
    <w:p w:rsidR="00591A85" w:rsidRPr="00591A85" w:rsidRDefault="00591A85">
      <w:pPr>
        <w:rPr>
          <w:rFonts w:hint="eastAsia"/>
        </w:rPr>
      </w:pPr>
      <w:bookmarkStart w:id="3" w:name="_GoBack"/>
      <w:bookmarkEnd w:id="3"/>
    </w:p>
    <w:sectPr w:rsidR="00591A85" w:rsidRPr="00591A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207B" w:rsidRDefault="0014207B">
      <w:r>
        <w:separator/>
      </w:r>
    </w:p>
  </w:endnote>
  <w:endnote w:type="continuationSeparator" w:id="0">
    <w:p w:rsidR="0014207B" w:rsidRDefault="00142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207B" w:rsidRDefault="0014207B">
      <w:r>
        <w:separator/>
      </w:r>
    </w:p>
  </w:footnote>
  <w:footnote w:type="continuationSeparator" w:id="0">
    <w:p w:rsidR="0014207B" w:rsidRDefault="0014207B">
      <w:r>
        <w:continuationSeparator/>
      </w:r>
    </w:p>
  </w:footnote>
  <w:footnote w:id="1">
    <w:p w:rsidR="00C232CE" w:rsidRDefault="0014207B">
      <w:pPr>
        <w:widowControl/>
        <w:jc w:val="left"/>
        <w:rPr>
          <w:rFonts w:ascii="宋体" w:eastAsia="宋体" w:hAnsi="宋体" w:cs="宋体"/>
          <w:color w:val="000000" w:themeColor="text1"/>
          <w:sz w:val="13"/>
          <w:szCs w:val="13"/>
        </w:rPr>
      </w:pPr>
      <w:r>
        <w:rPr>
          <w:rStyle w:val="a6"/>
        </w:rPr>
        <w:footnoteRef/>
      </w:r>
      <w:r>
        <w:t xml:space="preserve"> </w:t>
      </w:r>
      <w:r>
        <w:rPr>
          <w:rFonts w:ascii="宋体" w:eastAsia="宋体" w:hAnsi="宋体" w:cs="宋体" w:hint="eastAsia"/>
          <w:sz w:val="13"/>
          <w:szCs w:val="13"/>
        </w:rPr>
        <w:t>《国家发展改革委关于进一步完善分时电价机制的通知》</w:t>
      </w:r>
      <w:r>
        <w:rPr>
          <w:rFonts w:ascii="宋体" w:eastAsia="宋体" w:hAnsi="宋体" w:cs="宋体" w:hint="eastAsia"/>
          <w:sz w:val="13"/>
          <w:szCs w:val="13"/>
        </w:rPr>
        <w:t>、</w:t>
      </w:r>
      <w:r>
        <w:rPr>
          <w:rFonts w:ascii="宋体" w:eastAsia="宋体" w:hAnsi="宋体" w:cs="宋体" w:hint="eastAsia"/>
          <w:color w:val="000000" w:themeColor="text1"/>
          <w:sz w:val="13"/>
          <w:szCs w:val="13"/>
        </w:rPr>
        <w:t>《关于进一步深化燃煤发电上网电价市场化改革的通知》</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F15F0"/>
    <w:rsid w:val="0014207B"/>
    <w:rsid w:val="00591A85"/>
    <w:rsid w:val="00C232CE"/>
    <w:rsid w:val="00E766A9"/>
    <w:rsid w:val="01B93066"/>
    <w:rsid w:val="01F178BE"/>
    <w:rsid w:val="02C75F04"/>
    <w:rsid w:val="03257B20"/>
    <w:rsid w:val="03C6073D"/>
    <w:rsid w:val="04DC6283"/>
    <w:rsid w:val="08047E40"/>
    <w:rsid w:val="094C55D1"/>
    <w:rsid w:val="0A634508"/>
    <w:rsid w:val="10343B45"/>
    <w:rsid w:val="10D53FCB"/>
    <w:rsid w:val="130B6343"/>
    <w:rsid w:val="1FFE7B45"/>
    <w:rsid w:val="200B1023"/>
    <w:rsid w:val="23527125"/>
    <w:rsid w:val="24594388"/>
    <w:rsid w:val="26902433"/>
    <w:rsid w:val="282412E8"/>
    <w:rsid w:val="2CD74B1F"/>
    <w:rsid w:val="2E0118AB"/>
    <w:rsid w:val="346670F7"/>
    <w:rsid w:val="348E6DC9"/>
    <w:rsid w:val="34F66F8F"/>
    <w:rsid w:val="381004BD"/>
    <w:rsid w:val="39F32DDC"/>
    <w:rsid w:val="3B9478ED"/>
    <w:rsid w:val="3C0C354E"/>
    <w:rsid w:val="40620A2E"/>
    <w:rsid w:val="410C0223"/>
    <w:rsid w:val="42DB1DB0"/>
    <w:rsid w:val="4C5A2642"/>
    <w:rsid w:val="4C814E72"/>
    <w:rsid w:val="526A2243"/>
    <w:rsid w:val="579C0765"/>
    <w:rsid w:val="580402F6"/>
    <w:rsid w:val="58B15E90"/>
    <w:rsid w:val="59D217EB"/>
    <w:rsid w:val="5C14521D"/>
    <w:rsid w:val="5DFF18C5"/>
    <w:rsid w:val="5FEF5A2F"/>
    <w:rsid w:val="613A2E1B"/>
    <w:rsid w:val="667941AD"/>
    <w:rsid w:val="68577EBB"/>
    <w:rsid w:val="687821D0"/>
    <w:rsid w:val="6ABF15F0"/>
    <w:rsid w:val="70460437"/>
    <w:rsid w:val="708D0FE0"/>
    <w:rsid w:val="70BC076B"/>
    <w:rsid w:val="70E166C9"/>
    <w:rsid w:val="711E28A2"/>
    <w:rsid w:val="727C3DCE"/>
    <w:rsid w:val="73191C04"/>
    <w:rsid w:val="749C79EF"/>
    <w:rsid w:val="758075D4"/>
    <w:rsid w:val="762B7FC5"/>
    <w:rsid w:val="778251C9"/>
    <w:rsid w:val="7AD52994"/>
    <w:rsid w:val="7FD73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7AE8BF"/>
  <w15:docId w15:val="{14105599-4CB1-461C-836A-5502A15B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footnote reference"/>
    <w:basedOn w:val="a0"/>
    <w:qFormat/>
    <w:rPr>
      <w:vertAlign w:val="superscript"/>
    </w:rPr>
  </w:style>
  <w:style w:type="paragraph" w:styleId="a7">
    <w:name w:val="header"/>
    <w:basedOn w:val="a"/>
    <w:link w:val="a8"/>
    <w:rsid w:val="00591A8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591A85"/>
    <w:rPr>
      <w:rFonts w:asciiTheme="minorHAnsi" w:eastAsiaTheme="minorEastAsia" w:hAnsiTheme="minorHAnsi" w:cstheme="minorBidi"/>
      <w:kern w:val="2"/>
      <w:sz w:val="18"/>
      <w:szCs w:val="18"/>
    </w:rPr>
  </w:style>
  <w:style w:type="paragraph" w:styleId="a9">
    <w:name w:val="footer"/>
    <w:basedOn w:val="a"/>
    <w:link w:val="aa"/>
    <w:rsid w:val="00591A85"/>
    <w:pPr>
      <w:tabs>
        <w:tab w:val="center" w:pos="4153"/>
        <w:tab w:val="right" w:pos="8306"/>
      </w:tabs>
      <w:snapToGrid w:val="0"/>
      <w:jc w:val="left"/>
    </w:pPr>
    <w:rPr>
      <w:sz w:val="18"/>
      <w:szCs w:val="18"/>
    </w:rPr>
  </w:style>
  <w:style w:type="character" w:customStyle="1" w:styleId="aa">
    <w:name w:val="页脚 字符"/>
    <w:basedOn w:val="a0"/>
    <w:link w:val="a9"/>
    <w:rsid w:val="00591A85"/>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417</Words>
  <Characters>2380</Characters>
  <Application>Microsoft Office Word</Application>
  <DocSecurity>0</DocSecurity>
  <Lines>19</Lines>
  <Paragraphs>5</Paragraphs>
  <ScaleCrop>false</ScaleCrop>
  <Company>中国电信股份有限公司研究院</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dc:creator>
  <cp:lastModifiedBy>HP</cp:lastModifiedBy>
  <cp:revision>2</cp:revision>
  <cp:lastPrinted>2025-06-10T08:39:00Z</cp:lastPrinted>
  <dcterms:created xsi:type="dcterms:W3CDTF">2025-05-27T08:36:00Z</dcterms:created>
  <dcterms:modified xsi:type="dcterms:W3CDTF">2025-06-10T09:55:00Z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0865D66A1A484688860C12B4F01F7972_13</vt:lpwstr>
  </property>
</Properties>
</file>