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8222" w:type="dxa"/>
        <w:tblBorders>
          <w:top w:val="none" w:sz="0" w:space="0" w:color="auto"/>
          <w:left w:val="none" w:sz="0" w:space="0" w:color="auto"/>
          <w:bottom w:val="single" w:sz="24" w:space="0" w:color="FF0000"/>
          <w:right w:val="none" w:sz="0" w:space="0" w:color="auto"/>
          <w:insideH w:val="none" w:sz="0" w:space="0" w:color="auto"/>
          <w:insideV w:val="none" w:sz="0" w:space="0" w:color="auto"/>
        </w:tblBorders>
        <w:tblLook w:val="04A0" w:firstRow="1" w:lastRow="0" w:firstColumn="1" w:lastColumn="0" w:noHBand="0" w:noVBand="1"/>
      </w:tblPr>
      <w:tblGrid>
        <w:gridCol w:w="5640"/>
        <w:gridCol w:w="2582"/>
      </w:tblGrid>
      <w:tr w:rsidR="00D70D43" w14:paraId="3F5F8305" w14:textId="77777777">
        <w:trPr>
          <w:trHeight w:val="1985"/>
        </w:trPr>
        <w:tc>
          <w:tcPr>
            <w:tcW w:w="8222" w:type="dxa"/>
            <w:gridSpan w:val="2"/>
          </w:tcPr>
          <w:p w14:paraId="64878E00" w14:textId="77777777" w:rsidR="00D70D43" w:rsidRDefault="00000000">
            <w:pPr>
              <w:jc w:val="center"/>
              <w:rPr>
                <w:rFonts w:ascii="Times New Roman" w:eastAsia="隶书" w:hAnsi="Times New Roman"/>
                <w:color w:val="C00000"/>
                <w:sz w:val="36"/>
                <w:szCs w:val="36"/>
              </w:rPr>
            </w:pPr>
            <w:r>
              <w:rPr>
                <w:rFonts w:ascii="Times New Roman" w:eastAsia="隶书" w:hAnsi="Times New Roman" w:hint="eastAsia"/>
                <w:color w:val="FF0000"/>
                <w:sz w:val="144"/>
                <w:szCs w:val="144"/>
              </w:rPr>
              <w:t>智</w:t>
            </w:r>
            <w:r>
              <w:rPr>
                <w:rFonts w:ascii="Times New Roman" w:eastAsia="隶书" w:hAnsi="Times New Roman" w:hint="eastAsia"/>
                <w:color w:val="FF0000"/>
                <w:sz w:val="144"/>
                <w:szCs w:val="144"/>
              </w:rPr>
              <w:t xml:space="preserve"> </w:t>
            </w:r>
            <w:r>
              <w:rPr>
                <w:rFonts w:ascii="Times New Roman" w:eastAsia="隶书" w:hAnsi="Times New Roman" w:hint="eastAsia"/>
                <w:color w:val="FF0000"/>
                <w:sz w:val="144"/>
                <w:szCs w:val="144"/>
              </w:rPr>
              <w:t>库</w:t>
            </w:r>
            <w:r>
              <w:rPr>
                <w:rFonts w:ascii="Times New Roman" w:eastAsia="隶书" w:hAnsi="Times New Roman" w:hint="eastAsia"/>
                <w:color w:val="FF0000"/>
                <w:sz w:val="144"/>
                <w:szCs w:val="144"/>
              </w:rPr>
              <w:t xml:space="preserve"> </w:t>
            </w:r>
            <w:r>
              <w:rPr>
                <w:rFonts w:ascii="Times New Roman" w:eastAsia="隶书" w:hAnsi="Times New Roman" w:hint="eastAsia"/>
                <w:color w:val="FF0000"/>
                <w:sz w:val="144"/>
                <w:szCs w:val="144"/>
              </w:rPr>
              <w:t>参</w:t>
            </w:r>
            <w:r>
              <w:rPr>
                <w:rFonts w:ascii="Times New Roman" w:eastAsia="隶书" w:hAnsi="Times New Roman" w:hint="eastAsia"/>
                <w:color w:val="FF0000"/>
                <w:sz w:val="144"/>
                <w:szCs w:val="144"/>
              </w:rPr>
              <w:t xml:space="preserve"> </w:t>
            </w:r>
            <w:r>
              <w:rPr>
                <w:rFonts w:ascii="Times New Roman" w:eastAsia="隶书" w:hAnsi="Times New Roman" w:hint="eastAsia"/>
                <w:color w:val="FF0000"/>
                <w:sz w:val="144"/>
                <w:szCs w:val="144"/>
              </w:rPr>
              <w:t>考</w:t>
            </w:r>
          </w:p>
        </w:tc>
      </w:tr>
      <w:tr w:rsidR="00D70D43" w14:paraId="30EF96B5" w14:textId="77777777">
        <w:trPr>
          <w:trHeight w:val="789"/>
        </w:trPr>
        <w:tc>
          <w:tcPr>
            <w:tcW w:w="5640" w:type="dxa"/>
          </w:tcPr>
          <w:p w14:paraId="4E323BAB" w14:textId="77777777" w:rsidR="00D70D43" w:rsidRDefault="00000000">
            <w:pPr>
              <w:pStyle w:val="af5"/>
              <w:ind w:right="280"/>
              <w:rPr>
                <w:rFonts w:ascii="Times New Roman" w:eastAsia="幼圆" w:hAnsi="Times New Roman"/>
                <w:b/>
                <w:sz w:val="28"/>
                <w:szCs w:val="28"/>
              </w:rPr>
            </w:pPr>
            <w:bookmarkStart w:id="0" w:name="_Hlk102023759"/>
            <w:bookmarkEnd w:id="0"/>
            <w:r>
              <w:rPr>
                <w:rFonts w:ascii="Times New Roman" w:eastAsia="楷体" w:hAnsi="Times New Roman" w:hint="eastAsia"/>
                <w:b/>
                <w:color w:val="595959" w:themeColor="text1" w:themeTint="A6"/>
                <w:sz w:val="28"/>
                <w:szCs w:val="28"/>
              </w:rPr>
              <w:t>中国电信研究院、上海临港算力公司</w:t>
            </w:r>
          </w:p>
        </w:tc>
        <w:tc>
          <w:tcPr>
            <w:tcW w:w="2582" w:type="dxa"/>
          </w:tcPr>
          <w:p w14:paraId="7827FBB0" w14:textId="77777777" w:rsidR="00D70D43" w:rsidRDefault="00000000">
            <w:pPr>
              <w:pStyle w:val="af5"/>
              <w:jc w:val="right"/>
              <w:rPr>
                <w:rFonts w:ascii="Times New Roman" w:eastAsia="仿宋" w:hAnsi="Times New Roman"/>
                <w:b/>
                <w:sz w:val="28"/>
                <w:szCs w:val="28"/>
              </w:rPr>
            </w:pPr>
            <w:r>
              <w:rPr>
                <w:rFonts w:ascii="Times New Roman" w:eastAsia="楷体" w:hAnsi="Times New Roman" w:hint="eastAsia"/>
                <w:b/>
                <w:color w:val="595959" w:themeColor="text1" w:themeTint="A6"/>
                <w:sz w:val="28"/>
                <w:szCs w:val="28"/>
              </w:rPr>
              <w:t>2</w:t>
            </w:r>
            <w:r>
              <w:rPr>
                <w:rFonts w:ascii="Times New Roman" w:eastAsia="楷体" w:hAnsi="Times New Roman"/>
                <w:b/>
                <w:color w:val="595959" w:themeColor="text1" w:themeTint="A6"/>
                <w:sz w:val="28"/>
                <w:szCs w:val="28"/>
              </w:rPr>
              <w:t>02</w:t>
            </w:r>
            <w:r>
              <w:rPr>
                <w:rFonts w:ascii="Times New Roman" w:eastAsia="楷体" w:hAnsi="Times New Roman" w:hint="eastAsia"/>
                <w:b/>
                <w:color w:val="595959" w:themeColor="text1" w:themeTint="A6"/>
                <w:sz w:val="28"/>
                <w:szCs w:val="28"/>
              </w:rPr>
              <w:t>4</w:t>
            </w:r>
            <w:r>
              <w:rPr>
                <w:rFonts w:ascii="Times New Roman" w:eastAsia="楷体" w:hAnsi="Times New Roman" w:hint="eastAsia"/>
                <w:b/>
                <w:color w:val="595959" w:themeColor="text1" w:themeTint="A6"/>
                <w:sz w:val="28"/>
                <w:szCs w:val="28"/>
              </w:rPr>
              <w:t>年</w:t>
            </w:r>
            <w:r>
              <w:rPr>
                <w:rFonts w:ascii="Times New Roman" w:eastAsia="楷体" w:hAnsi="Times New Roman"/>
                <w:b/>
                <w:color w:val="595959" w:themeColor="text1" w:themeTint="A6"/>
                <w:sz w:val="28"/>
                <w:szCs w:val="28"/>
              </w:rPr>
              <w:t>1</w:t>
            </w:r>
            <w:r>
              <w:rPr>
                <w:rFonts w:ascii="Times New Roman" w:eastAsia="楷体" w:hAnsi="Times New Roman" w:hint="eastAsia"/>
                <w:b/>
                <w:color w:val="595959" w:themeColor="text1" w:themeTint="A6"/>
                <w:sz w:val="28"/>
                <w:szCs w:val="28"/>
              </w:rPr>
              <w:t>2</w:t>
            </w:r>
            <w:r>
              <w:rPr>
                <w:rFonts w:ascii="Times New Roman" w:eastAsia="楷体" w:hAnsi="Times New Roman" w:hint="eastAsia"/>
                <w:b/>
                <w:color w:val="595959" w:themeColor="text1" w:themeTint="A6"/>
                <w:sz w:val="28"/>
                <w:szCs w:val="28"/>
              </w:rPr>
              <w:t>月</w:t>
            </w:r>
            <w:r>
              <w:rPr>
                <w:rFonts w:ascii="Times New Roman" w:eastAsia="楷体" w:hAnsi="Times New Roman" w:hint="eastAsia"/>
                <w:b/>
                <w:color w:val="595959" w:themeColor="text1" w:themeTint="A6"/>
                <w:sz w:val="28"/>
                <w:szCs w:val="28"/>
              </w:rPr>
              <w:t>31</w:t>
            </w:r>
            <w:r>
              <w:rPr>
                <w:rFonts w:ascii="Times New Roman" w:eastAsia="楷体" w:hAnsi="Times New Roman" w:hint="eastAsia"/>
                <w:b/>
                <w:color w:val="595959" w:themeColor="text1" w:themeTint="A6"/>
                <w:sz w:val="28"/>
                <w:szCs w:val="28"/>
              </w:rPr>
              <w:t>日</w:t>
            </w:r>
          </w:p>
        </w:tc>
      </w:tr>
    </w:tbl>
    <w:p w14:paraId="72757CAF" w14:textId="77777777" w:rsidR="00D70D43" w:rsidRDefault="00000000">
      <w:pPr>
        <w:spacing w:beforeLines="100" w:before="312" w:afterLines="100" w:after="312"/>
        <w:jc w:val="center"/>
        <w:rPr>
          <w:rFonts w:ascii="黑体" w:eastAsia="黑体" w:hAnsi="黑体" w:cs="黑体" w:hint="eastAsia"/>
          <w:b/>
          <w:bCs/>
          <w:sz w:val="40"/>
          <w:szCs w:val="40"/>
        </w:rPr>
      </w:pPr>
      <w:r>
        <w:rPr>
          <w:rFonts w:ascii="黑体" w:eastAsia="黑体" w:hAnsi="黑体" w:cs="黑体" w:hint="eastAsia"/>
          <w:b/>
          <w:bCs/>
          <w:sz w:val="40"/>
          <w:szCs w:val="40"/>
        </w:rPr>
        <w:t>智算服务发展分析及建议</w:t>
      </w:r>
    </w:p>
    <w:p w14:paraId="203D4B19" w14:textId="77777777" w:rsidR="00D70D43" w:rsidRDefault="00000000">
      <w:pPr>
        <w:ind w:firstLine="420"/>
        <w:rPr>
          <w:rFonts w:ascii="仿宋" w:eastAsia="仿宋" w:hAnsi="仿宋" w:hint="eastAsia"/>
        </w:rPr>
      </w:pPr>
      <w:r>
        <w:rPr>
          <w:rFonts w:ascii="仿宋" w:eastAsia="仿宋" w:hAnsi="仿宋" w:hint="eastAsia"/>
        </w:rPr>
        <w:t>据IDC新发布的《中国智算服务市场（2024上半年）跟踪》报告显示，预计未来5年智算服务将保持高速增长，其中生成式AI算力服务和集成服务是增长的主要动力，智算使用是关注重点，推理有较大增长空间。阿里在生成式AI算力服务中领先，华为在智算集成服务中占主导地位。中国电信在战略、算力和服务方面存在差距，建议明确智算驱动的公有云私有云并重策略，提前布局推理优化获客，整合算力补齐短板自研创新，构建智算服务团队，促规模转商落地。</w:t>
      </w:r>
    </w:p>
    <w:p w14:paraId="6A76CBEE" w14:textId="77777777" w:rsidR="00D70D43" w:rsidRDefault="00000000">
      <w:pPr>
        <w:pStyle w:val="1"/>
        <w:numPr>
          <w:ilvl w:val="0"/>
          <w:numId w:val="2"/>
        </w:numPr>
        <w:rPr>
          <w:rFonts w:ascii="黑体" w:hAnsi="黑体" w:hint="eastAsia"/>
        </w:rPr>
      </w:pPr>
      <w:r>
        <w:rPr>
          <w:rFonts w:ascii="黑体" w:hAnsi="黑体" w:hint="eastAsia"/>
        </w:rPr>
        <w:t>智算服务发展现状</w:t>
      </w:r>
    </w:p>
    <w:p w14:paraId="6A7A5F19" w14:textId="77777777" w:rsidR="00D70D43" w:rsidRDefault="00000000">
      <w:pPr>
        <w:pStyle w:val="2"/>
        <w:rPr>
          <w:rFonts w:ascii="仿宋" w:eastAsia="仿宋" w:hAnsi="仿宋" w:hint="eastAsia"/>
        </w:rPr>
      </w:pPr>
      <w:r>
        <w:rPr>
          <w:rFonts w:ascii="仿宋" w:eastAsia="仿宋" w:hAnsi="仿宋" w:hint="eastAsia"/>
        </w:rPr>
        <w:t>智算服务市场持续增长，需求重点由“建”转向“用”</w:t>
      </w:r>
    </w:p>
    <w:p w14:paraId="739F22A9" w14:textId="77777777" w:rsidR="00D70D43" w:rsidRDefault="00000000">
      <w:pPr>
        <w:spacing w:line="360" w:lineRule="auto"/>
        <w:ind w:firstLine="420"/>
        <w:rPr>
          <w:rFonts w:ascii="仿宋" w:eastAsia="仿宋" w:hAnsi="仿宋" w:cs="仿宋_GB2312" w:hint="eastAsia"/>
          <w:color w:val="000000" w:themeColor="text1"/>
          <w:szCs w:val="32"/>
        </w:rPr>
      </w:pPr>
      <w:r>
        <w:rPr>
          <w:rFonts w:ascii="仿宋" w:eastAsia="仿宋" w:hAnsi="仿宋" w:cs="仿宋_GB2312" w:hint="eastAsia"/>
          <w:b/>
          <w:color w:val="000000" w:themeColor="text1"/>
          <w:szCs w:val="32"/>
        </w:rPr>
        <w:t>智算服务市场近两年增速超预期，并预计在未来5年保持高速增长。</w:t>
      </w:r>
      <w:r>
        <w:rPr>
          <w:rFonts w:ascii="仿宋" w:eastAsia="仿宋" w:hAnsi="仿宋" w:cs="仿宋_GB2312" w:hint="eastAsia"/>
          <w:bCs/>
          <w:color w:val="000000" w:themeColor="text1"/>
          <w:szCs w:val="32"/>
        </w:rPr>
        <w:t>据IDC报道，2</w:t>
      </w:r>
      <w:r>
        <w:rPr>
          <w:rFonts w:ascii="仿宋" w:eastAsia="仿宋" w:hAnsi="仿宋" w:cs="仿宋_GB2312" w:hint="eastAsia"/>
          <w:color w:val="000000" w:themeColor="text1"/>
          <w:szCs w:val="32"/>
        </w:rPr>
        <w:t>024年上半年中国智算服务整体市场规模146.1亿元，同比增长79.6%。智算服务市场主要分为智算集成服务（占比39.01%）</w:t>
      </w:r>
      <w:r>
        <w:rPr>
          <w:rStyle w:val="af3"/>
          <w:rFonts w:ascii="仿宋" w:eastAsia="仿宋" w:hAnsi="仿宋" w:cs="仿宋_GB2312" w:hint="eastAsia"/>
          <w:color w:val="000000" w:themeColor="text1"/>
          <w:szCs w:val="32"/>
        </w:rPr>
        <w:footnoteReference w:id="1"/>
      </w:r>
      <w:r>
        <w:rPr>
          <w:rFonts w:ascii="仿宋" w:eastAsia="仿宋" w:hAnsi="仿宋" w:cs="仿宋_GB2312" w:hint="eastAsia"/>
          <w:color w:val="000000" w:themeColor="text1"/>
          <w:szCs w:val="32"/>
        </w:rPr>
        <w:t>、生成式算力服务（占比</w:t>
      </w:r>
      <w:r>
        <w:rPr>
          <w:rFonts w:ascii="仿宋" w:eastAsia="仿宋" w:hAnsi="仿宋" w:cs="仿宋_GB2312" w:hint="eastAsia"/>
          <w:color w:val="000000" w:themeColor="text1"/>
          <w:szCs w:val="32"/>
        </w:rPr>
        <w:lastRenderedPageBreak/>
        <w:t>35.59%）和传统AI算力服务（占比25.39%）</w:t>
      </w:r>
      <w:r>
        <w:rPr>
          <w:rStyle w:val="af3"/>
          <w:rFonts w:ascii="仿宋" w:eastAsia="仿宋" w:hAnsi="仿宋" w:cs="仿宋_GB2312" w:hint="eastAsia"/>
          <w:color w:val="000000" w:themeColor="text1"/>
          <w:szCs w:val="32"/>
        </w:rPr>
        <w:footnoteReference w:id="2"/>
      </w:r>
      <w:r>
        <w:rPr>
          <w:rFonts w:ascii="仿宋" w:eastAsia="仿宋" w:hAnsi="仿宋" w:cs="仿宋_GB2312" w:hint="eastAsia"/>
          <w:color w:val="000000" w:themeColor="text1"/>
          <w:szCs w:val="32"/>
        </w:rPr>
        <w:t>三种模式。</w:t>
      </w:r>
      <w:r>
        <w:rPr>
          <w:rFonts w:ascii="仿宋" w:eastAsia="仿宋" w:hAnsi="仿宋" w:cs="仿宋_GB2312" w:hint="eastAsia"/>
          <w:b/>
          <w:bCs/>
          <w:color w:val="000000" w:themeColor="text1"/>
          <w:szCs w:val="32"/>
        </w:rPr>
        <w:t>生成式AI算力服务与集成服务是增长的主要驱动力，</w:t>
      </w:r>
      <w:r>
        <w:rPr>
          <w:rFonts w:ascii="仿宋" w:eastAsia="仿宋" w:hAnsi="仿宋" w:cs="仿宋_GB2312" w:hint="eastAsia"/>
          <w:color w:val="000000" w:themeColor="text1"/>
          <w:szCs w:val="32"/>
        </w:rPr>
        <w:t>同比增速分别为203.6%、168.4%。据Canalys报告24年第3季度云基础设施市场中，微软依靠生成式AI服务年增长33%，亚马逊依靠传统云服务转型只有19%增长率。</w:t>
      </w:r>
    </w:p>
    <w:p w14:paraId="3B01B2C4" w14:textId="77777777" w:rsidR="00D70D43" w:rsidRDefault="00000000">
      <w:pPr>
        <w:spacing w:line="360" w:lineRule="auto"/>
        <w:ind w:firstLine="420"/>
        <w:rPr>
          <w:rFonts w:ascii="仿宋" w:eastAsia="仿宋" w:hAnsi="仿宋" w:cs="仿宋_GB2312" w:hint="eastAsia"/>
          <w:color w:val="000000" w:themeColor="text1"/>
          <w:szCs w:val="32"/>
        </w:rPr>
      </w:pPr>
      <w:r>
        <w:rPr>
          <w:rFonts w:ascii="仿宋" w:eastAsia="仿宋" w:hAnsi="仿宋" w:cs="仿宋_GB2312" w:hint="eastAsia"/>
          <w:b/>
          <w:color w:val="000000" w:themeColor="text1"/>
          <w:szCs w:val="32"/>
        </w:rPr>
        <w:t>智算重点从建设向应用落地转变。智算服务的专业性与运营能力逐渐成为关注重点。</w:t>
      </w:r>
      <w:r>
        <w:rPr>
          <w:rFonts w:ascii="仿宋" w:eastAsia="仿宋" w:hAnsi="仿宋" w:cs="仿宋_GB2312" w:hint="eastAsia"/>
          <w:color w:val="000000" w:themeColor="text1"/>
          <w:szCs w:val="32"/>
        </w:rPr>
        <w:t>大规模集群系统架构部署优化、大规模计算稳定性保障以及集群高效运维越来越受到重视。</w:t>
      </w:r>
      <w:r>
        <w:rPr>
          <w:rFonts w:ascii="仿宋" w:eastAsia="仿宋" w:hAnsi="仿宋" w:cs="仿宋_GB2312" w:hint="eastAsia"/>
          <w:b/>
          <w:color w:val="000000" w:themeColor="text1"/>
          <w:szCs w:val="32"/>
        </w:rPr>
        <w:t>生成式AI仍处于早期阶段，推理算力有较大增长空间</w:t>
      </w:r>
      <w:r>
        <w:rPr>
          <w:rFonts w:ascii="仿宋" w:eastAsia="仿宋" w:hAnsi="仿宋" w:cs="仿宋_GB2312" w:hint="eastAsia"/>
          <w:bCs/>
          <w:color w:val="000000" w:themeColor="text1"/>
          <w:szCs w:val="32"/>
        </w:rPr>
        <w:t>。</w:t>
      </w:r>
      <w:r>
        <w:rPr>
          <w:rFonts w:ascii="仿宋" w:eastAsia="仿宋" w:hAnsi="仿宋" w:cs="仿宋_GB2312" w:hint="eastAsia"/>
          <w:color w:val="000000" w:themeColor="text1"/>
          <w:szCs w:val="32"/>
        </w:rPr>
        <w:t>客户在</w:t>
      </w:r>
      <w:r>
        <w:rPr>
          <w:rFonts w:ascii="仿宋" w:eastAsia="仿宋" w:hAnsi="仿宋" w:cs="仿宋_GB2312" w:hint="eastAsia"/>
          <w:bCs/>
          <w:color w:val="000000" w:themeColor="text1"/>
          <w:szCs w:val="32"/>
        </w:rPr>
        <w:t>生成式AI算力服务</w:t>
      </w:r>
      <w:r>
        <w:rPr>
          <w:rFonts w:ascii="仿宋" w:eastAsia="仿宋" w:hAnsi="仿宋" w:cs="仿宋_GB2312" w:hint="eastAsia"/>
          <w:color w:val="000000" w:themeColor="text1"/>
          <w:szCs w:val="32"/>
        </w:rPr>
        <w:t>上的推理支出占比从23年的5%上升到24上半年的23%，IDC预计2027年推理算力将占算力支出的72.6%。字节宣布2025年加大AI基础设施投资，且国内采购以推理为主。</w:t>
      </w:r>
    </w:p>
    <w:p w14:paraId="4B33EF54" w14:textId="77777777" w:rsidR="00D70D43" w:rsidRDefault="00000000">
      <w:pPr>
        <w:pStyle w:val="2"/>
        <w:rPr>
          <w:rFonts w:ascii="仿宋" w:eastAsia="仿宋" w:hAnsi="仿宋" w:hint="eastAsia"/>
          <w:color w:val="000000" w:themeColor="text1"/>
          <w:szCs w:val="32"/>
          <w:shd w:val="clear" w:color="auto" w:fill="FFFFFF"/>
        </w:rPr>
      </w:pPr>
      <w:r>
        <w:rPr>
          <w:rFonts w:ascii="仿宋" w:eastAsia="仿宋" w:hAnsi="仿宋" w:hint="eastAsia"/>
          <w:bCs/>
          <w:color w:val="000000" w:themeColor="text1"/>
          <w:szCs w:val="32"/>
        </w:rPr>
        <w:t>智算算力格局未定，阿里凭资源与技术优势跃居第一</w:t>
      </w:r>
    </w:p>
    <w:p w14:paraId="22715976" w14:textId="77777777" w:rsidR="00D70D43" w:rsidRDefault="00000000">
      <w:pPr>
        <w:spacing w:line="360" w:lineRule="auto"/>
        <w:ind w:firstLine="420"/>
        <w:rPr>
          <w:rFonts w:ascii="仿宋" w:eastAsia="仿宋" w:hAnsi="仿宋" w:cs="仿宋_GB2312" w:hint="eastAsia"/>
          <w:bCs/>
          <w:color w:val="000000" w:themeColor="text1"/>
          <w:szCs w:val="32"/>
        </w:rPr>
      </w:pPr>
      <w:r>
        <w:rPr>
          <w:rFonts w:ascii="仿宋" w:eastAsia="仿宋" w:hAnsi="仿宋" w:cs="仿宋_GB2312" w:hint="eastAsia"/>
          <w:b/>
          <w:bCs/>
          <w:color w:val="000000" w:themeColor="text1"/>
          <w:szCs w:val="32"/>
        </w:rPr>
        <w:t>生成式AI算力服务市场份额较23年下半年有较大变动，尚未形成稳定垄断格局</w:t>
      </w:r>
      <w:r>
        <w:rPr>
          <w:rFonts w:ascii="仿宋" w:eastAsia="仿宋" w:hAnsi="仿宋" w:cs="仿宋_GB2312" w:hint="eastAsia"/>
          <w:bCs/>
          <w:color w:val="000000" w:themeColor="text1"/>
          <w:szCs w:val="32"/>
        </w:rPr>
        <w:t>。2024年上半年生成式AI算力服务前四为阿里24.5%、火山引擎14.8%、商汤科技13.3%、华为7.7%，中国电信6.9%排第五较阿里差距较大。</w:t>
      </w:r>
      <w:r>
        <w:rPr>
          <w:rFonts w:ascii="仿宋" w:eastAsia="仿宋" w:hAnsi="仿宋" w:cs="仿宋_GB2312" w:hint="eastAsia"/>
          <w:color w:val="000000" w:themeColor="text1"/>
          <w:szCs w:val="32"/>
        </w:rPr>
        <w:t>IDC认为阿里跃升第一得益于三个方面。</w:t>
      </w:r>
      <w:r>
        <w:rPr>
          <w:rFonts w:ascii="仿宋" w:eastAsia="仿宋" w:hAnsi="仿宋" w:cs="仿宋_GB2312" w:hint="eastAsia"/>
          <w:b/>
          <w:bCs/>
          <w:color w:val="000000" w:themeColor="text1"/>
          <w:szCs w:val="32"/>
        </w:rPr>
        <w:t>一是内部快速调整释放出大量资源向客户侧供给。</w:t>
      </w:r>
      <w:r>
        <w:rPr>
          <w:rFonts w:ascii="仿宋" w:eastAsia="仿宋" w:hAnsi="仿宋" w:cs="仿宋_GB2312" w:hint="eastAsia"/>
          <w:bCs/>
          <w:color w:val="000000" w:themeColor="text1"/>
          <w:szCs w:val="32"/>
        </w:rPr>
        <w:t>阿里成立了基础设施委员会，协调全集团</w:t>
      </w:r>
      <w:r>
        <w:rPr>
          <w:rFonts w:ascii="仿宋" w:eastAsia="仿宋" w:hAnsi="仿宋" w:cs="仿宋_GB2312" w:hint="eastAsia"/>
          <w:bCs/>
          <w:color w:val="000000" w:themeColor="text1"/>
          <w:szCs w:val="32"/>
        </w:rPr>
        <w:lastRenderedPageBreak/>
        <w:t>底层技术基础设施的规划与建设，为内部业务与外部客户训练和部署模型提供算力。</w:t>
      </w:r>
      <w:r>
        <w:rPr>
          <w:rFonts w:ascii="仿宋" w:eastAsia="仿宋" w:hAnsi="仿宋" w:cs="仿宋_GB2312" w:hint="eastAsia"/>
          <w:b/>
          <w:bCs/>
          <w:color w:val="000000" w:themeColor="text1"/>
          <w:szCs w:val="32"/>
        </w:rPr>
        <w:t>二是借助优秀的资本布局聚焦算力消耗大户。</w:t>
      </w:r>
      <w:r>
        <w:rPr>
          <w:rFonts w:ascii="仿宋" w:eastAsia="仿宋" w:hAnsi="仿宋" w:cs="仿宋_GB2312" w:hint="eastAsia"/>
          <w:bCs/>
          <w:color w:val="000000" w:themeColor="text1"/>
          <w:szCs w:val="32"/>
        </w:rPr>
        <w:t>阿里陆续投资智谱AI、百川智能、零一万物、月之暗面和MiniMax等大模型创业公司，以算力折抵投资的方式引导大模型公司使用阿里云资源。</w:t>
      </w:r>
      <w:r>
        <w:rPr>
          <w:rFonts w:ascii="仿宋" w:eastAsia="仿宋" w:hAnsi="仿宋" w:cs="仿宋_GB2312" w:hint="eastAsia"/>
          <w:b/>
          <w:bCs/>
          <w:color w:val="000000" w:themeColor="text1"/>
          <w:szCs w:val="32"/>
        </w:rPr>
        <w:t>三是技术体系快速适配生成式AI时代获头部认可。</w:t>
      </w:r>
      <w:r>
        <w:rPr>
          <w:rFonts w:ascii="仿宋" w:eastAsia="仿宋" w:hAnsi="仿宋" w:cs="仿宋_GB2312" w:hint="eastAsia"/>
          <w:bCs/>
          <w:color w:val="000000" w:themeColor="text1"/>
          <w:szCs w:val="32"/>
        </w:rPr>
        <w:t>除优化基础设施性能及稳定性外，提供灵骏、百炼平台及魔搭社区降低用户AI模型开发与应用门槛，获得央视网、亚信科技、上海人工智能实验室等认可。</w:t>
      </w:r>
    </w:p>
    <w:p w14:paraId="7181C594" w14:textId="77777777" w:rsidR="00D70D43" w:rsidRDefault="00000000">
      <w:pPr>
        <w:pStyle w:val="2"/>
        <w:rPr>
          <w:rFonts w:ascii="仿宋" w:eastAsia="仿宋" w:hAnsi="仿宋" w:hint="eastAsia"/>
          <w:szCs w:val="32"/>
        </w:rPr>
      </w:pPr>
      <w:r>
        <w:rPr>
          <w:rFonts w:ascii="仿宋" w:eastAsia="仿宋" w:hAnsi="仿宋" w:hint="eastAsia"/>
          <w:szCs w:val="32"/>
        </w:rPr>
        <w:t>华为集成服务一支独秀，提供全家桶方案和专业服务</w:t>
      </w:r>
    </w:p>
    <w:p w14:paraId="1A85A412" w14:textId="77777777" w:rsidR="00D70D43" w:rsidRDefault="00000000">
      <w:pPr>
        <w:spacing w:line="360" w:lineRule="auto"/>
        <w:ind w:firstLine="420"/>
        <w:rPr>
          <w:rFonts w:ascii="仿宋" w:eastAsia="仿宋" w:hAnsi="仿宋" w:cs="仿宋_GB2312" w:hint="eastAsia"/>
          <w:color w:val="000000" w:themeColor="text1"/>
          <w:szCs w:val="32"/>
        </w:rPr>
      </w:pPr>
      <w:r>
        <w:rPr>
          <w:rFonts w:ascii="仿宋" w:eastAsia="仿宋" w:hAnsi="仿宋" w:cs="仿宋_GB2312" w:hint="eastAsia"/>
          <w:b/>
          <w:szCs w:val="32"/>
        </w:rPr>
        <w:t>智算集成服务市场垄断形势初显。</w:t>
      </w:r>
      <w:r>
        <w:rPr>
          <w:rFonts w:ascii="仿宋" w:eastAsia="仿宋" w:hAnsi="仿宋" w:cs="仿宋_GB2312" w:hint="eastAsia"/>
          <w:szCs w:val="32"/>
        </w:rPr>
        <w:t>华为在智算集成服务市场占比达45.6%， 2-4名的新华三、百度、中国电信、中国电子份额总和不足12%。</w:t>
      </w:r>
      <w:r>
        <w:rPr>
          <w:rFonts w:ascii="仿宋" w:eastAsia="仿宋" w:hAnsi="仿宋" w:cs="仿宋_GB2312" w:hint="eastAsia"/>
          <w:b/>
          <w:bCs/>
          <w:color w:val="000000" w:themeColor="text1"/>
          <w:szCs w:val="32"/>
        </w:rPr>
        <w:t>一是</w:t>
      </w:r>
      <w:r>
        <w:rPr>
          <w:rFonts w:ascii="仿宋" w:eastAsia="仿宋" w:hAnsi="仿宋" w:cs="仿宋_GB2312" w:hint="eastAsia"/>
          <w:color w:val="000000" w:themeColor="text1"/>
          <w:szCs w:val="32"/>
        </w:rPr>
        <w:t>华为为客户提供完整基础设施解决方案，包括咨询规划、硬件采购、集成部署及辅助运营的全家桶方案。</w:t>
      </w:r>
      <w:r>
        <w:rPr>
          <w:rFonts w:ascii="仿宋" w:eastAsia="仿宋" w:hAnsi="仿宋" w:cs="仿宋_GB2312" w:hint="eastAsia"/>
          <w:b/>
          <w:bCs/>
          <w:color w:val="000000" w:themeColor="text1"/>
          <w:szCs w:val="32"/>
        </w:rPr>
        <w:t>二是</w:t>
      </w:r>
      <w:r>
        <w:rPr>
          <w:rFonts w:ascii="仿宋" w:eastAsia="仿宋" w:hAnsi="仿宋" w:cs="仿宋_GB2312" w:hint="eastAsia"/>
          <w:color w:val="000000" w:themeColor="text1"/>
          <w:szCs w:val="32"/>
        </w:rPr>
        <w:t>针对不会使用运营国产算力的问题，华为定向开源代码工具平台，提供算子开发、模型迁移优化、集群运维运营等专业服务。</w:t>
      </w:r>
      <w:r>
        <w:rPr>
          <w:rFonts w:ascii="仿宋" w:eastAsia="仿宋" w:hAnsi="仿宋" w:cs="仿宋_GB2312" w:hint="eastAsia"/>
          <w:b/>
          <w:bCs/>
          <w:color w:val="000000" w:themeColor="text1"/>
          <w:szCs w:val="32"/>
        </w:rPr>
        <w:t>三是</w:t>
      </w:r>
      <w:r>
        <w:rPr>
          <w:rFonts w:ascii="仿宋" w:eastAsia="仿宋" w:hAnsi="仿宋" w:cs="仿宋_GB2312" w:hint="eastAsia"/>
          <w:color w:val="000000" w:themeColor="text1"/>
          <w:szCs w:val="32"/>
        </w:rPr>
        <w:t>华为采用自有+外部团队方法构建服务支撑体系。培养集成商（服务器厂家等）的FAE（现场应用工程师）团队到现场服务，而自身专家团队提供远程支撑。</w:t>
      </w:r>
    </w:p>
    <w:p w14:paraId="13F41032" w14:textId="77777777" w:rsidR="00D70D43" w:rsidRDefault="00000000">
      <w:pPr>
        <w:pStyle w:val="1"/>
        <w:rPr>
          <w:rFonts w:ascii="黑体" w:hAnsi="黑体" w:hint="eastAsia"/>
        </w:rPr>
      </w:pPr>
      <w:r>
        <w:rPr>
          <w:rFonts w:ascii="黑体" w:hAnsi="黑体" w:hint="eastAsia"/>
        </w:rPr>
        <w:t xml:space="preserve"> 二、中国电信问题分析</w:t>
      </w:r>
    </w:p>
    <w:p w14:paraId="151E16D9" w14:textId="77777777" w:rsidR="00D70D43" w:rsidRDefault="00000000">
      <w:pPr>
        <w:spacing w:line="360" w:lineRule="auto"/>
        <w:ind w:firstLine="420"/>
        <w:rPr>
          <w:rFonts w:ascii="仿宋" w:eastAsia="仿宋" w:hAnsi="仿宋" w:cs="仿宋_GB2312" w:hint="eastAsia"/>
          <w:color w:val="000000" w:themeColor="text1"/>
          <w:szCs w:val="32"/>
        </w:rPr>
      </w:pPr>
      <w:r>
        <w:rPr>
          <w:rFonts w:ascii="仿宋" w:eastAsia="仿宋" w:hAnsi="仿宋" w:cs="仿宋_GB2312" w:hint="eastAsia"/>
          <w:color w:val="000000" w:themeColor="text1"/>
          <w:szCs w:val="32"/>
        </w:rPr>
        <w:t>相比智算服务标杆厂家，中国电信在存在市场发展策略、</w:t>
      </w:r>
      <w:r>
        <w:rPr>
          <w:rFonts w:ascii="仿宋" w:eastAsia="仿宋" w:hAnsi="仿宋" w:cs="仿宋_GB2312" w:hint="eastAsia"/>
          <w:color w:val="000000" w:themeColor="text1"/>
          <w:szCs w:val="32"/>
        </w:rPr>
        <w:lastRenderedPageBreak/>
        <w:t>算力供需匹配和算力服务能力的不足。</w:t>
      </w:r>
    </w:p>
    <w:p w14:paraId="3E5F3DA7" w14:textId="0DDAF53E" w:rsidR="00D70D43" w:rsidRDefault="00000000">
      <w:pPr>
        <w:pStyle w:val="2"/>
        <w:numPr>
          <w:ilvl w:val="0"/>
          <w:numId w:val="3"/>
        </w:numPr>
        <w:rPr>
          <w:rFonts w:ascii="仿宋" w:eastAsia="仿宋" w:hAnsi="仿宋" w:hint="eastAsia"/>
          <w:b w:val="0"/>
          <w:bCs/>
          <w:szCs w:val="32"/>
        </w:rPr>
      </w:pPr>
      <w:r>
        <w:rPr>
          <w:rFonts w:ascii="仿宋" w:eastAsia="仿宋" w:hAnsi="仿宋" w:hint="eastAsia"/>
          <w:szCs w:val="32"/>
        </w:rPr>
        <w:t>智算策略定位</w:t>
      </w:r>
      <w:r w:rsidR="009A1E54">
        <w:rPr>
          <w:rFonts w:ascii="仿宋" w:eastAsia="仿宋" w:hAnsi="仿宋" w:hint="eastAsia"/>
          <w:szCs w:val="32"/>
        </w:rPr>
        <w:t>还处于探索阶段</w:t>
      </w:r>
    </w:p>
    <w:p w14:paraId="66CCF9B2" w14:textId="77777777" w:rsidR="00D70D43" w:rsidRDefault="00000000">
      <w:pPr>
        <w:spacing w:line="360" w:lineRule="auto"/>
        <w:ind w:firstLine="420"/>
        <w:rPr>
          <w:rFonts w:ascii="仿宋" w:eastAsia="仿宋" w:hAnsi="仿宋" w:cs="仿宋_GB2312" w:hint="eastAsia"/>
          <w:bCs/>
          <w:color w:val="000000" w:themeColor="text1"/>
          <w:szCs w:val="32"/>
        </w:rPr>
      </w:pPr>
      <w:r>
        <w:rPr>
          <w:rFonts w:ascii="仿宋" w:eastAsia="仿宋" w:hAnsi="仿宋" w:cs="仿宋_GB2312" w:hint="eastAsia"/>
          <w:bCs/>
          <w:szCs w:val="32"/>
        </w:rPr>
        <w:t>当前阿里云“AI驱动公有云优先”和华为“全面智能化”战略明确，而中国电信虽已明确“智算驱动”的发展方向，向智算服务商升级转型，但公有云和私有云的发展策略尚未明确。当前公有云是主推国产万卡池但市场定位不明确，私有云未找准角色定位仅做集成不能获取较高利润。</w:t>
      </w:r>
    </w:p>
    <w:p w14:paraId="60940D2F" w14:textId="33E62534" w:rsidR="00D70D43" w:rsidRDefault="00000000">
      <w:pPr>
        <w:pStyle w:val="2"/>
        <w:numPr>
          <w:ilvl w:val="0"/>
          <w:numId w:val="3"/>
        </w:numPr>
        <w:rPr>
          <w:rFonts w:ascii="仿宋" w:eastAsia="仿宋" w:hAnsi="仿宋" w:hint="eastAsia"/>
          <w:color w:val="000000" w:themeColor="text1"/>
          <w:szCs w:val="32"/>
        </w:rPr>
      </w:pPr>
      <w:r>
        <w:rPr>
          <w:rFonts w:ascii="仿宋" w:eastAsia="仿宋" w:hAnsi="仿宋" w:hint="eastAsia"/>
          <w:color w:val="000000" w:themeColor="text1"/>
          <w:szCs w:val="32"/>
        </w:rPr>
        <w:t>算力供需</w:t>
      </w:r>
      <w:r w:rsidR="009A1E54">
        <w:rPr>
          <w:rFonts w:ascii="仿宋" w:eastAsia="仿宋" w:hAnsi="仿宋" w:hint="eastAsia"/>
          <w:color w:val="000000" w:themeColor="text1"/>
          <w:szCs w:val="32"/>
        </w:rPr>
        <w:t>尚未完全匹配</w:t>
      </w:r>
    </w:p>
    <w:p w14:paraId="2ACAB704" w14:textId="248D5ABA" w:rsidR="00D70D43" w:rsidRDefault="00000000">
      <w:pPr>
        <w:spacing w:line="360" w:lineRule="auto"/>
        <w:ind w:firstLine="420"/>
        <w:rPr>
          <w:rFonts w:ascii="仿宋" w:eastAsia="仿宋" w:hAnsi="仿宋" w:cs="仿宋_GB2312" w:hint="eastAsia"/>
          <w:szCs w:val="32"/>
        </w:rPr>
      </w:pPr>
      <w:r>
        <w:rPr>
          <w:rFonts w:ascii="仿宋" w:eastAsia="仿宋" w:hAnsi="仿宋" w:cs="仿宋_GB2312" w:hint="eastAsia"/>
          <w:b/>
          <w:bCs/>
          <w:szCs w:val="32"/>
        </w:rPr>
        <w:t>算力供需匹配</w:t>
      </w:r>
      <w:r w:rsidR="009A1E54">
        <w:rPr>
          <w:rFonts w:ascii="仿宋" w:eastAsia="仿宋" w:hAnsi="仿宋" w:cs="仿宋_GB2312" w:hint="eastAsia"/>
          <w:b/>
          <w:bCs/>
          <w:szCs w:val="32"/>
        </w:rPr>
        <w:t>度不够</w:t>
      </w:r>
      <w:r>
        <w:rPr>
          <w:rFonts w:ascii="仿宋" w:eastAsia="仿宋" w:hAnsi="仿宋" w:cs="仿宋_GB2312" w:hint="eastAsia"/>
          <w:szCs w:val="32"/>
        </w:rPr>
        <w:t>，客户当前需求主要英伟达而中国电信的存量和新增以国产为主，另外客户希望私有化本地部署而中国电信主推的万卡池只能公有租赁。</w:t>
      </w:r>
      <w:r>
        <w:rPr>
          <w:rFonts w:ascii="仿宋" w:eastAsia="仿宋" w:hAnsi="仿宋" w:cs="仿宋_GB2312" w:hint="eastAsia"/>
          <w:b/>
          <w:bCs/>
          <w:szCs w:val="32"/>
        </w:rPr>
        <w:t>算力售卖难利润低，</w:t>
      </w:r>
      <w:r>
        <w:rPr>
          <w:rFonts w:ascii="仿宋" w:eastAsia="仿宋" w:hAnsi="仿宋" w:cs="仿宋_GB2312" w:hint="eastAsia"/>
          <w:szCs w:val="32"/>
        </w:rPr>
        <w:t>当前算力管理模式难以支撑客户拓展，公有云存量智算国产化占比高售卖难，私有云定制化严重利润低，成本与收益间存在矛盾。</w:t>
      </w:r>
      <w:r>
        <w:rPr>
          <w:rFonts w:ascii="仿宋" w:eastAsia="仿宋" w:hAnsi="仿宋" w:cs="仿宋_GB2312" w:hint="eastAsia"/>
          <w:b/>
          <w:bCs/>
          <w:szCs w:val="32"/>
        </w:rPr>
        <w:t>算力运营的平台和能力不足，</w:t>
      </w:r>
      <w:r>
        <w:rPr>
          <w:rFonts w:ascii="仿宋" w:eastAsia="仿宋" w:hAnsi="仿宋" w:cs="仿宋_GB2312" w:hint="eastAsia"/>
          <w:szCs w:val="32"/>
        </w:rPr>
        <w:t>整合算力时国产算力生态竖井迁移适配困难。使用算力时平台分散能力待补齐，部分自研优化技术尚未规模应用，运营算力时缺乏内部统一平台。</w:t>
      </w:r>
    </w:p>
    <w:p w14:paraId="3DDBE05B" w14:textId="77777777" w:rsidR="00D70D43" w:rsidRDefault="00000000">
      <w:pPr>
        <w:pStyle w:val="2"/>
        <w:numPr>
          <w:ilvl w:val="0"/>
          <w:numId w:val="3"/>
        </w:numPr>
        <w:rPr>
          <w:rFonts w:ascii="仿宋" w:eastAsia="仿宋" w:hAnsi="仿宋" w:hint="eastAsia"/>
          <w:szCs w:val="32"/>
        </w:rPr>
      </w:pPr>
      <w:r>
        <w:rPr>
          <w:rFonts w:ascii="仿宋" w:eastAsia="仿宋" w:hAnsi="仿宋" w:hint="eastAsia"/>
          <w:szCs w:val="32"/>
        </w:rPr>
        <w:t>服务能力不足难规模复制</w:t>
      </w:r>
    </w:p>
    <w:p w14:paraId="373ADCF9" w14:textId="77777777" w:rsidR="00D70D43" w:rsidRDefault="00000000">
      <w:pPr>
        <w:spacing w:line="360" w:lineRule="auto"/>
        <w:ind w:firstLine="420"/>
        <w:rPr>
          <w:rFonts w:ascii="仿宋" w:eastAsia="仿宋" w:hAnsi="仿宋" w:cs="仿宋_GB2312" w:hint="eastAsia"/>
          <w:szCs w:val="32"/>
        </w:rPr>
      </w:pPr>
      <w:r>
        <w:rPr>
          <w:rFonts w:ascii="仿宋" w:eastAsia="仿宋" w:hAnsi="仿宋" w:cs="仿宋_GB2312" w:hint="eastAsia"/>
          <w:b/>
          <w:bCs/>
          <w:szCs w:val="32"/>
        </w:rPr>
        <w:t>属地化的智算服务能力不足，</w:t>
      </w:r>
      <w:r>
        <w:rPr>
          <w:rFonts w:ascii="仿宋" w:eastAsia="仿宋" w:hAnsi="仿宋" w:cs="仿宋_GB2312" w:hint="eastAsia"/>
          <w:szCs w:val="32"/>
        </w:rPr>
        <w:t>未建立本地化服务团队，目前仍依赖供应商支持与运维，周期长难以及时响应客户需求，</w:t>
      </w:r>
      <w:r>
        <w:rPr>
          <w:rFonts w:ascii="仿宋" w:eastAsia="仿宋" w:hAnsi="仿宋" w:cs="仿宋_GB2312" w:hint="eastAsia"/>
          <w:b/>
          <w:bCs/>
          <w:szCs w:val="32"/>
        </w:rPr>
        <w:t>顶层支撑力度仍可加强</w:t>
      </w:r>
      <w:r>
        <w:rPr>
          <w:rFonts w:ascii="仿宋" w:eastAsia="仿宋" w:hAnsi="仿宋" w:cs="仿宋_GB2312" w:hint="eastAsia"/>
          <w:szCs w:val="32"/>
        </w:rPr>
        <w:t>。当前虽已有行业大模型工具集等方法论指导，但仍需顶层提供支持。</w:t>
      </w:r>
      <w:r>
        <w:rPr>
          <w:rFonts w:ascii="仿宋" w:eastAsia="仿宋" w:hAnsi="仿宋" w:cs="仿宋_GB2312" w:hint="eastAsia"/>
          <w:b/>
          <w:bCs/>
          <w:szCs w:val="32"/>
        </w:rPr>
        <w:t>没有能规模复制的解决方</w:t>
      </w:r>
      <w:r>
        <w:rPr>
          <w:rFonts w:ascii="仿宋" w:eastAsia="仿宋" w:hAnsi="仿宋" w:cs="仿宋_GB2312" w:hint="eastAsia"/>
          <w:b/>
          <w:bCs/>
          <w:szCs w:val="32"/>
        </w:rPr>
        <w:lastRenderedPageBreak/>
        <w:t>案。</w:t>
      </w:r>
      <w:r>
        <w:rPr>
          <w:rFonts w:ascii="仿宋" w:eastAsia="仿宋" w:hAnsi="仿宋" w:cs="仿宋_GB2312" w:hint="eastAsia"/>
          <w:szCs w:val="32"/>
        </w:rPr>
        <w:t>当前省公司还处于试用试错阶段，尚不具备模块化、标准化解决方案能力，省公司落地仍需根据客户需求一事一议进行评估与整合。</w:t>
      </w:r>
    </w:p>
    <w:p w14:paraId="683C1518" w14:textId="77777777" w:rsidR="00D70D43" w:rsidRDefault="00000000">
      <w:pPr>
        <w:pStyle w:val="1"/>
        <w:numPr>
          <w:ilvl w:val="0"/>
          <w:numId w:val="4"/>
        </w:numPr>
        <w:rPr>
          <w:rFonts w:ascii="黑体" w:hAnsi="黑体" w:hint="eastAsia"/>
        </w:rPr>
      </w:pPr>
      <w:r>
        <w:rPr>
          <w:rFonts w:ascii="黑体" w:hAnsi="黑体" w:hint="eastAsia"/>
        </w:rPr>
        <w:t>中国电信发展建议</w:t>
      </w:r>
    </w:p>
    <w:p w14:paraId="64023559" w14:textId="77777777" w:rsidR="00D70D43" w:rsidRDefault="00000000">
      <w:pPr>
        <w:pStyle w:val="2"/>
        <w:numPr>
          <w:ilvl w:val="0"/>
          <w:numId w:val="5"/>
        </w:numPr>
        <w:rPr>
          <w:rFonts w:ascii="仿宋" w:eastAsia="仿宋" w:hAnsi="仿宋" w:hint="eastAsia"/>
          <w:szCs w:val="32"/>
        </w:rPr>
      </w:pPr>
      <w:r>
        <w:rPr>
          <w:rFonts w:ascii="仿宋" w:eastAsia="仿宋" w:hAnsi="仿宋" w:hint="eastAsia"/>
          <w:szCs w:val="32"/>
        </w:rPr>
        <w:t>智算驱动，公私并重，扩大规模，利润优先</w:t>
      </w:r>
    </w:p>
    <w:p w14:paraId="43C58C4C" w14:textId="77777777" w:rsidR="00D70D43" w:rsidRDefault="00000000">
      <w:pPr>
        <w:spacing w:line="360" w:lineRule="auto"/>
        <w:ind w:firstLine="420"/>
        <w:rPr>
          <w:rFonts w:ascii="仿宋" w:eastAsia="仿宋" w:hAnsi="仿宋" w:cs="仿宋_GB2312" w:hint="eastAsia"/>
          <w:szCs w:val="32"/>
        </w:rPr>
      </w:pPr>
      <w:r>
        <w:rPr>
          <w:rFonts w:ascii="仿宋" w:eastAsia="仿宋" w:hAnsi="仿宋" w:cs="仿宋_GB2312" w:hint="eastAsia"/>
          <w:b/>
          <w:bCs/>
          <w:szCs w:val="32"/>
        </w:rPr>
        <w:t>明确智算驱动、公有云与私有云并重的发展策略</w:t>
      </w:r>
      <w:r>
        <w:rPr>
          <w:rFonts w:ascii="仿宋" w:eastAsia="仿宋" w:hAnsi="仿宋" w:cs="仿宋_GB2312" w:hint="eastAsia"/>
          <w:szCs w:val="32"/>
        </w:rPr>
        <w:t>。以智能算力作为推动业务发展和创新的核心动力，公有云与私有云并重双线发展，促进基础业务和产数业务的智能化升级</w:t>
      </w:r>
      <w:r>
        <w:rPr>
          <w:rFonts w:ascii="仿宋" w:eastAsia="仿宋" w:hAnsi="仿宋" w:cs="仿宋_GB2312" w:hint="eastAsia"/>
          <w:b/>
          <w:bCs/>
          <w:szCs w:val="32"/>
        </w:rPr>
        <w:t>。公有云规模优先</w:t>
      </w:r>
      <w:r>
        <w:rPr>
          <w:rFonts w:ascii="仿宋" w:eastAsia="仿宋" w:hAnsi="仿宋" w:cs="仿宋_GB2312" w:hint="eastAsia"/>
          <w:szCs w:val="32"/>
        </w:rPr>
        <w:t>，以大规模算力绑定模型用户，以智算化服务促存量客户转型，以低成本服务吸引中小型客户，提供简单易用的一站式智算云服务，形成规模效应。</w:t>
      </w:r>
      <w:r>
        <w:rPr>
          <w:rFonts w:ascii="仿宋" w:eastAsia="仿宋" w:hAnsi="仿宋" w:cs="仿宋_GB2312" w:hint="eastAsia"/>
          <w:b/>
          <w:bCs/>
          <w:szCs w:val="32"/>
        </w:rPr>
        <w:t>私有云利润优先</w:t>
      </w:r>
      <w:r>
        <w:rPr>
          <w:rFonts w:ascii="仿宋" w:eastAsia="仿宋" w:hAnsi="仿宋" w:cs="仿宋_GB2312" w:hint="eastAsia"/>
          <w:szCs w:val="32"/>
        </w:rPr>
        <w:t>，发挥运营商渠道和贴身服务的优势，卡位央国企等智算私有化项目的初期建设形成路径依赖，后期扩大服务范围到运营运维和模型服务等增值业务，从整体链条上获得更高利润。</w:t>
      </w:r>
    </w:p>
    <w:p w14:paraId="0CA407D8" w14:textId="77777777" w:rsidR="00D70D43" w:rsidRDefault="00000000">
      <w:pPr>
        <w:pStyle w:val="2"/>
        <w:numPr>
          <w:ilvl w:val="0"/>
          <w:numId w:val="5"/>
        </w:numPr>
        <w:rPr>
          <w:rFonts w:ascii="仿宋" w:eastAsia="仿宋" w:hAnsi="仿宋" w:hint="eastAsia"/>
          <w:szCs w:val="32"/>
        </w:rPr>
      </w:pPr>
      <w:r>
        <w:rPr>
          <w:rFonts w:ascii="仿宋" w:eastAsia="仿宋" w:hAnsi="仿宋" w:hint="eastAsia"/>
          <w:color w:val="000000" w:themeColor="text1"/>
          <w:szCs w:val="32"/>
        </w:rPr>
        <w:t>提前布局转变模式，优化获客模式，整合算力</w:t>
      </w:r>
    </w:p>
    <w:p w14:paraId="0BCDA0D8" w14:textId="77777777" w:rsidR="00D70D43" w:rsidRDefault="00000000">
      <w:pPr>
        <w:spacing w:line="360" w:lineRule="auto"/>
        <w:ind w:firstLine="420"/>
        <w:rPr>
          <w:rFonts w:ascii="仿宋" w:eastAsia="仿宋" w:hAnsi="仿宋" w:cs="仿宋_GB2312" w:hint="eastAsia"/>
          <w:color w:val="000000" w:themeColor="text1"/>
          <w:szCs w:val="32"/>
        </w:rPr>
      </w:pPr>
      <w:r>
        <w:rPr>
          <w:rFonts w:ascii="仿宋" w:eastAsia="仿宋" w:hAnsi="仿宋" w:cs="仿宋_GB2312" w:hint="eastAsia"/>
          <w:b/>
          <w:color w:val="000000" w:themeColor="text1"/>
          <w:szCs w:val="32"/>
        </w:rPr>
        <w:t>适当超前建设，适时提前布局推理。</w:t>
      </w:r>
      <w:r>
        <w:rPr>
          <w:rFonts w:ascii="仿宋" w:eastAsia="仿宋" w:hAnsi="仿宋" w:cs="仿宋_GB2312" w:hint="eastAsia"/>
          <w:color w:val="000000" w:themeColor="text1"/>
          <w:szCs w:val="32"/>
        </w:rPr>
        <w:t>短期通过合作引入英伟达芯片，按需建设国产训练算力，开展十万卡可行性研究；中期储备华为、寒武纪、沐曦等国产新型芯片算力，逐步形成“训练集中，推理下沉”的新布局。</w:t>
      </w:r>
      <w:r>
        <w:rPr>
          <w:rFonts w:ascii="仿宋" w:eastAsia="仿宋" w:hAnsi="仿宋" w:cs="仿宋_GB2312" w:hint="eastAsia"/>
          <w:b/>
          <w:color w:val="000000" w:themeColor="text1"/>
          <w:szCs w:val="32"/>
        </w:rPr>
        <w:t>分类优化转商策略，构建测试场和试用池拓展获客。</w:t>
      </w:r>
      <w:r>
        <w:rPr>
          <w:rFonts w:ascii="仿宋" w:eastAsia="仿宋" w:hAnsi="仿宋" w:cs="仿宋_GB2312" w:hint="eastAsia"/>
          <w:bCs/>
          <w:color w:val="000000" w:themeColor="text1"/>
          <w:szCs w:val="32"/>
        </w:rPr>
        <w:t>公有云</w:t>
      </w:r>
      <w:r>
        <w:rPr>
          <w:rFonts w:ascii="仿宋" w:eastAsia="仿宋" w:hAnsi="仿宋" w:cs="仿宋_GB2312" w:hint="eastAsia"/>
          <w:color w:val="000000" w:themeColor="text1"/>
          <w:szCs w:val="32"/>
        </w:rPr>
        <w:t>延长算力折旧周期提高财务核算灵活度，</w:t>
      </w:r>
      <w:r>
        <w:rPr>
          <w:rFonts w:ascii="仿宋" w:eastAsia="仿宋" w:hAnsi="仿宋" w:cs="仿宋_GB2312" w:hint="eastAsia"/>
          <w:bCs/>
          <w:color w:val="000000" w:themeColor="text1"/>
          <w:szCs w:val="32"/>
        </w:rPr>
        <w:t>面</w:t>
      </w:r>
      <w:r>
        <w:rPr>
          <w:rFonts w:ascii="仿宋" w:eastAsia="仿宋" w:hAnsi="仿宋" w:cs="仿宋_GB2312" w:hint="eastAsia"/>
          <w:color w:val="000000" w:themeColor="text1"/>
          <w:szCs w:val="32"/>
        </w:rPr>
        <w:t>向头部科技企业，基于万卡池提供免费/低价国产化适配扭转客户认知和探索专属云模式，绑定</w:t>
      </w:r>
      <w:r>
        <w:rPr>
          <w:rFonts w:ascii="仿宋" w:eastAsia="仿宋" w:hAnsi="仿宋" w:cs="仿宋_GB2312" w:hint="eastAsia"/>
          <w:color w:val="000000" w:themeColor="text1"/>
          <w:szCs w:val="32"/>
        </w:rPr>
        <w:lastRenderedPageBreak/>
        <w:t>未来大模型厂商和行业用户推理算力市场，面向中小企业推荐使用基于国产算力的MaaS服务；私有云面向政企行业客户，推动本地化，构建测试场进行POC集成创新，集中管控划拨部分硬件资源，用于本地网前期客户测试验证。</w:t>
      </w:r>
      <w:r>
        <w:rPr>
          <w:rFonts w:ascii="仿宋" w:eastAsia="仿宋" w:hAnsi="仿宋" w:cs="仿宋_GB2312" w:hint="eastAsia"/>
          <w:b/>
          <w:bCs/>
          <w:szCs w:val="32"/>
        </w:rPr>
        <w:t>整合算力补齐平台短板加速自研。</w:t>
      </w:r>
      <w:r>
        <w:rPr>
          <w:rFonts w:ascii="仿宋" w:eastAsia="仿宋" w:hAnsi="仿宋" w:cs="仿宋_GB2312" w:hint="eastAsia"/>
          <w:szCs w:val="32"/>
        </w:rPr>
        <w:t>产学研协同解决多元异构生态问题，重点按场景构建国产推理生态工具。智算MaaS平台对标业界标杆补齐能力，加强自研智算技术的落地应用降低业务成本,促科技转商实现高质量创新。研究统一内部算力平台方案由内而外整合算力。</w:t>
      </w:r>
    </w:p>
    <w:p w14:paraId="6AA03ADC" w14:textId="77777777" w:rsidR="00D70D43" w:rsidRDefault="00000000">
      <w:pPr>
        <w:pStyle w:val="2"/>
        <w:numPr>
          <w:ilvl w:val="0"/>
          <w:numId w:val="5"/>
        </w:numPr>
        <w:rPr>
          <w:rFonts w:ascii="仿宋" w:eastAsia="仿宋" w:hAnsi="仿宋" w:hint="eastAsia"/>
          <w:szCs w:val="32"/>
        </w:rPr>
      </w:pPr>
      <w:r>
        <w:rPr>
          <w:rFonts w:ascii="仿宋" w:eastAsia="仿宋" w:hAnsi="仿宋" w:hint="eastAsia"/>
          <w:szCs w:val="32"/>
        </w:rPr>
        <w:t>构建队伍加强服务，全面方案促规模应用</w:t>
      </w:r>
    </w:p>
    <w:p w14:paraId="1FFEF333" w14:textId="77777777" w:rsidR="00D70D43" w:rsidRDefault="00000000">
      <w:pPr>
        <w:widowControl/>
        <w:spacing w:line="360" w:lineRule="auto"/>
        <w:ind w:firstLine="420"/>
        <w:jc w:val="left"/>
        <w:rPr>
          <w:rFonts w:ascii="仿宋" w:eastAsia="仿宋" w:hAnsi="仿宋" w:cs="仿宋_GB2312" w:hint="eastAsia"/>
          <w:szCs w:val="32"/>
        </w:rPr>
      </w:pPr>
      <w:r>
        <w:rPr>
          <w:rFonts w:ascii="仿宋" w:eastAsia="仿宋" w:hAnsi="仿宋" w:cs="仿宋_GB2312" w:hint="eastAsia"/>
          <w:b/>
          <w:bCs/>
          <w:szCs w:val="32"/>
        </w:rPr>
        <w:t>统筹智算服务体系建设提供指导。</w:t>
      </w:r>
      <w:r>
        <w:rPr>
          <w:rFonts w:ascii="仿宋" w:eastAsia="仿宋" w:hAnsi="仿宋" w:cs="仿宋_GB2312" w:hint="eastAsia"/>
          <w:szCs w:val="32"/>
        </w:rPr>
        <w:t>从集团层面统筹服务团队建设，并提供各种智算解决方案支撑，包括体系化作战方法、</w:t>
      </w:r>
      <w:r>
        <w:rPr>
          <w:rFonts w:ascii="仿宋" w:eastAsia="仿宋" w:hAnsi="仿宋" w:cs="仿宋_GB2312" w:hint="eastAsia"/>
          <w:kern w:val="0"/>
          <w:szCs w:val="32"/>
          <w:lang w:bidi="ar"/>
        </w:rPr>
        <w:t>客户痛点场景、标杆案例证明等多方面协助省公司开展智算产品销售。</w:t>
      </w:r>
      <w:r>
        <w:rPr>
          <w:rFonts w:ascii="仿宋" w:eastAsia="仿宋" w:hAnsi="仿宋" w:cs="仿宋_GB2312" w:hint="eastAsia"/>
          <w:b/>
          <w:bCs/>
          <w:szCs w:val="32"/>
        </w:rPr>
        <w:t>全流程能力提升培育智算团队。</w:t>
      </w:r>
      <w:r>
        <w:rPr>
          <w:rFonts w:ascii="仿宋" w:eastAsia="仿宋" w:hAnsi="仿宋" w:cs="仿宋_GB2312" w:hint="eastAsia"/>
          <w:szCs w:val="32"/>
        </w:rPr>
        <w:t>集团和省专协同构建大区+本地两级架构智算全流程服务团队，大区</w:t>
      </w:r>
      <w:r>
        <w:rPr>
          <w:rFonts w:ascii="仿宋" w:eastAsia="仿宋" w:hAnsi="仿宋" w:cs="仿宋_GB2312" w:hint="eastAsia"/>
          <w:kern w:val="0"/>
          <w:szCs w:val="32"/>
          <w:lang w:bidi="ar"/>
        </w:rPr>
        <w:t>团队</w:t>
      </w:r>
      <w:r>
        <w:rPr>
          <w:rFonts w:ascii="仿宋" w:eastAsia="仿宋" w:hAnsi="仿宋" w:cs="仿宋_GB2312" w:hint="eastAsia"/>
          <w:szCs w:val="32"/>
        </w:rPr>
        <w:t>总结万卡池运维运营和适配迁移的经验并转变为面向客户服务能力，本地团队使用集成交付平台工具，形成私有化部署的标准化售前售后流程。</w:t>
      </w:r>
      <w:r>
        <w:rPr>
          <w:rFonts w:ascii="仿宋" w:eastAsia="仿宋" w:hAnsi="仿宋" w:cs="仿宋_GB2312" w:hint="eastAsia"/>
          <w:b/>
          <w:bCs/>
          <w:szCs w:val="32"/>
        </w:rPr>
        <w:t>打造标杆案例助力各领域商机挖掘。</w:t>
      </w:r>
      <w:r>
        <w:rPr>
          <w:rFonts w:ascii="仿宋" w:eastAsia="仿宋" w:hAnsi="仿宋" w:cs="仿宋_GB2312" w:hint="eastAsia"/>
          <w:szCs w:val="32"/>
        </w:rPr>
        <w:t>政府和企业的私有化场景等获客注重传统云计算存量客户的智算转型需求挖掘；个人消费和家庭场景则注重新业务新场景的开拓。在每个领域打造标杆案例，及时总结形成可复制可落地的方案进行推广。</w:t>
      </w:r>
    </w:p>
    <w:sectPr w:rsidR="00D70D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E6543" w14:textId="77777777" w:rsidR="0019612C" w:rsidRDefault="0019612C">
      <w:r>
        <w:separator/>
      </w:r>
    </w:p>
  </w:endnote>
  <w:endnote w:type="continuationSeparator" w:id="0">
    <w:p w14:paraId="22B3E2D2" w14:textId="77777777" w:rsidR="0019612C" w:rsidRDefault="00196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01C1D" w14:textId="77777777" w:rsidR="0019612C" w:rsidRDefault="0019612C">
      <w:r>
        <w:separator/>
      </w:r>
    </w:p>
  </w:footnote>
  <w:footnote w:type="continuationSeparator" w:id="0">
    <w:p w14:paraId="0ACC0DD2" w14:textId="77777777" w:rsidR="0019612C" w:rsidRDefault="0019612C">
      <w:r>
        <w:continuationSeparator/>
      </w:r>
    </w:p>
  </w:footnote>
  <w:footnote w:id="1">
    <w:p w14:paraId="65DDF6E4" w14:textId="77777777" w:rsidR="00D70D43" w:rsidRDefault="00000000">
      <w:pPr>
        <w:pStyle w:val="ab"/>
        <w:rPr>
          <w:rFonts w:ascii="仿宋" w:eastAsia="仿宋" w:hAnsi="仿宋" w:hint="eastAsia"/>
        </w:rPr>
      </w:pPr>
      <w:r>
        <w:rPr>
          <w:rStyle w:val="af3"/>
        </w:rPr>
        <w:footnoteRef/>
      </w:r>
      <w:r>
        <w:t xml:space="preserve"> </w:t>
      </w:r>
      <w:r>
        <w:rPr>
          <w:rFonts w:ascii="仿宋" w:eastAsia="仿宋" w:hAnsi="仿宋" w:hint="eastAsia"/>
        </w:rPr>
        <w:t>智算集成服务主要是指厂商在帮助客户建设私有智算基础设施过程中提供的咨询、集成、开发、运维等专业和管理服务</w:t>
      </w:r>
    </w:p>
  </w:footnote>
  <w:footnote w:id="2">
    <w:p w14:paraId="0F556BD0" w14:textId="77777777" w:rsidR="00D70D43" w:rsidRDefault="00000000">
      <w:pPr>
        <w:pStyle w:val="ab"/>
        <w:rPr>
          <w:rFonts w:ascii="仿宋" w:eastAsia="仿宋" w:hAnsi="仿宋" w:hint="eastAsia"/>
        </w:rPr>
      </w:pPr>
      <w:r>
        <w:rPr>
          <w:rStyle w:val="af3"/>
          <w:rFonts w:ascii="仿宋" w:eastAsia="仿宋" w:hAnsi="仿宋"/>
        </w:rPr>
        <w:footnoteRef/>
      </w:r>
      <w:r>
        <w:rPr>
          <w:rFonts w:ascii="仿宋" w:eastAsia="仿宋" w:hAnsi="仿宋"/>
        </w:rPr>
        <w:t xml:space="preserve"> </w:t>
      </w:r>
      <w:r>
        <w:rPr>
          <w:rFonts w:ascii="仿宋" w:eastAsia="仿宋" w:hAnsi="仿宋" w:hint="eastAsia"/>
        </w:rPr>
        <w:t>智算算力服务（AI IaaS）是指供应商以租赁形式为客户提供一站式智能算力服务，并由供应商提供后续的运营及运维保障。其中AI算力（AI IaaS）市场又分为面向生成式AI的生成式AI算力服务（GenAI IaaS）和传统AI算力服务（Other AI IaaS，如传统渲染、仿真、视联网推理等业务场景）两个细分市场</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2E5D71"/>
    <w:multiLevelType w:val="singleLevel"/>
    <w:tmpl w:val="982E5D71"/>
    <w:lvl w:ilvl="0">
      <w:start w:val="1"/>
      <w:numFmt w:val="decimal"/>
      <w:suff w:val="space"/>
      <w:lvlText w:val="%1."/>
      <w:lvlJc w:val="left"/>
    </w:lvl>
  </w:abstractNum>
  <w:abstractNum w:abstractNumId="1" w15:restartNumberingAfterBreak="0">
    <w:nsid w:val="A772D302"/>
    <w:multiLevelType w:val="singleLevel"/>
    <w:tmpl w:val="A772D302"/>
    <w:lvl w:ilvl="0">
      <w:start w:val="1"/>
      <w:numFmt w:val="decimal"/>
      <w:suff w:val="space"/>
      <w:lvlText w:val="%1."/>
      <w:lvlJc w:val="left"/>
    </w:lvl>
  </w:abstractNum>
  <w:abstractNum w:abstractNumId="2" w15:restartNumberingAfterBreak="0">
    <w:nsid w:val="ADD94F3F"/>
    <w:multiLevelType w:val="singleLevel"/>
    <w:tmpl w:val="ADD94F3F"/>
    <w:lvl w:ilvl="0">
      <w:start w:val="3"/>
      <w:numFmt w:val="chineseCounting"/>
      <w:suff w:val="nothing"/>
      <w:lvlText w:val="%1、"/>
      <w:lvlJc w:val="left"/>
      <w:rPr>
        <w:rFonts w:hint="eastAsia"/>
      </w:rPr>
    </w:lvl>
  </w:abstractNum>
  <w:abstractNum w:abstractNumId="3" w15:restartNumberingAfterBreak="0">
    <w:nsid w:val="E3B40238"/>
    <w:multiLevelType w:val="singleLevel"/>
    <w:tmpl w:val="E3B40238"/>
    <w:lvl w:ilvl="0">
      <w:start w:val="1"/>
      <w:numFmt w:val="decimal"/>
      <w:pStyle w:val="2"/>
      <w:suff w:val="space"/>
      <w:lvlText w:val="%1."/>
      <w:lvlJc w:val="left"/>
    </w:lvl>
  </w:abstractNum>
  <w:abstractNum w:abstractNumId="4" w15:restartNumberingAfterBreak="0">
    <w:nsid w:val="23B92AB7"/>
    <w:multiLevelType w:val="singleLevel"/>
    <w:tmpl w:val="23B92AB7"/>
    <w:lvl w:ilvl="0">
      <w:start w:val="1"/>
      <w:numFmt w:val="chineseCounting"/>
      <w:suff w:val="nothing"/>
      <w:lvlText w:val="%1、"/>
      <w:lvlJc w:val="left"/>
      <w:rPr>
        <w:rFonts w:hint="eastAsia"/>
      </w:rPr>
    </w:lvl>
  </w:abstractNum>
  <w:num w:numId="1" w16cid:durableId="881283627">
    <w:abstractNumId w:val="3"/>
  </w:num>
  <w:num w:numId="2" w16cid:durableId="355235095">
    <w:abstractNumId w:val="4"/>
  </w:num>
  <w:num w:numId="3" w16cid:durableId="1863669571">
    <w:abstractNumId w:val="0"/>
  </w:num>
  <w:num w:numId="4" w16cid:durableId="1485201628">
    <w:abstractNumId w:val="2"/>
  </w:num>
  <w:num w:numId="5" w16cid:durableId="476798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FB5187C"/>
    <w:rsid w:val="00024D9A"/>
    <w:rsid w:val="0004486E"/>
    <w:rsid w:val="00045933"/>
    <w:rsid w:val="00060522"/>
    <w:rsid w:val="00061CBB"/>
    <w:rsid w:val="000741E7"/>
    <w:rsid w:val="000C1B23"/>
    <w:rsid w:val="000D3732"/>
    <w:rsid w:val="000D5619"/>
    <w:rsid w:val="00103897"/>
    <w:rsid w:val="001313B1"/>
    <w:rsid w:val="00151837"/>
    <w:rsid w:val="00155A41"/>
    <w:rsid w:val="00155D8D"/>
    <w:rsid w:val="001910A2"/>
    <w:rsid w:val="0019612C"/>
    <w:rsid w:val="001A0378"/>
    <w:rsid w:val="001A1F6E"/>
    <w:rsid w:val="001A3285"/>
    <w:rsid w:val="001B3D5C"/>
    <w:rsid w:val="001C3C04"/>
    <w:rsid w:val="001D6046"/>
    <w:rsid w:val="00203AF3"/>
    <w:rsid w:val="0021564F"/>
    <w:rsid w:val="0022678D"/>
    <w:rsid w:val="00237BD7"/>
    <w:rsid w:val="00247851"/>
    <w:rsid w:val="0027184B"/>
    <w:rsid w:val="00276A38"/>
    <w:rsid w:val="002815B0"/>
    <w:rsid w:val="002A7E6F"/>
    <w:rsid w:val="0030248C"/>
    <w:rsid w:val="00302CC6"/>
    <w:rsid w:val="00312C3E"/>
    <w:rsid w:val="003134E5"/>
    <w:rsid w:val="003445A0"/>
    <w:rsid w:val="00357464"/>
    <w:rsid w:val="003579EB"/>
    <w:rsid w:val="00387083"/>
    <w:rsid w:val="0039708B"/>
    <w:rsid w:val="003D709A"/>
    <w:rsid w:val="003E01A6"/>
    <w:rsid w:val="00403541"/>
    <w:rsid w:val="00415547"/>
    <w:rsid w:val="0046376E"/>
    <w:rsid w:val="00482F6E"/>
    <w:rsid w:val="00485213"/>
    <w:rsid w:val="004A2DAE"/>
    <w:rsid w:val="004B4C6C"/>
    <w:rsid w:val="004B5529"/>
    <w:rsid w:val="004B7B2F"/>
    <w:rsid w:val="004D6C40"/>
    <w:rsid w:val="004D6CAD"/>
    <w:rsid w:val="00504602"/>
    <w:rsid w:val="00546946"/>
    <w:rsid w:val="00556741"/>
    <w:rsid w:val="00561F10"/>
    <w:rsid w:val="005A70C5"/>
    <w:rsid w:val="005A7DBF"/>
    <w:rsid w:val="005B4A9F"/>
    <w:rsid w:val="005D3A27"/>
    <w:rsid w:val="005D505E"/>
    <w:rsid w:val="005F3F1A"/>
    <w:rsid w:val="00642768"/>
    <w:rsid w:val="006527FE"/>
    <w:rsid w:val="00652B0F"/>
    <w:rsid w:val="006534B6"/>
    <w:rsid w:val="00664F0A"/>
    <w:rsid w:val="006C60B0"/>
    <w:rsid w:val="006D25E5"/>
    <w:rsid w:val="006D3718"/>
    <w:rsid w:val="006E261A"/>
    <w:rsid w:val="006F4CCF"/>
    <w:rsid w:val="006F57AA"/>
    <w:rsid w:val="00714BBF"/>
    <w:rsid w:val="00736412"/>
    <w:rsid w:val="00755D3C"/>
    <w:rsid w:val="0079690F"/>
    <w:rsid w:val="007A3CCC"/>
    <w:rsid w:val="007B274A"/>
    <w:rsid w:val="007B40E2"/>
    <w:rsid w:val="007D505F"/>
    <w:rsid w:val="007E0DE3"/>
    <w:rsid w:val="007E4625"/>
    <w:rsid w:val="00816A85"/>
    <w:rsid w:val="00854F65"/>
    <w:rsid w:val="008620E0"/>
    <w:rsid w:val="008E4502"/>
    <w:rsid w:val="008F4E41"/>
    <w:rsid w:val="009111DB"/>
    <w:rsid w:val="0094150B"/>
    <w:rsid w:val="00955EBD"/>
    <w:rsid w:val="009A1E54"/>
    <w:rsid w:val="009A215C"/>
    <w:rsid w:val="009D5450"/>
    <w:rsid w:val="009F6914"/>
    <w:rsid w:val="00A0692E"/>
    <w:rsid w:val="00A07EE5"/>
    <w:rsid w:val="00A314BA"/>
    <w:rsid w:val="00A403D3"/>
    <w:rsid w:val="00A42758"/>
    <w:rsid w:val="00A4400B"/>
    <w:rsid w:val="00A6048E"/>
    <w:rsid w:val="00A661BB"/>
    <w:rsid w:val="00A76063"/>
    <w:rsid w:val="00A97848"/>
    <w:rsid w:val="00AA3D01"/>
    <w:rsid w:val="00AD6594"/>
    <w:rsid w:val="00AF04AA"/>
    <w:rsid w:val="00AF69A8"/>
    <w:rsid w:val="00B03605"/>
    <w:rsid w:val="00B64E9C"/>
    <w:rsid w:val="00B66A41"/>
    <w:rsid w:val="00B7649C"/>
    <w:rsid w:val="00B90DE7"/>
    <w:rsid w:val="00B9404C"/>
    <w:rsid w:val="00B95237"/>
    <w:rsid w:val="00BA52E2"/>
    <w:rsid w:val="00BC4120"/>
    <w:rsid w:val="00BC4975"/>
    <w:rsid w:val="00C0414F"/>
    <w:rsid w:val="00C11BE1"/>
    <w:rsid w:val="00C3013F"/>
    <w:rsid w:val="00C64375"/>
    <w:rsid w:val="00CA0A51"/>
    <w:rsid w:val="00CA39C4"/>
    <w:rsid w:val="00CB10F4"/>
    <w:rsid w:val="00CB625E"/>
    <w:rsid w:val="00D1793B"/>
    <w:rsid w:val="00D317EF"/>
    <w:rsid w:val="00D4668E"/>
    <w:rsid w:val="00D47BB1"/>
    <w:rsid w:val="00D60AC1"/>
    <w:rsid w:val="00D645EB"/>
    <w:rsid w:val="00D646B3"/>
    <w:rsid w:val="00D65D92"/>
    <w:rsid w:val="00D70D43"/>
    <w:rsid w:val="00D72584"/>
    <w:rsid w:val="00D740C9"/>
    <w:rsid w:val="00D9540A"/>
    <w:rsid w:val="00DB5C9C"/>
    <w:rsid w:val="00DC03F3"/>
    <w:rsid w:val="00DC1D36"/>
    <w:rsid w:val="00DD1093"/>
    <w:rsid w:val="00DF1557"/>
    <w:rsid w:val="00E05610"/>
    <w:rsid w:val="00E46ADE"/>
    <w:rsid w:val="00E726D2"/>
    <w:rsid w:val="00E94130"/>
    <w:rsid w:val="00EA4103"/>
    <w:rsid w:val="00EE5898"/>
    <w:rsid w:val="00EF0E23"/>
    <w:rsid w:val="00F0095D"/>
    <w:rsid w:val="00F05648"/>
    <w:rsid w:val="00F10C5A"/>
    <w:rsid w:val="00F170B1"/>
    <w:rsid w:val="00F2327D"/>
    <w:rsid w:val="00F327C2"/>
    <w:rsid w:val="00F701D5"/>
    <w:rsid w:val="00F913BD"/>
    <w:rsid w:val="00FD277E"/>
    <w:rsid w:val="012D4786"/>
    <w:rsid w:val="025263E9"/>
    <w:rsid w:val="034B4BE6"/>
    <w:rsid w:val="03BA1B3A"/>
    <w:rsid w:val="052851DF"/>
    <w:rsid w:val="06043E9E"/>
    <w:rsid w:val="077336CA"/>
    <w:rsid w:val="078903A8"/>
    <w:rsid w:val="07AB0349"/>
    <w:rsid w:val="082D6FB0"/>
    <w:rsid w:val="09F61D50"/>
    <w:rsid w:val="0A370A52"/>
    <w:rsid w:val="0AA51086"/>
    <w:rsid w:val="0B0009AC"/>
    <w:rsid w:val="0B7078E0"/>
    <w:rsid w:val="0BA20970"/>
    <w:rsid w:val="0C6D4FE5"/>
    <w:rsid w:val="0CE265BB"/>
    <w:rsid w:val="0CFF0F1B"/>
    <w:rsid w:val="0D8D29CB"/>
    <w:rsid w:val="0EE8635D"/>
    <w:rsid w:val="0F9A4F2B"/>
    <w:rsid w:val="102313C5"/>
    <w:rsid w:val="102A4C15"/>
    <w:rsid w:val="10966B96"/>
    <w:rsid w:val="11286567"/>
    <w:rsid w:val="11BA18B5"/>
    <w:rsid w:val="12D22781"/>
    <w:rsid w:val="12D73BA1"/>
    <w:rsid w:val="13FA243C"/>
    <w:rsid w:val="1413499D"/>
    <w:rsid w:val="145C4EA5"/>
    <w:rsid w:val="14E530ED"/>
    <w:rsid w:val="14F450DE"/>
    <w:rsid w:val="15327ECB"/>
    <w:rsid w:val="16013F56"/>
    <w:rsid w:val="17DD00AB"/>
    <w:rsid w:val="1973301A"/>
    <w:rsid w:val="1A881709"/>
    <w:rsid w:val="1BB26287"/>
    <w:rsid w:val="1C7859F2"/>
    <w:rsid w:val="1CFF6D16"/>
    <w:rsid w:val="1D5232E9"/>
    <w:rsid w:val="1E0C16EA"/>
    <w:rsid w:val="1EAE7EAF"/>
    <w:rsid w:val="1F971355"/>
    <w:rsid w:val="20370574"/>
    <w:rsid w:val="207B3E05"/>
    <w:rsid w:val="229C379C"/>
    <w:rsid w:val="22CF0F38"/>
    <w:rsid w:val="23045086"/>
    <w:rsid w:val="23767606"/>
    <w:rsid w:val="25B14925"/>
    <w:rsid w:val="26C94080"/>
    <w:rsid w:val="27457A1B"/>
    <w:rsid w:val="27983FEE"/>
    <w:rsid w:val="2A84085A"/>
    <w:rsid w:val="2BF15CE7"/>
    <w:rsid w:val="2C866B0B"/>
    <w:rsid w:val="2CF9108B"/>
    <w:rsid w:val="2E2E745B"/>
    <w:rsid w:val="2E30169A"/>
    <w:rsid w:val="2E56075F"/>
    <w:rsid w:val="31295CB7"/>
    <w:rsid w:val="32195D2C"/>
    <w:rsid w:val="348C0A37"/>
    <w:rsid w:val="34F90824"/>
    <w:rsid w:val="34FA1E45"/>
    <w:rsid w:val="36EC7002"/>
    <w:rsid w:val="37846BFD"/>
    <w:rsid w:val="380354B4"/>
    <w:rsid w:val="380357AD"/>
    <w:rsid w:val="38EC5F48"/>
    <w:rsid w:val="39D83A14"/>
    <w:rsid w:val="3A900B55"/>
    <w:rsid w:val="3A952932"/>
    <w:rsid w:val="3D436353"/>
    <w:rsid w:val="3E391C30"/>
    <w:rsid w:val="3EAE5A4E"/>
    <w:rsid w:val="3EBC63BD"/>
    <w:rsid w:val="3F161F71"/>
    <w:rsid w:val="3FCE45FA"/>
    <w:rsid w:val="408E3D49"/>
    <w:rsid w:val="417D62D7"/>
    <w:rsid w:val="41802A4E"/>
    <w:rsid w:val="42A930FC"/>
    <w:rsid w:val="45604523"/>
    <w:rsid w:val="46CA53C3"/>
    <w:rsid w:val="47DF0117"/>
    <w:rsid w:val="48A64365"/>
    <w:rsid w:val="48F350D1"/>
    <w:rsid w:val="4AD3142A"/>
    <w:rsid w:val="4B4E2A92"/>
    <w:rsid w:val="4B7C315C"/>
    <w:rsid w:val="4C2A1804"/>
    <w:rsid w:val="4C6F1C0F"/>
    <w:rsid w:val="4E0D0129"/>
    <w:rsid w:val="4F9C3DCC"/>
    <w:rsid w:val="503C55AF"/>
    <w:rsid w:val="50537E7C"/>
    <w:rsid w:val="52304CA0"/>
    <w:rsid w:val="52393747"/>
    <w:rsid w:val="5277735B"/>
    <w:rsid w:val="52E42E4C"/>
    <w:rsid w:val="53852DC9"/>
    <w:rsid w:val="54151CA5"/>
    <w:rsid w:val="54232D0E"/>
    <w:rsid w:val="5435426D"/>
    <w:rsid w:val="54A23167"/>
    <w:rsid w:val="54C23C27"/>
    <w:rsid w:val="55821CB6"/>
    <w:rsid w:val="55985036"/>
    <w:rsid w:val="55B87486"/>
    <w:rsid w:val="55D50038"/>
    <w:rsid w:val="5604091D"/>
    <w:rsid w:val="56CB4CE1"/>
    <w:rsid w:val="56CC14F3"/>
    <w:rsid w:val="56D06A51"/>
    <w:rsid w:val="57427814"/>
    <w:rsid w:val="58A36161"/>
    <w:rsid w:val="5960230F"/>
    <w:rsid w:val="59BE7035"/>
    <w:rsid w:val="5A957753"/>
    <w:rsid w:val="5D7C348F"/>
    <w:rsid w:val="5E9860A7"/>
    <w:rsid w:val="5E987E55"/>
    <w:rsid w:val="5F385194"/>
    <w:rsid w:val="5F44309B"/>
    <w:rsid w:val="5FB5187C"/>
    <w:rsid w:val="5FB645AE"/>
    <w:rsid w:val="5FE61094"/>
    <w:rsid w:val="60326087"/>
    <w:rsid w:val="604A72F7"/>
    <w:rsid w:val="61254372"/>
    <w:rsid w:val="613F1997"/>
    <w:rsid w:val="61497B2C"/>
    <w:rsid w:val="625925DC"/>
    <w:rsid w:val="636724EC"/>
    <w:rsid w:val="63AE604C"/>
    <w:rsid w:val="63FA6EBC"/>
    <w:rsid w:val="64682077"/>
    <w:rsid w:val="66BB10BA"/>
    <w:rsid w:val="67830108"/>
    <w:rsid w:val="67B04461"/>
    <w:rsid w:val="67E20393"/>
    <w:rsid w:val="6881195A"/>
    <w:rsid w:val="68DE7BFE"/>
    <w:rsid w:val="68F91E38"/>
    <w:rsid w:val="696E0130"/>
    <w:rsid w:val="69C07EEC"/>
    <w:rsid w:val="6A31115D"/>
    <w:rsid w:val="6B60255D"/>
    <w:rsid w:val="6B7B4D86"/>
    <w:rsid w:val="6B9D187D"/>
    <w:rsid w:val="6BFC4006"/>
    <w:rsid w:val="6C68355C"/>
    <w:rsid w:val="6C7C2B64"/>
    <w:rsid w:val="6CD429A0"/>
    <w:rsid w:val="6DFB5D0A"/>
    <w:rsid w:val="6E6B10E2"/>
    <w:rsid w:val="6F011A46"/>
    <w:rsid w:val="6F810491"/>
    <w:rsid w:val="6FFD4D9E"/>
    <w:rsid w:val="719901C0"/>
    <w:rsid w:val="71C224FB"/>
    <w:rsid w:val="72B666A4"/>
    <w:rsid w:val="73D74B24"/>
    <w:rsid w:val="741E09A4"/>
    <w:rsid w:val="7480340D"/>
    <w:rsid w:val="748E5089"/>
    <w:rsid w:val="74AA048A"/>
    <w:rsid w:val="764D37C3"/>
    <w:rsid w:val="767945B8"/>
    <w:rsid w:val="76B63116"/>
    <w:rsid w:val="76BB072D"/>
    <w:rsid w:val="76DF08BF"/>
    <w:rsid w:val="76FF2D0F"/>
    <w:rsid w:val="77195203"/>
    <w:rsid w:val="77C16217"/>
    <w:rsid w:val="77FC0C7C"/>
    <w:rsid w:val="78470DC8"/>
    <w:rsid w:val="787A616E"/>
    <w:rsid w:val="78A5374B"/>
    <w:rsid w:val="79435FC4"/>
    <w:rsid w:val="7A344A7E"/>
    <w:rsid w:val="7AED2E7F"/>
    <w:rsid w:val="7BB37C24"/>
    <w:rsid w:val="7C172D6C"/>
    <w:rsid w:val="7E74183B"/>
    <w:rsid w:val="7E9E0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CF9AE"/>
  <w15:docId w15:val="{534FE5F2-AA6C-4D69-AF5F-F80BA3A4F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annotation reference" w:qFormat="1"/>
    <w:lsdException w:name="Title" w:qFormat="1"/>
    <w:lsdException w:name="Default Paragraph Font" w:semiHidden="1" w:uiPriority="1" w:unhideWhenUsed="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仿宋_GB2312" w:hAnsiTheme="minorHAnsi" w:cstheme="minorBidi"/>
      <w:kern w:val="2"/>
      <w:sz w:val="32"/>
      <w:szCs w:val="24"/>
    </w:rPr>
  </w:style>
  <w:style w:type="paragraph" w:styleId="1">
    <w:name w:val="heading 1"/>
    <w:basedOn w:val="a"/>
    <w:next w:val="a"/>
    <w:qFormat/>
    <w:pPr>
      <w:keepNext/>
      <w:keepLines/>
      <w:spacing w:line="360" w:lineRule="auto"/>
      <w:outlineLvl w:val="0"/>
    </w:pPr>
    <w:rPr>
      <w:rFonts w:ascii="仿宋_GB2312" w:eastAsia="黑体" w:hAnsi="仿宋_GB2312" w:cs="黑体"/>
      <w:b/>
      <w:kern w:val="44"/>
      <w:szCs w:val="32"/>
    </w:rPr>
  </w:style>
  <w:style w:type="paragraph" w:styleId="2">
    <w:name w:val="heading 2"/>
    <w:basedOn w:val="a"/>
    <w:next w:val="a"/>
    <w:unhideWhenUsed/>
    <w:qFormat/>
    <w:pPr>
      <w:keepLines/>
      <w:numPr>
        <w:numId w:val="1"/>
      </w:numPr>
      <w:spacing w:line="360" w:lineRule="auto"/>
      <w:outlineLvl w:val="1"/>
    </w:pPr>
    <w:rPr>
      <w:rFonts w:ascii="仿宋_GB2312" w:hAnsi="仿宋_GB2312" w:cs="仿宋_GB2312"/>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footnote text"/>
    <w:basedOn w:val="a"/>
    <w:qFormat/>
    <w:pPr>
      <w:snapToGrid w:val="0"/>
      <w:jc w:val="left"/>
    </w:pPr>
    <w:rPr>
      <w:sz w:val="18"/>
      <w:szCs w:val="18"/>
    </w:rPr>
  </w:style>
  <w:style w:type="paragraph" w:styleId="ac">
    <w:name w:val="Normal (Web)"/>
    <w:basedOn w:val="a"/>
    <w:qFormat/>
    <w:pPr>
      <w:spacing w:beforeAutospacing="1" w:afterAutospacing="1"/>
      <w:jc w:val="left"/>
    </w:pPr>
    <w:rPr>
      <w:rFonts w:cs="Times New Roman"/>
      <w:kern w:val="0"/>
      <w:sz w:val="24"/>
    </w:rPr>
  </w:style>
  <w:style w:type="paragraph" w:styleId="ad">
    <w:name w:val="annotation subject"/>
    <w:basedOn w:val="a3"/>
    <w:next w:val="a3"/>
    <w:link w:val="ae"/>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0"/>
    <w:qFormat/>
    <w:rPr>
      <w:color w:val="800080"/>
      <w:u w:val="single"/>
    </w:rPr>
  </w:style>
  <w:style w:type="character" w:styleId="af1">
    <w:name w:val="Hyperlink"/>
    <w:basedOn w:val="a0"/>
    <w:qFormat/>
    <w:rPr>
      <w:color w:val="0026E5" w:themeColor="hyperlink"/>
      <w:u w:val="single"/>
    </w:rPr>
  </w:style>
  <w:style w:type="character" w:styleId="af2">
    <w:name w:val="annotation reference"/>
    <w:basedOn w:val="a0"/>
    <w:qFormat/>
    <w:rPr>
      <w:sz w:val="21"/>
      <w:szCs w:val="21"/>
    </w:rPr>
  </w:style>
  <w:style w:type="character" w:styleId="af3">
    <w:name w:val="footnote reference"/>
    <w:basedOn w:val="a0"/>
    <w:qFormat/>
    <w:rPr>
      <w:vertAlign w:val="superscript"/>
    </w:rPr>
  </w:style>
  <w:style w:type="paragraph" w:styleId="af4">
    <w:name w:val="List Paragraph"/>
    <w:basedOn w:val="a"/>
    <w:uiPriority w:val="99"/>
    <w:qFormat/>
    <w:pPr>
      <w:ind w:firstLineChars="200" w:firstLine="420"/>
    </w:pPr>
  </w:style>
  <w:style w:type="character" w:customStyle="1" w:styleId="aa">
    <w:name w:val="页眉 字符"/>
    <w:basedOn w:val="a0"/>
    <w:link w:val="a9"/>
    <w:qFormat/>
    <w:rPr>
      <w:rFonts w:asciiTheme="minorHAnsi" w:eastAsiaTheme="minorEastAsia" w:hAnsiTheme="minorHAnsi" w:cstheme="minorBidi"/>
      <w:kern w:val="2"/>
      <w:sz w:val="18"/>
      <w:szCs w:val="18"/>
    </w:rPr>
  </w:style>
  <w:style w:type="character" w:customStyle="1" w:styleId="a8">
    <w:name w:val="页脚 字符"/>
    <w:basedOn w:val="a0"/>
    <w:link w:val="a7"/>
    <w:qFormat/>
    <w:rPr>
      <w:rFonts w:asciiTheme="minorHAnsi" w:eastAsiaTheme="minorEastAsia" w:hAnsiTheme="minorHAnsi" w:cstheme="minorBidi"/>
      <w:kern w:val="2"/>
      <w:sz w:val="18"/>
      <w:szCs w:val="18"/>
    </w:rPr>
  </w:style>
  <w:style w:type="character" w:customStyle="1" w:styleId="a6">
    <w:name w:val="批注框文本 字符"/>
    <w:basedOn w:val="a0"/>
    <w:link w:val="a5"/>
    <w:qFormat/>
    <w:rPr>
      <w:rFonts w:asciiTheme="minorHAnsi" w:eastAsiaTheme="minorEastAsia" w:hAnsiTheme="minorHAnsi" w:cstheme="minorBidi"/>
      <w:kern w:val="2"/>
      <w:sz w:val="18"/>
      <w:szCs w:val="18"/>
    </w:rPr>
  </w:style>
  <w:style w:type="paragraph" w:customStyle="1" w:styleId="10">
    <w:name w:val="修订1"/>
    <w:hidden/>
    <w:uiPriority w:val="99"/>
    <w:unhideWhenUsed/>
    <w:qFormat/>
    <w:rPr>
      <w:rFonts w:asciiTheme="minorHAnsi" w:eastAsiaTheme="minorEastAsia" w:hAnsiTheme="minorHAnsi" w:cstheme="minorBidi"/>
      <w:kern w:val="2"/>
      <w:sz w:val="21"/>
      <w:szCs w:val="24"/>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e">
    <w:name w:val="批注主题 字符"/>
    <w:basedOn w:val="a4"/>
    <w:link w:val="ad"/>
    <w:qFormat/>
    <w:rPr>
      <w:rFonts w:asciiTheme="minorHAnsi" w:eastAsiaTheme="minorEastAsia" w:hAnsiTheme="minorHAnsi" w:cstheme="minorBidi"/>
      <w:b/>
      <w:bCs/>
      <w:kern w:val="2"/>
      <w:sz w:val="21"/>
      <w:szCs w:val="24"/>
    </w:rPr>
  </w:style>
  <w:style w:type="paragraph" w:styleId="af5">
    <w:name w:val="No Spacing"/>
    <w:uiPriority w:val="1"/>
    <w:qFormat/>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WPS_441984743</dc:creator>
  <cp:lastModifiedBy>钢 陆</cp:lastModifiedBy>
  <cp:revision>149</cp:revision>
  <dcterms:created xsi:type="dcterms:W3CDTF">2024-12-26T03:01:00Z</dcterms:created>
  <dcterms:modified xsi:type="dcterms:W3CDTF">2024-12-31T06:01:00Z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8FB57EE1A0CB478CAE4DAAD074B5B028_13</vt:lpwstr>
  </property>
  <property fmtid="{D5CDD505-2E9C-101B-9397-08002B2CF9AE}" pid="4" name="KSOTemplateDocerSaveRecord">
    <vt:lpwstr>eyJoZGlkIjoiMDlhOTM4MWE5MjgzZTMxN2UwMDViYTQ4YzgzOTQwYzkiLCJ1c2VySWQiOiIxMDc4MDQxNTE3In0=</vt:lpwstr>
  </property>
</Properties>
</file>