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0" w:type="auto"/>
        <w:jc w:val="center"/>
        <w:tblBorders>
          <w:top w:val="none" w:sz="6" w:space="0" w:color="cbcdd1"/>
          <w:left w:val="none" w:sz="6" w:space="0" w:color="cbcdd1"/>
          <w:bottom w:val="single" w:sz="36" w:space="0" w:color="0070c0"/>
          <w:right w:val="none" w:sz="6" w:space="0" w:color="cbcdd1"/>
          <w:insideH w:val="none" w:sz="6" w:space="0" w:color="cbcdd1"/>
          <w:insideV w:val="none" w:sz="6" w:space="0" w:color="cbcdd1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96"/>
      </w:tblGrid>
      <w:tr w14:paraId="0483EA71">
        <w:trPr>
          <w:trHeight w:val="1939" w:hRule="atLeast"/>
          <w:jc w:val="center"/>
        </w:trPr>
        <w:tc>
          <w:tcPr>
            <w:tcW w:w="8596" w:type="dxa"/>
            <w:tcBorders>
              <w:top w:val="nil"/>
              <w:left w:val="nil"/>
              <w:bottom w:val="single" w:sz="36" w:space="0" w:color="0070c0"/>
              <w:right w:val="nil"/>
            </w:tcBorders>
            <w:shd w:val="clear" w:color="auto" w:fill="auto"/>
            <w:vAlign w:val="center"/>
          </w:tcPr>
          <w:p w14:paraId="04335523">
            <w:pPr>
              <w:pStyle w:val="style0"/>
              <w:jc w:val="center"/>
              <w:rPr>
                <w:rFonts w:ascii="隶书" w:cs="隶书" w:eastAsia="隶书" w:hAnsi="隶书" w:hint="eastAsia"/>
                <w:color w:val="ff0000"/>
                <w:sz w:val="112"/>
                <w:szCs w:val="112"/>
              </w:rPr>
            </w:pPr>
            <w:r>
              <w:rPr>
                <w:rFonts w:ascii="隶书" w:cs="隶书" w:eastAsia="隶书" w:hAnsi="隶书" w:hint="eastAsia"/>
                <w:color w:val="ff0000"/>
                <w:sz w:val="112"/>
                <w:szCs w:val="112"/>
              </w:rPr>
              <w:t>战略研究专报</w:t>
            </w:r>
          </w:p>
          <w:p w14:paraId="0632BB9B">
            <w:pPr>
              <w:pStyle w:val="style0"/>
              <w:rPr>
                <w:rFonts w:ascii="隶书" w:cs="隶书" w:eastAsia="隶书" w:hAnsi="宋体" w:hint="eastAsia"/>
                <w:color w:val="ff0000"/>
                <w:sz w:val="28"/>
                <w:szCs w:val="28"/>
              </w:rPr>
            </w:pPr>
            <w:r>
              <w:rPr>
                <w:rFonts w:ascii="隶书" w:cs="隶书" w:eastAsia="隶书" w:hAnsi="宋体" w:hint="eastAsia"/>
                <w:color w:val="ff0000"/>
                <w:sz w:val="30"/>
                <w:szCs w:val="30"/>
              </w:rPr>
              <w:t xml:space="preserve">天翼智库                           </w:t>
            </w:r>
            <w:r>
              <w:rPr>
                <w:rFonts w:ascii="隶书" w:cs="隶书" w:eastAsia="隶书" w:hAnsi="隶书" w:hint="eastAsia"/>
                <w:color w:val="ff0000"/>
                <w:sz w:val="30"/>
                <w:szCs w:val="30"/>
              </w:rPr>
              <w:t>2025年第5期 总5期</w:t>
            </w:r>
          </w:p>
        </w:tc>
      </w:tr>
    </w:tbl>
    <w:p w14:paraId="533D7392">
      <w:pPr>
        <w:pStyle w:val="style1"/>
        <w:spacing w:before="220" w:after="210" w:lineRule="auto" w:line="360"/>
        <w:jc w:val="center"/>
        <w:rPr>
          <w:rFonts w:eastAsia="宋体" w:hint="default"/>
          <w:color w:val="auto"/>
          <w:sz w:val="40"/>
          <w:szCs w:val="40"/>
          <w:lang w:val="en-US" w:eastAsia="zh-CN"/>
        </w:rPr>
      </w:pPr>
      <w:r>
        <w:rPr>
          <w:rFonts w:hint="eastAsia"/>
          <w:color w:val="auto"/>
          <w:sz w:val="40"/>
          <w:szCs w:val="40"/>
        </w:rPr>
        <w:t>智能化战略</w:t>
      </w:r>
      <w:r>
        <w:rPr>
          <w:rFonts w:hint="eastAsia"/>
          <w:color w:val="auto"/>
          <w:sz w:val="40"/>
          <w:szCs w:val="40"/>
          <w:lang w:val="en-US" w:eastAsia="zh-CN"/>
        </w:rPr>
        <w:t>本质</w:t>
      </w:r>
      <w:r>
        <w:rPr>
          <w:rFonts w:hint="default"/>
          <w:color w:val="auto"/>
          <w:sz w:val="40"/>
          <w:szCs w:val="40"/>
          <w:lang w:val="en-US" w:eastAsia="zh-CN"/>
        </w:rPr>
        <w:t>、</w:t>
      </w:r>
      <w:r>
        <w:rPr>
          <w:rFonts w:hint="eastAsia"/>
          <w:color w:val="auto"/>
          <w:sz w:val="40"/>
          <w:szCs w:val="40"/>
          <w:lang w:val="en-US" w:eastAsia="zh-CN"/>
        </w:rPr>
        <w:t>核心与重点</w:t>
      </w:r>
      <w:r>
        <w:rPr>
          <w:rFonts w:hint="default"/>
          <w:color w:val="auto"/>
          <w:sz w:val="40"/>
          <w:szCs w:val="40"/>
          <w:lang w:val="en-US" w:eastAsia="zh-CN"/>
        </w:rPr>
        <w:t>举措</w:t>
      </w:r>
    </w:p>
    <w:p w14:paraId="4CA1ABBB">
      <w:pPr>
        <w:pStyle w:val="style0"/>
        <w:spacing w:before="156" w:beforeLines="50" w:lineRule="auto" w:line="360"/>
        <w:ind w:firstLine="640" w:firstLineChars="200"/>
        <w:jc w:val="left"/>
        <w:rPr>
          <w:rFonts w:cs="华文仿宋" w:eastAsia="华文仿宋" w:hAnsi="华文仿宋" w:hint="eastAsia"/>
          <w:b/>
          <w:bCs/>
          <w:sz w:val="32"/>
          <w:szCs w:val="32"/>
          <w:lang w:eastAsia="zh-CN"/>
        </w:rPr>
      </w:pPr>
      <w:r>
        <w:rPr>
          <w:rFonts w:cs="华文仿宋" w:eastAsia="华文仿宋" w:hAnsi="华文仿宋" w:hint="eastAsia"/>
          <w:sz w:val="32"/>
          <w:szCs w:val="32"/>
        </w:rPr>
        <w:t>中国电信的智能化战略升级，应以打造国家智能云第一科技、成为科技领军企业和全球领先的智能信息服务提供商为目标，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本质是通过智能化重构生产关系，推动流程、能力、机制的全面升级和变革，实现以客户为中心的智能化转型</w:t>
      </w:r>
      <w:r>
        <w:rPr>
          <w:rFonts w:cs="华文仿宋" w:eastAsia="华文仿宋" w:hAnsi="华文仿宋" w:hint="eastAsia"/>
          <w:b/>
          <w:bCs/>
          <w:sz w:val="32"/>
          <w:szCs w:val="32"/>
          <w:lang w:eastAsia="zh-CN"/>
        </w:rPr>
        <w:t>。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核心是</w:t>
      </w:r>
      <w:r>
        <w:rPr>
          <w:rFonts w:cs="华文仿宋" w:eastAsia="华文仿宋" w:hAnsi="华文仿宋" w:hint="eastAsia"/>
          <w:b/>
          <w:bCs/>
          <w:sz w:val="32"/>
          <w:szCs w:val="32"/>
          <w:lang w:val="en-US" w:eastAsia="zh-CN"/>
        </w:rPr>
        <w:t>科技创新</w:t>
      </w:r>
      <w:r w:rsidR="6B3C6A47">
        <w:rPr>
          <w:rFonts w:cs="华文仿宋" w:eastAsia="华文仿宋" w:hAnsi="华文仿宋" w:hint="default"/>
          <w:b/>
          <w:bCs/>
          <w:sz w:val="32"/>
          <w:szCs w:val="32"/>
          <w:lang w:val="en-US" w:eastAsia="zh-CN"/>
        </w:rPr>
        <w:t>和</w:t>
      </w:r>
      <w:r w:rsidR="5FC53583">
        <w:rPr>
          <w:rFonts w:cs="华文仿宋" w:eastAsia="华文仿宋" w:hAnsi="华文仿宋" w:hint="default"/>
          <w:b/>
          <w:bCs/>
          <w:sz w:val="32"/>
          <w:szCs w:val="32"/>
          <w:lang w:val="en-US" w:eastAsia="zh-CN"/>
        </w:rPr>
        <w:t>开放</w:t>
      </w:r>
      <w:r w:rsidR="6FDB88B3">
        <w:rPr>
          <w:rFonts w:cs="华文仿宋" w:eastAsia="华文仿宋" w:hAnsi="华文仿宋" w:hint="default"/>
          <w:b/>
          <w:bCs/>
          <w:sz w:val="32"/>
          <w:szCs w:val="32"/>
          <w:lang w:val="en-US" w:eastAsia="zh-CN"/>
        </w:rPr>
        <w:t>合作</w:t>
      </w:r>
      <w:r w:rsidR="5AEEF398">
        <w:rPr>
          <w:rFonts w:cs="华文仿宋" w:eastAsia="华文仿宋" w:hAnsi="华文仿宋" w:hint="default"/>
          <w:b/>
          <w:bCs/>
          <w:sz w:val="32"/>
          <w:szCs w:val="32"/>
          <w:lang w:val="en-US" w:eastAsia="zh-CN"/>
        </w:rPr>
        <w:t>，</w:t>
      </w:r>
      <w:r w:rsidR="A4C0380D">
        <w:rPr>
          <w:rFonts w:ascii="Calibri" w:cs="华文仿宋" w:eastAsia="华文仿宋" w:hAnsi="华文仿宋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构建新型的</w:t>
      </w:r>
      <w:r w:rsidR="0D2AFD4D">
        <w:rPr>
          <w:rFonts w:ascii="Calibri" w:cs="华文仿宋" w:eastAsia="华文仿宋" w:hAnsi="华文仿宋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 xml:space="preserve"> </w:t>
      </w:r>
      <w:r w:rsidR="5DD0E6D7">
        <w:rPr>
          <w:rFonts w:ascii="Calibri" w:cs="华文仿宋" w:eastAsia="华文仿宋" w:hAnsi="华文仿宋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AI</w:t>
      </w:r>
      <w:r w:rsidR="1EE9402B">
        <w:rPr>
          <w:rFonts w:ascii="Calibri" w:cs="华文仿宋" w:eastAsia="华文仿宋" w:hAnsi="华文仿宋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 xml:space="preserve"> </w:t>
      </w:r>
      <w:r w:rsidR="08A3D415">
        <w:rPr>
          <w:rFonts w:ascii="Calibri" w:cs="华文仿宋" w:eastAsia="华文仿宋" w:hAnsi="华文仿宋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驱动研发模式</w:t>
      </w:r>
      <w:r>
        <w:rPr>
          <w:rFonts w:cs="华文仿宋" w:eastAsia="华文仿宋" w:hAnsi="华文仿宋" w:hint="eastAsia"/>
          <w:b/>
          <w:bCs/>
          <w:sz w:val="32"/>
          <w:szCs w:val="32"/>
          <w:lang w:val="en-US" w:eastAsia="zh-CN"/>
        </w:rPr>
        <w:t>，</w:t>
      </w:r>
      <w:r w:rsidR="943A8488">
        <w:rPr>
          <w:rFonts w:cs="华文仿宋" w:eastAsia="华文仿宋" w:hAnsi="华文仿宋" w:hint="default"/>
          <w:b/>
          <w:bCs/>
          <w:sz w:val="32"/>
          <w:szCs w:val="32"/>
          <w:lang w:val="en-US" w:eastAsia="zh-CN"/>
        </w:rPr>
        <w:t>围绕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AI 与网、云及云网融合、量子/安全等根技术的深度融合创新</w:t>
      </w:r>
      <w:r w:rsidR="8F54D916">
        <w:rPr>
          <w:rFonts w:cs="华文仿宋" w:eastAsia="华文仿宋" w:hAnsi="华文仿宋" w:hint="default"/>
          <w:b/>
          <w:bCs/>
          <w:sz w:val="32"/>
          <w:szCs w:val="32"/>
          <w:lang w:val="en-US"/>
        </w:rPr>
        <w:t>、</w:t>
      </w:r>
      <w:r w:rsidR="0F5F682F">
        <w:rPr>
          <w:rFonts w:cs="华文仿宋" w:eastAsia="华文仿宋" w:hAnsi="华文仿宋" w:hint="default"/>
          <w:b/>
          <w:bCs/>
          <w:sz w:val="32"/>
          <w:szCs w:val="32"/>
          <w:lang w:val="en-US"/>
        </w:rPr>
        <w:t>聚焦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第一科技息壤开展核心技术攻关，</w:t>
      </w:r>
      <w:r>
        <w:rPr>
          <w:rFonts w:cs="华文仿宋" w:eastAsia="华文仿宋" w:hAnsi="华文仿宋" w:hint="eastAsia"/>
          <w:b/>
          <w:bCs/>
          <w:sz w:val="32"/>
          <w:szCs w:val="32"/>
          <w:lang w:val="en-US" w:eastAsia="zh-CN"/>
        </w:rPr>
        <w:t>加快形成新质生产力</w:t>
      </w:r>
      <w:r>
        <w:rPr>
          <w:rFonts w:cs="华文仿宋" w:eastAsia="华文仿宋" w:hAnsi="华文仿宋" w:hint="eastAsia"/>
          <w:b/>
          <w:bCs/>
          <w:sz w:val="32"/>
          <w:szCs w:val="32"/>
          <w:lang w:eastAsia="zh-CN"/>
        </w:rPr>
        <w:t>。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重点是推进基础设施升级、</w:t>
      </w:r>
      <w:r>
        <w:rPr>
          <w:rFonts w:cs="华文仿宋" w:eastAsia="华文仿宋" w:hAnsi="华文仿宋" w:hint="eastAsia"/>
          <w:b/>
          <w:bCs/>
          <w:sz w:val="32"/>
          <w:szCs w:val="32"/>
          <w:lang w:val="en-US" w:eastAsia="zh-CN"/>
        </w:rPr>
        <w:t>中台能力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重构、业务</w:t>
      </w:r>
      <w:r>
        <w:rPr>
          <w:rFonts w:cs="华文仿宋" w:eastAsia="华文仿宋" w:hAnsi="华文仿宋" w:hint="eastAsia"/>
          <w:b/>
          <w:bCs/>
          <w:sz w:val="32"/>
          <w:szCs w:val="32"/>
          <w:lang w:val="en-US" w:eastAsia="zh-CN"/>
        </w:rPr>
        <w:t>能力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重塑、科研范式变革和</w:t>
      </w:r>
      <w:r>
        <w:rPr>
          <w:rFonts w:cs="华文仿宋" w:eastAsia="华文仿宋" w:hAnsi="华文仿宋" w:hint="eastAsia"/>
          <w:b/>
          <w:bCs/>
          <w:sz w:val="32"/>
          <w:szCs w:val="32"/>
          <w:lang w:val="en-US" w:eastAsia="zh-CN"/>
        </w:rPr>
        <w:t>深化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开放合作</w:t>
      </w:r>
      <w:r>
        <w:rPr>
          <w:rFonts w:cs="华文仿宋" w:eastAsia="华文仿宋" w:hAnsi="华文仿宋" w:hint="eastAsia"/>
          <w:b/>
          <w:bCs/>
          <w:sz w:val="32"/>
          <w:szCs w:val="32"/>
          <w:lang w:eastAsia="zh-CN"/>
        </w:rPr>
        <w:t>。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全面构建“网为基础、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云</w:t>
      </w:r>
      <w:r>
        <w:rPr>
          <w:rFonts w:cs="华文仿宋" w:eastAsia="华文仿宋" w:hAnsi="华文仿宋" w:hint="eastAsia"/>
          <w:b/>
          <w:bCs/>
          <w:sz w:val="32"/>
          <w:szCs w:val="32"/>
          <w:lang w:val="en-US"/>
        </w:rPr>
        <w:t>网融合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、</w:t>
      </w:r>
      <w:r>
        <w:rPr>
          <w:rFonts w:cs="华文仿宋" w:eastAsia="华文仿宋" w:hAnsi="华文仿宋" w:hint="eastAsia"/>
          <w:b/>
          <w:bCs/>
          <w:sz w:val="32"/>
          <w:szCs w:val="32"/>
          <w:lang w:val="en-US"/>
        </w:rPr>
        <w:t>智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为核心</w:t>
      </w:r>
      <w:r>
        <w:rPr>
          <w:rFonts w:cs="华文仿宋" w:eastAsia="华文仿宋" w:hAnsi="华文仿宋" w:hint="eastAsia"/>
          <w:b/>
          <w:bCs/>
          <w:sz w:val="32"/>
          <w:szCs w:val="32"/>
          <w:lang w:val="en-US"/>
        </w:rPr>
        <w:t>、云智一体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”</w:t>
      </w:r>
      <w:r>
        <w:rPr>
          <w:rFonts w:cs="华文仿宋" w:eastAsia="华文仿宋" w:hAnsi="华文仿宋" w:hint="eastAsia"/>
          <w:b/>
          <w:bCs/>
          <w:sz w:val="32"/>
          <w:szCs w:val="32"/>
          <w:lang w:val="en-US"/>
        </w:rPr>
        <w:t>新型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战略体系</w:t>
      </w:r>
      <w:r>
        <w:rPr>
          <w:rFonts w:cs="华文仿宋" w:eastAsia="华文仿宋" w:hAnsi="华文仿宋" w:hint="eastAsia"/>
          <w:b/>
          <w:bCs/>
          <w:sz w:val="32"/>
          <w:szCs w:val="32"/>
          <w:lang w:eastAsia="zh-CN"/>
        </w:rPr>
        <w:t>。</w:t>
      </w:r>
    </w:p>
    <w:p w14:paraId="17AFE510">
      <w:pPr>
        <w:pStyle w:val="style0"/>
        <w:numPr>
          <w:ilvl w:val="255"/>
          <w:numId w:val="0"/>
        </w:numPr>
        <w:spacing w:before="156" w:beforeLines="50" w:lineRule="auto" w:line="360"/>
        <w:jc w:val="left"/>
        <w:rPr/>
      </w:pPr>
      <w:r>
        <w:rPr/>
        <w:drawing>
          <wp:inline distL="0" distT="0" distB="0" distR="0">
            <wp:extent cx="5271135" cy="2649855"/>
            <wp:effectExtent l="0" t="0" r="1905" b="1905"/>
            <wp:docPr id="1026" name="图片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1135" cy="26498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E510">
      <w:pPr>
        <w:pStyle w:val="style0"/>
        <w:numPr>
          <w:ilvl w:val="255"/>
          <w:numId w:val="0"/>
        </w:numPr>
        <w:spacing w:before="0" w:lineRule="auto" w:line="240"/>
        <w:ind w:firstLine="2310" w:firstLineChars="1100"/>
        <w:jc w:val="left"/>
        <w:rPr>
          <w:rFonts w:ascii="华文仿宋" w:cs="华文仿宋" w:eastAsia="华文仿宋" w:hAnsi="华文仿宋"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>中国电信智能化战略升级体系</w:t>
      </w:r>
    </w:p>
    <w:p w14:paraId="7D7F1102">
      <w:pPr>
        <w:pStyle w:val="style0"/>
        <w:spacing w:before="156" w:beforeLines="50" w:lineRule="auto" w:line="360"/>
        <w:ind w:firstLine="641" w:firstLineChars="200"/>
        <w:jc w:val="left"/>
        <w:rPr>
          <w:rFonts w:ascii="华文仿宋" w:cs="华文仿宋" w:eastAsia="华文仿宋" w:hAnsi="华文仿宋" w:hint="eastAsia"/>
          <w:sz w:val="32"/>
          <w:szCs w:val="32"/>
          <w:highlight w:val="yellow"/>
          <w:lang w:eastAsia="zh-CN"/>
        </w:rPr>
      </w:pPr>
      <w:r>
        <w:rPr>
          <w:rFonts w:cs="华文仿宋" w:eastAsia="华文仿宋" w:hAnsi="华文仿宋" w:hint="eastAsia"/>
          <w:b/>
          <w:bCs/>
          <w:sz w:val="32"/>
          <w:szCs w:val="32"/>
          <w:lang w:val="en-US" w:eastAsia="zh-CN"/>
        </w:rPr>
        <w:t>1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、</w:t>
      </w:r>
      <w:r>
        <w:rPr>
          <w:rFonts w:cs="华文仿宋" w:eastAsia="华文仿宋" w:hAnsi="华文仿宋"/>
          <w:b/>
          <w:bCs/>
          <w:sz w:val="32"/>
          <w:szCs w:val="32"/>
        </w:rPr>
        <w:t>基础设施升级。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</w:rPr>
        <w:t>从云网基础设施向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云网智一体的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</w:rPr>
        <w:t>国家智能数字信息基础设施升级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eastAsia="zh-CN"/>
        </w:rPr>
        <w:t>。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以息壤为核心，持续升级“算力、平台、数据、模型、应用”五位一体的智能云能力体系；面向不同阶段的大模型推理和训练需求，加快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多层级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智算中心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布局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和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资源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优化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；以“网络即算力”为方向，加快构建全国一体化算力网，实现跨服务商、跨架构、跨地域算力资源的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</w:rPr>
        <w:t>弹性供给与动态调度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，实现智算资源规模和算力调度能力位居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行业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前列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。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基于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资源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和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网络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优势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，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打造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差异化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数据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和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模型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服务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，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成为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国内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主要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 xml:space="preserve"> M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aaS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 xml:space="preserve"> 平台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</w:rPr>
        <w:t>。</w:t>
      </w:r>
    </w:p>
    <w:p w14:paraId="1300D6DA">
      <w:pPr>
        <w:pStyle w:val="style0"/>
        <w:numPr>
          <w:ilvl w:val="255"/>
          <w:numId w:val="0"/>
        </w:numPr>
        <w:spacing w:before="156" w:beforeLines="50" w:lineRule="auto" w:line="360"/>
        <w:ind w:firstLine="641" w:firstLineChars="200"/>
        <w:jc w:val="left"/>
        <w:rPr>
          <w:rFonts w:cs="华文仿宋" w:eastAsia="华文仿宋" w:hAnsi="华文仿宋" w:hint="eastAsia"/>
          <w:b w:val="false"/>
          <w:bCs w:val="false"/>
          <w:color w:val="auto"/>
          <w:sz w:val="32"/>
          <w:szCs w:val="32"/>
          <w:lang w:val="en-US" w:eastAsia="zh-CN"/>
        </w:rPr>
      </w:pPr>
      <w:r>
        <w:rPr>
          <w:rFonts w:cs="华文仿宋" w:eastAsia="华文仿宋" w:hAnsi="华文仿宋" w:hint="eastAsia"/>
          <w:b/>
          <w:bCs/>
          <w:color w:val="auto"/>
          <w:sz w:val="32"/>
          <w:szCs w:val="32"/>
          <w:lang w:val="en-US" w:eastAsia="zh-CN"/>
        </w:rPr>
        <w:t>2</w:t>
      </w:r>
      <w:r>
        <w:rPr>
          <w:rFonts w:cs="华文仿宋" w:eastAsia="华文仿宋" w:hAnsi="华文仿宋" w:hint="eastAsia"/>
          <w:b/>
          <w:bCs/>
          <w:color w:val="auto"/>
          <w:sz w:val="32"/>
          <w:szCs w:val="32"/>
        </w:rPr>
        <w:t>、</w:t>
      </w:r>
      <w:r>
        <w:rPr>
          <w:rFonts w:cs="华文仿宋" w:eastAsia="华文仿宋" w:hAnsi="华文仿宋" w:hint="eastAsia"/>
          <w:b/>
          <w:bCs/>
          <w:color w:val="auto"/>
          <w:sz w:val="32"/>
          <w:szCs w:val="32"/>
          <w:lang w:val="en-US" w:eastAsia="zh-CN"/>
        </w:rPr>
        <w:t>中台能力</w:t>
      </w:r>
      <w:r>
        <w:rPr>
          <w:rFonts w:cs="华文仿宋" w:eastAsia="华文仿宋" w:hAnsi="华文仿宋" w:hint="eastAsia"/>
          <w:b/>
          <w:bCs/>
          <w:color w:val="auto"/>
          <w:sz w:val="32"/>
          <w:szCs w:val="32"/>
        </w:rPr>
        <w:t>重构</w:t>
      </w:r>
      <w:r>
        <w:rPr>
          <w:rFonts w:cs="华文仿宋" w:eastAsia="华文仿宋" w:hAnsi="华文仿宋"/>
          <w:b/>
          <w:bCs/>
          <w:color w:val="auto"/>
          <w:sz w:val="32"/>
          <w:szCs w:val="32"/>
        </w:rPr>
        <w:t>。</w:t>
      </w:r>
      <w:r w:rsidR="F869C98D">
        <w:rPr>
          <w:rFonts w:cs="华文仿宋" w:eastAsia="华文仿宋" w:hAnsi="华文仿宋"/>
          <w:b/>
          <w:bCs/>
          <w:color w:val="auto"/>
          <w:sz w:val="32"/>
          <w:szCs w:val="32"/>
          <w:lang w:val="en-US"/>
        </w:rPr>
        <w:t>重构</w:t>
      </w:r>
      <w:r>
        <w:rPr>
          <w:rFonts w:cs="华文仿宋" w:eastAsia="华文仿宋" w:hAnsi="华文仿宋" w:hint="eastAsia"/>
          <w:b w:val="false"/>
          <w:bCs w:val="false"/>
          <w:color w:val="auto"/>
          <w:sz w:val="32"/>
          <w:szCs w:val="32"/>
          <w:lang w:val="en-US" w:eastAsia="zh-CN"/>
        </w:rPr>
        <w:t>现有能力平台</w:t>
      </w:r>
      <w:r w:rsidR="50E797C9">
        <w:rPr>
          <w:rFonts w:cs="华文仿宋" w:eastAsia="华文仿宋" w:hAnsi="华文仿宋" w:hint="default"/>
          <w:b w:val="false"/>
          <w:bCs w:val="false"/>
          <w:color w:val="auto"/>
          <w:sz w:val="32"/>
          <w:szCs w:val="32"/>
          <w:lang w:val="en-US" w:eastAsia="zh-CN"/>
        </w:rPr>
        <w:t>，</w:t>
      </w:r>
      <w:r>
        <w:rPr>
          <w:rFonts w:cs="华文仿宋" w:eastAsia="华文仿宋" w:hAnsi="华文仿宋" w:hint="eastAsia"/>
          <w:b w:val="false"/>
          <w:bCs w:val="false"/>
          <w:color w:val="auto"/>
          <w:sz w:val="32"/>
          <w:szCs w:val="32"/>
          <w:lang w:val="en-US" w:eastAsia="zh-CN"/>
        </w:rPr>
        <w:t>向智能体能力平台升级，打造企业数智化转型的“操作系统”，提供统一</w:t>
      </w:r>
      <w:r>
        <w:rPr>
          <w:rFonts w:cs="华文仿宋" w:eastAsia="华文仿宋" w:hAnsi="华文仿宋" w:hint="default"/>
          <w:b w:val="false"/>
          <w:bCs w:val="false"/>
          <w:color w:val="auto"/>
          <w:sz w:val="32"/>
          <w:szCs w:val="32"/>
          <w:lang w:val="en-US" w:eastAsia="zh-CN"/>
        </w:rPr>
        <w:t>技术</w:t>
      </w:r>
      <w:r>
        <w:rPr>
          <w:rFonts w:cs="华文仿宋" w:eastAsia="华文仿宋" w:hAnsi="华文仿宋" w:hint="eastAsia"/>
          <w:b w:val="false"/>
          <w:bCs w:val="false"/>
          <w:color w:val="auto"/>
          <w:sz w:val="32"/>
          <w:szCs w:val="32"/>
          <w:lang w:val="en-US" w:eastAsia="zh-CN"/>
        </w:rPr>
        <w:t>底座</w:t>
      </w:r>
      <w:r>
        <w:rPr>
          <w:rFonts w:cs="华文仿宋" w:eastAsia="华文仿宋" w:hAnsi="华文仿宋" w:hint="default"/>
          <w:b w:val="false"/>
          <w:bCs w:val="false"/>
          <w:color w:val="auto"/>
          <w:sz w:val="32"/>
          <w:szCs w:val="32"/>
          <w:lang w:val="en-US" w:eastAsia="zh-CN"/>
        </w:rPr>
        <w:t>，实现企业数据</w:t>
      </w:r>
      <w:r>
        <w:rPr>
          <w:rFonts w:cs="华文仿宋" w:eastAsia="华文仿宋" w:hAnsi="华文仿宋" w:hint="eastAsia"/>
          <w:b w:val="false"/>
          <w:bCs w:val="false"/>
          <w:color w:val="auto"/>
          <w:sz w:val="32"/>
          <w:szCs w:val="32"/>
          <w:lang w:val="en-US" w:eastAsia="zh-CN"/>
        </w:rPr>
        <w:t>资源</w:t>
      </w:r>
      <w:r>
        <w:rPr>
          <w:rFonts w:cs="华文仿宋" w:eastAsia="华文仿宋" w:hAnsi="华文仿宋" w:hint="default"/>
          <w:b w:val="false"/>
          <w:bCs w:val="false"/>
          <w:color w:val="auto"/>
          <w:sz w:val="32"/>
          <w:szCs w:val="32"/>
          <w:lang w:val="en-US" w:eastAsia="zh-CN"/>
        </w:rPr>
        <w:t>、</w:t>
      </w:r>
      <w:r>
        <w:rPr>
          <w:rFonts w:cs="华文仿宋" w:eastAsia="华文仿宋" w:hAnsi="华文仿宋" w:hint="eastAsia"/>
          <w:b w:val="false"/>
          <w:bCs w:val="false"/>
          <w:color w:val="auto"/>
          <w:sz w:val="32"/>
          <w:szCs w:val="32"/>
          <w:lang w:val="en-US" w:eastAsia="zh-CN"/>
        </w:rPr>
        <w:t>能力</w:t>
      </w:r>
      <w:r>
        <w:rPr>
          <w:rFonts w:cs="华文仿宋" w:eastAsia="华文仿宋" w:hAnsi="华文仿宋" w:hint="default"/>
          <w:b w:val="false"/>
          <w:bCs w:val="false"/>
          <w:color w:val="auto"/>
          <w:sz w:val="32"/>
          <w:szCs w:val="32"/>
          <w:lang w:val="en-US" w:eastAsia="zh-CN"/>
        </w:rPr>
        <w:t>、工具标准化</w:t>
      </w:r>
      <w:r w:rsidR="6C0A7E01">
        <w:rPr>
          <w:rFonts w:cs="华文仿宋" w:eastAsia="华文仿宋" w:hAnsi="华文仿宋" w:hint="default"/>
          <w:b w:val="false"/>
          <w:bCs w:val="false"/>
          <w:color w:val="auto"/>
          <w:sz w:val="32"/>
          <w:szCs w:val="32"/>
          <w:lang w:val="en-US" w:eastAsia="zh-CN"/>
        </w:rPr>
        <w:t>和</w:t>
      </w:r>
      <w:r>
        <w:rPr>
          <w:rFonts w:cs="华文仿宋" w:eastAsia="华文仿宋" w:hAnsi="华文仿宋" w:hint="eastAsia"/>
          <w:b w:val="false"/>
          <w:bCs w:val="false"/>
          <w:color w:val="auto"/>
          <w:sz w:val="32"/>
          <w:szCs w:val="32"/>
          <w:lang w:val="en-US" w:eastAsia="zh-CN"/>
        </w:rPr>
        <w:t>统一</w:t>
      </w:r>
      <w:r>
        <w:rPr>
          <w:rFonts w:cs="华文仿宋" w:eastAsia="华文仿宋" w:hAnsi="华文仿宋" w:hint="default"/>
          <w:b w:val="false"/>
          <w:bCs w:val="false"/>
          <w:color w:val="auto"/>
          <w:sz w:val="32"/>
          <w:szCs w:val="32"/>
          <w:lang w:val="en-US" w:eastAsia="zh-CN"/>
        </w:rPr>
        <w:t>调用</w:t>
      </w:r>
      <w:r>
        <w:rPr>
          <w:rFonts w:cs="华文仿宋" w:eastAsia="华文仿宋" w:hAnsi="华文仿宋" w:hint="eastAsia"/>
          <w:b w:val="false"/>
          <w:bCs w:val="false"/>
          <w:color w:val="auto"/>
          <w:sz w:val="32"/>
          <w:szCs w:val="32"/>
          <w:lang w:val="en-US" w:eastAsia="zh-CN"/>
        </w:rPr>
        <w:t>，支撑构建企业智能体协同体系，</w:t>
      </w:r>
      <w:r>
        <w:rPr>
          <w:rFonts w:ascii="Calibri"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</w:rPr>
        <w:t>打破烟囱架构、促进能力复用</w:t>
      </w:r>
      <w:r>
        <w:rPr>
          <w:rFonts w:cs="华文仿宋" w:eastAsia="华文仿宋" w:hAnsi="华文仿宋" w:hint="default"/>
          <w:b w:val="false"/>
          <w:bCs w:val="false"/>
          <w:color w:val="auto"/>
          <w:sz w:val="32"/>
          <w:szCs w:val="32"/>
          <w:lang w:val="en-US" w:eastAsia="zh-CN"/>
        </w:rPr>
        <w:t>。一方面</w:t>
      </w:r>
      <w:r>
        <w:rPr>
          <w:rFonts w:cs="华文仿宋" w:eastAsia="华文仿宋" w:hAnsi="华文仿宋" w:hint="eastAsia"/>
          <w:b w:val="false"/>
          <w:bCs w:val="false"/>
          <w:color w:val="auto"/>
          <w:sz w:val="32"/>
          <w:szCs w:val="32"/>
          <w:lang w:val="en-US" w:eastAsia="zh-CN"/>
        </w:rPr>
        <w:t>实现能力资产化，集成高性能基座大模型，</w:t>
      </w:r>
      <w:r>
        <w:rPr>
          <w:rFonts w:ascii="Calibri" w:cs="华文仿宋" w:eastAsia="华文仿宋" w:hAnsi="华文仿宋"/>
          <w:i w:val="false"/>
          <w:iCs w:val="false"/>
          <w:caps w:val="false"/>
          <w:color w:val="auto"/>
          <w:spacing w:val="0"/>
          <w:sz w:val="32"/>
          <w:szCs w:val="32"/>
        </w:rPr>
        <w:t>沉淀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企业</w:t>
      </w:r>
      <w:r>
        <w:rPr>
          <w:rFonts w:ascii="Calibri" w:cs="华文仿宋" w:eastAsia="华文仿宋" w:hAnsi="华文仿宋"/>
          <w:i w:val="false"/>
          <w:iCs w:val="false"/>
          <w:caps w:val="false"/>
          <w:color w:val="auto"/>
          <w:spacing w:val="0"/>
          <w:sz w:val="32"/>
          <w:szCs w:val="32"/>
        </w:rPr>
        <w:t>知识资产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eastAsia="zh-CN"/>
        </w:rPr>
        <w:t>，</w:t>
      </w:r>
      <w:r>
        <w:rPr>
          <w:rFonts w:cs="华文仿宋" w:eastAsia="华文仿宋" w:hAnsi="华文仿宋" w:hint="eastAsia"/>
          <w:b w:val="false"/>
          <w:bCs w:val="false"/>
          <w:color w:val="auto"/>
          <w:sz w:val="32"/>
          <w:szCs w:val="32"/>
          <w:lang w:val="en-US" w:eastAsia="zh-CN"/>
        </w:rPr>
        <w:t>融合大模型通用能力和各类企业垂直领域知识，整合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网络、数据、AI、视频、业务等原子能力，基于</w:t>
      </w:r>
      <w:r>
        <w:rPr>
          <w:rFonts w:ascii="Calibri"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</w:rPr>
        <w:t>高频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使用场景和流程</w:t>
      </w:r>
      <w:r>
        <w:rPr>
          <w:rFonts w:ascii="Calibri"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</w:rPr>
        <w:t>（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如公文生成、合同审核、法务助手、医疗诊断、编程助手等</w:t>
      </w:r>
      <w:r>
        <w:rPr>
          <w:rFonts w:ascii="Calibri"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</w:rPr>
        <w:t>）抽象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封装</w:t>
      </w:r>
      <w:r>
        <w:rPr>
          <w:rFonts w:ascii="Calibri"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</w:rPr>
        <w:t>为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标准</w:t>
      </w:r>
      <w:r>
        <w:rPr>
          <w:rFonts w:ascii="Calibri"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</w:rPr>
        <w:t>智能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体</w:t>
      </w:r>
      <w:r w:rsidR="391D3490">
        <w:rPr>
          <w:rFonts w:cs="华文仿宋" w:eastAsia="华文仿宋" w:hAnsi="华文仿宋" w:hint="default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能力</w:t>
      </w:r>
      <w:r>
        <w:rPr>
          <w:rFonts w:ascii="Calibri"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</w:rPr>
        <w:t>，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构建</w:t>
      </w:r>
      <w:r>
        <w:rPr>
          <w:rFonts w:ascii="Calibri"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</w:rPr>
        <w:t>企业级</w:t>
      </w:r>
      <w:r>
        <w:rPr>
          <w:rFonts w:ascii="Calibri" w:cs="华文仿宋" w:eastAsia="华文仿宋" w:hAnsi="华文仿宋" w:hint="eastAsia"/>
          <w:b w:val="false"/>
          <w:i w:val="false"/>
          <w:iCs w:val="false"/>
          <w:caps w:val="false"/>
          <w:color w:val="auto"/>
          <w:spacing w:val="0"/>
          <w:sz w:val="32"/>
          <w:szCs w:val="32"/>
        </w:rPr>
        <w:t>智能</w:t>
      </w:r>
      <w:r>
        <w:rPr>
          <w:rFonts w:cs="华文仿宋" w:eastAsia="华文仿宋" w:hAnsi="华文仿宋" w:hint="eastAsia"/>
          <w:b w:val="false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体能力平台</w:t>
      </w:r>
      <w:r>
        <w:rPr>
          <w:rFonts w:cs="华文仿宋" w:eastAsia="华文仿宋" w:hAnsi="华文仿宋" w:hint="eastAsia"/>
          <w:b w:val="false"/>
          <w:i w:val="false"/>
          <w:iCs w:val="false"/>
          <w:caps w:val="false"/>
          <w:color w:val="auto"/>
          <w:spacing w:val="0"/>
          <w:sz w:val="32"/>
          <w:szCs w:val="32"/>
          <w:lang w:eastAsia="zh-CN"/>
        </w:rPr>
        <w:t>。</w:t>
      </w:r>
      <w:r>
        <w:rPr>
          <w:rFonts w:cs="华文仿宋" w:eastAsia="华文仿宋" w:hAnsi="华文仿宋" w:hint="eastAsia"/>
          <w:b w:val="false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另一方面实现生态开放化，</w:t>
      </w:r>
      <w:r>
        <w:rPr>
          <w:rFonts w:ascii="Calibri" w:cs="华文仿宋" w:eastAsia="华文仿宋" w:hAnsi="华文仿宋"/>
          <w:i w:val="false"/>
          <w:iCs w:val="false"/>
          <w:caps w:val="false"/>
          <w:color w:val="auto"/>
          <w:spacing w:val="0"/>
          <w:sz w:val="32"/>
          <w:szCs w:val="32"/>
        </w:rPr>
        <w:t>构建企业级智能体市场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和智能体集成开发工具链</w:t>
      </w:r>
      <w:r>
        <w:rPr>
          <w:rFonts w:ascii="Calibri" w:cs="华文仿宋" w:eastAsia="华文仿宋" w:hAnsi="华文仿宋"/>
          <w:i w:val="false"/>
          <w:iCs w:val="false"/>
          <w:caps w:val="false"/>
          <w:color w:val="auto"/>
          <w:spacing w:val="0"/>
          <w:sz w:val="32"/>
          <w:szCs w:val="32"/>
        </w:rPr>
        <w:t>，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面向内部运营管理和外部ICT业务智能集成、产数智能</w:t>
      </w:r>
      <w:r>
        <w:rPr>
          <w:rFonts w:ascii="Calibri" w:cs="华文仿宋" w:eastAsia="华文仿宋" w:hAnsi="华文仿宋"/>
          <w:i w:val="false"/>
          <w:iCs w:val="false"/>
          <w:caps w:val="false"/>
          <w:color w:val="auto"/>
          <w:spacing w:val="0"/>
          <w:sz w:val="32"/>
          <w:szCs w:val="32"/>
        </w:rPr>
        <w:t>服务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定制化，</w:t>
      </w:r>
      <w:r w:rsidR="4AE501E2">
        <w:rPr>
          <w:rFonts w:cs="华文仿宋" w:eastAsia="华文仿宋" w:hAnsi="华文仿宋" w:hint="default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增强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标准智能体调用集成和个性化智能体</w:t>
      </w:r>
      <w:r>
        <w:rPr>
          <w:rFonts w:ascii="Calibri" w:cs="华文仿宋" w:eastAsia="华文仿宋" w:hAnsi="华文仿宋"/>
          <w:i w:val="false"/>
          <w:iCs w:val="false"/>
          <w:caps w:val="false"/>
          <w:color w:val="auto"/>
          <w:spacing w:val="0"/>
          <w:sz w:val="32"/>
          <w:szCs w:val="32"/>
        </w:rPr>
        <w:t>二次开发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val="en-US" w:eastAsia="zh-CN"/>
        </w:rPr>
        <w:t>能力</w:t>
      </w:r>
      <w:r>
        <w:rPr>
          <w:rFonts w:cs="华文仿宋" w:eastAsia="华文仿宋" w:hAnsi="华文仿宋" w:hint="eastAsia"/>
          <w:i w:val="false"/>
          <w:iCs w:val="false"/>
          <w:caps w:val="false"/>
          <w:color w:val="auto"/>
          <w:spacing w:val="0"/>
          <w:sz w:val="32"/>
          <w:szCs w:val="32"/>
          <w:lang w:eastAsia="zh-CN"/>
        </w:rPr>
        <w:t>。</w:t>
      </w:r>
    </w:p>
    <w:p w14:paraId="3C33304F">
      <w:pPr>
        <w:pStyle w:val="style0"/>
        <w:numPr>
          <w:ilvl w:val="255"/>
          <w:numId w:val="0"/>
        </w:numPr>
        <w:spacing w:before="156" w:beforeLines="50" w:lineRule="auto" w:line="360"/>
        <w:ind w:firstLine="641" w:firstLineChars="200"/>
        <w:jc w:val="left"/>
        <w:rPr>
          <w:rFonts w:cs="华文仿宋" w:eastAsia="华文仿宋" w:hAnsi="华文仿宋" w:hint="eastAsia"/>
          <w:b w:val="false"/>
          <w:bCs w:val="false"/>
          <w:sz w:val="32"/>
          <w:szCs w:val="32"/>
        </w:rPr>
      </w:pPr>
      <w:r>
        <w:rPr>
          <w:rFonts w:cs="华文仿宋" w:eastAsia="华文仿宋" w:hAnsi="华文仿宋" w:hint="eastAsia"/>
          <w:b/>
          <w:bCs/>
          <w:sz w:val="32"/>
          <w:szCs w:val="32"/>
          <w:lang w:val="en-US" w:eastAsia="zh-CN"/>
        </w:rPr>
        <w:t>3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、</w:t>
      </w:r>
      <w:r>
        <w:rPr>
          <w:rFonts w:cs="华文仿宋" w:eastAsia="华文仿宋" w:hAnsi="华文仿宋"/>
          <w:b/>
          <w:bCs/>
          <w:sz w:val="32"/>
          <w:szCs w:val="32"/>
        </w:rPr>
        <w:t>业务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产品重塑</w:t>
      </w:r>
      <w:r>
        <w:rPr>
          <w:rFonts w:cs="华文仿宋" w:eastAsia="华文仿宋" w:hAnsi="华文仿宋"/>
          <w:b/>
          <w:bCs/>
          <w:sz w:val="32"/>
          <w:szCs w:val="32"/>
        </w:rPr>
        <w:t>。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业务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产品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全面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基于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 xml:space="preserve"> A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I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 xml:space="preserve"> 重塑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、</w:t>
      </w:r>
      <w:r>
        <w:rPr>
          <w:rFonts w:ascii="华文仿宋" w:cs="华文仿宋" w:eastAsia="华文仿宋" w:hAnsi="华文仿宋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提高</w:t>
      </w:r>
      <w:r>
        <w:rPr>
          <w:rFonts w:ascii="华文仿宋" w:cs="华文仿宋" w:eastAsia="华文仿宋" w:hAnsi="华文仿宋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AI</w:t>
      </w:r>
      <w:r>
        <w:rPr>
          <w:rFonts w:ascii="华文仿宋" w:cs="华文仿宋" w:eastAsia="华文仿宋" w:hAnsi="华文仿宋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业务</w:t>
      </w:r>
      <w:r>
        <w:rPr>
          <w:rFonts w:ascii="华文仿宋" w:cs="华文仿宋" w:eastAsia="华文仿宋" w:hAnsi="华文仿宋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收入贡献率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是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智能化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战略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成功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的</w:t>
      </w:r>
      <w:r>
        <w:rPr>
          <w:rFonts w:cs="华文仿宋" w:eastAsia="华文仿宋" w:hAnsi="华文仿宋"/>
          <w:b/>
          <w:bCs/>
          <w:sz w:val="32"/>
          <w:szCs w:val="32"/>
          <w:lang w:val="en-US"/>
        </w:rPr>
        <w:t>关键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。一是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重塑</w:t>
      </w:r>
      <w:r w:rsidR="D81169CE">
        <w:rPr>
          <w:rFonts w:ascii="华文仿宋" w:cs="华文仿宋" w:eastAsia="华文仿宋" w:hAnsi="华文仿宋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基础业务</w:t>
      </w:r>
      <w:r w:rsidR="ADA94594">
        <w:rPr>
          <w:rFonts w:ascii="华文仿宋" w:cs="华文仿宋" w:eastAsia="华文仿宋" w:hAnsi="华文仿宋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和</w:t>
      </w:r>
      <w:r w:rsidR="EC8B00BC">
        <w:rPr>
          <w:rFonts w:ascii="华文仿宋" w:cs="华文仿宋" w:eastAsia="华文仿宋" w:hAnsi="华文仿宋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增值</w:t>
      </w:r>
      <w:r w:rsidR="ED81684A">
        <w:rPr>
          <w:rFonts w:ascii="华文仿宋" w:cs="华文仿宋" w:eastAsia="华文仿宋" w:hAnsi="华文仿宋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业务</w:t>
      </w:r>
      <w:r>
        <w:rPr>
          <w:rFonts w:ascii="华文仿宋" w:cs="华文仿宋" w:eastAsia="华文仿宋" w:hAnsi="华文仿宋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用户</w:t>
      </w:r>
      <w:r>
        <w:rPr>
          <w:rFonts w:ascii="华文仿宋" w:cs="华文仿宋" w:eastAsia="华文仿宋" w:hAnsi="华文仿宋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智能</w:t>
      </w:r>
      <w:r>
        <w:rPr>
          <w:rFonts w:ascii="华文仿宋" w:cs="华文仿宋" w:eastAsia="华文仿宋" w:hAnsi="华文仿宋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体验，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如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AI视频彩铃、AI通信助理、全屋智能</w:t>
      </w:r>
      <w:r w:rsidR="A0387374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、</w:t>
      </w:r>
      <w:r w:rsidR="F54C8E5C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A</w:t>
      </w:r>
      <w:r w:rsidR="91EB8391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I</w:t>
      </w:r>
      <w:r w:rsidR="29CB876F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卫星</w:t>
      </w:r>
      <w:r w:rsidR="8A659866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手机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等；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二是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以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A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I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为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核心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重塑</w:t>
      </w:r>
      <w:r w:rsidR="442DC71D">
        <w:rPr>
          <w:rFonts w:ascii="华文仿宋" w:cs="华文仿宋" w:eastAsia="华文仿宋" w:hAnsi="华文仿宋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战新产品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核心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功能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eastAsia="zh-CN"/>
        </w:rPr>
        <w:t>，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如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安全大脑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以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安全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大模型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重新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定义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安全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管理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、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视联网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以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多模态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大模型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重新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定义</w:t>
      </w:r>
      <w:r w:rsidR="F9DEE259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视频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监控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服务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等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；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三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是加快MaaS、智能体、AIGC应用等AI原生业务创新，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重塑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企业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 xml:space="preserve"> A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I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 xml:space="preserve"> 业务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体系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，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强化Token流量经营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，</w:t>
      </w:r>
      <w:r>
        <w:rPr>
          <w:rFonts w:ascii="华文仿宋" w:cs="华文仿宋" w:eastAsia="华文仿宋" w:hAnsi="华文仿宋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bidi="ar-SA" w:eastAsia="zh-CN"/>
        </w:rPr>
        <w:t>力争3-5年内AI原生业务市场份额达15%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eastAsia="zh-CN"/>
        </w:rPr>
        <w:t>。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四</w:t>
      </w:r>
      <w:r w:rsidR="9E474F1D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是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重点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重塑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云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中台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流程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和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能力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体系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，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实现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“AI+云+网+X”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一体化</w:t>
      </w:r>
      <w:r w:rsidR="D8073AA8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 xml:space="preserve"> I</w:t>
      </w:r>
      <w:r w:rsidR="C883C430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C</w:t>
      </w:r>
      <w:r w:rsidR="262A36AB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T</w:t>
      </w:r>
      <w:r w:rsidR="77458B70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 xml:space="preserve"> 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交付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eastAsia="zh-CN"/>
        </w:rPr>
        <w:t>，</w:t>
      </w:r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探索</w:t>
      </w:r>
      <w:r w:rsidR="690BF234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智能体</w:t>
      </w:r>
      <w:r w:rsidR="4B74175C"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业务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从“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功能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收费”向“</w:t>
      </w:r>
      <w:bookmarkStart w:id="0" w:name="_GoBack"/>
      <w:bookmarkEnd w:id="0"/>
      <w:r>
        <w:rPr>
          <w:rFonts w:ascii="华文仿宋" w:cs="华文仿宋" w:eastAsia="华文仿宋" w:hAnsi="华文仿宋" w:hint="default"/>
          <w:b w:val="false"/>
          <w:bCs w:val="false"/>
          <w:sz w:val="32"/>
          <w:szCs w:val="32"/>
          <w:lang w:val="en-US"/>
        </w:rPr>
        <w:t>效果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收费”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转变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  <w:lang w:eastAsia="zh-CN"/>
        </w:rPr>
        <w:t>，</w:t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云+AI业务营收力争占比超过40%</w:t>
      </w:r>
      <w:r>
        <w:rPr>
          <w:rStyle w:val="style38"/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footnoteReference w:id="1"/>
      </w:r>
      <w:r>
        <w:rPr>
          <w:rFonts w:ascii="华文仿宋" w:cs="华文仿宋" w:eastAsia="华文仿宋" w:hAnsi="华文仿宋" w:hint="eastAsia"/>
          <w:b w:val="false"/>
          <w:bCs w:val="false"/>
          <w:sz w:val="32"/>
          <w:szCs w:val="32"/>
        </w:rPr>
        <w:t>。</w:t>
      </w:r>
    </w:p>
    <w:p w14:paraId="E96E23D6">
      <w:pPr>
        <w:pStyle w:val="style0"/>
        <w:numPr>
          <w:ilvl w:val="255"/>
          <w:numId w:val="0"/>
        </w:numPr>
        <w:spacing w:before="156" w:beforeLines="50" w:lineRule="auto" w:line="360"/>
        <w:ind w:firstLine="641" w:firstLineChars="200"/>
        <w:jc w:val="left"/>
        <w:rPr>
          <w:rFonts w:cs="华文仿宋" w:eastAsia="华文仿宋" w:hAnsi="华文仿宋" w:hint="eastAsia"/>
          <w:b w:val="false"/>
          <w:bCs w:val="false"/>
          <w:sz w:val="32"/>
          <w:szCs w:val="32"/>
        </w:rPr>
      </w:pPr>
      <w:r>
        <w:rPr>
          <w:rFonts w:cs="华文仿宋" w:eastAsia="华文仿宋" w:hAnsi="华文仿宋" w:hint="eastAsia"/>
          <w:b/>
          <w:bCs/>
          <w:sz w:val="32"/>
          <w:szCs w:val="32"/>
          <w:lang w:val="en-US" w:eastAsia="zh-CN"/>
        </w:rPr>
        <w:t>4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、科研范式变革。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</w:rPr>
        <w:t>打造AI驱动的科技创新体系，以AI引领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科技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</w:rPr>
        <w:t>创新布局优化、推动研发模式变革。进一步加大AI相关研发布局和投入密度，提高AI相关专利质量和数量占比，在数据集、算力、底层算法、工程优化方面建立差异化优势。加快AI驱动的研发模式变革，推动研发云向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科技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</w:rPr>
        <w:t>智能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云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</w:rPr>
        <w:t>平台升级，推动传统研发模式向AI驱动的自动化、敏捷研发模式升级。打造国央企AI4S智能底座，构建算力-平台-工具-科研套件为一体的AI4S科研装置，加速相关领域科技创新突破。</w:t>
      </w:r>
    </w:p>
    <w:p w14:paraId="8B06DE17">
      <w:pPr>
        <w:pStyle w:val="style0"/>
        <w:numPr>
          <w:ilvl w:val="255"/>
          <w:numId w:val="0"/>
        </w:numPr>
        <w:spacing w:before="156" w:beforeLines="50" w:lineRule="auto" w:line="360"/>
        <w:ind w:firstLine="641" w:firstLineChars="200"/>
        <w:jc w:val="left"/>
        <w:rPr>
          <w:rFonts w:cs="华文仿宋" w:eastAsia="华文仿宋" w:hAnsi="华文仿宋" w:hint="eastAsia"/>
          <w:sz w:val="32"/>
          <w:szCs w:val="32"/>
        </w:rPr>
      </w:pPr>
      <w:r>
        <w:rPr>
          <w:rFonts w:cs="华文仿宋" w:eastAsia="华文仿宋" w:hAnsi="华文仿宋" w:hint="eastAsia"/>
          <w:b/>
          <w:bCs/>
          <w:sz w:val="32"/>
          <w:szCs w:val="32"/>
          <w:lang w:val="en-US" w:eastAsia="zh-CN"/>
        </w:rPr>
        <w:t>5</w:t>
      </w:r>
      <w:r>
        <w:rPr>
          <w:rFonts w:cs="华文仿宋" w:eastAsia="华文仿宋" w:hAnsi="华文仿宋" w:hint="eastAsia"/>
          <w:b/>
          <w:bCs/>
          <w:sz w:val="32"/>
          <w:szCs w:val="32"/>
          <w:lang w:eastAsia="zh-CN"/>
        </w:rPr>
        <w:t>、</w:t>
      </w:r>
      <w:r>
        <w:rPr>
          <w:rFonts w:cs="华文仿宋" w:eastAsia="华文仿宋" w:hAnsi="华文仿宋" w:hint="eastAsia"/>
          <w:b/>
          <w:bCs/>
          <w:sz w:val="32"/>
          <w:szCs w:val="32"/>
          <w:lang w:val="en-US" w:eastAsia="zh-CN"/>
        </w:rPr>
        <w:t>深化开放合作</w:t>
      </w:r>
      <w:r>
        <w:rPr>
          <w:rFonts w:cs="华文仿宋" w:eastAsia="华文仿宋" w:hAnsi="华文仿宋" w:hint="eastAsia"/>
          <w:b/>
          <w:bCs/>
          <w:sz w:val="32"/>
          <w:szCs w:val="32"/>
        </w:rPr>
        <w:t>。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围绕智能化升级需要，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加强在基础设施、研发、业务、人才等领域开放合作，逐步提高新增生态合作伙伴中AI领域伙伴占比。在基础设施领域，基于“息壤”平台联合头部</w:t>
      </w:r>
      <w:r>
        <w:rPr>
          <w:rFonts w:cs="华文仿宋" w:eastAsia="华文仿宋" w:hAnsi="华文仿宋" w:hint="default"/>
          <w:b w:val="false"/>
          <w:bCs w:val="false"/>
          <w:sz w:val="32"/>
          <w:szCs w:val="32"/>
          <w:lang w:val="en-US" w:eastAsia="zh-CN"/>
        </w:rPr>
        <w:t>算力提供</w:t>
      </w:r>
      <w:r>
        <w:rPr>
          <w:rFonts w:cs="华文仿宋" w:eastAsia="华文仿宋" w:hAnsi="华文仿宋" w:hint="eastAsia"/>
          <w:b w:val="false"/>
          <w:bCs w:val="false"/>
          <w:sz w:val="32"/>
          <w:szCs w:val="32"/>
          <w:lang w:val="en-US" w:eastAsia="zh-CN"/>
        </w:rPr>
        <w:t>商与芯片厂商共建多元算力池，协同攻关集群调度等关键技术；在研发领域，与顶尖AI实验室及高校组建创新联合体，通过开源社区共建智能体等开发框架；在业务领域，联合模型、应用开发服务商升级现有业务智能体与AI应用能力，与能源、工业等龙头企业共研行业智能体解决方案，构建场景化应用生态；在人才领域，通过人才培养开放平台、人才共育等模式，加强AI人才队伍建设。</w:t>
      </w:r>
    </w:p>
    <w:p w14:paraId="2857ABEF">
      <w:pPr>
        <w:pStyle w:val="style0"/>
        <w:rPr>
          <w:highlight w:val="yellow"/>
        </w:rPr>
      </w:pPr>
    </w:p>
    <w:sectPr>
      <w:footerReference w:type="default" r:id="rId3"/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1"/>
    <w:family w:val="auto"/>
    <w:pitch w:val="default"/>
    <w:sig w:usb0="E0002EFF" w:usb1="C000785B" w:usb2="00000009" w:usb3="00000000" w:csb0="400001FF" w:csb1="FFFF0000"/>
  </w:font>
  <w:font w:name="宋体">
    <w:altName w:val="宋体"/>
    <w:panose1 w:val="02010600030000010101"/>
    <w:charset w:val="50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隶书">
    <w:altName w:val="隶书"/>
    <w:panose1 w:val="02010509060000010101"/>
    <w:charset w:val="86"/>
    <w:family w:val="modern"/>
    <w:pitch w:val="default"/>
    <w:sig w:usb0="00000001" w:usb1="080E0000" w:usb2="00000000" w:usb3="00000000" w:csb0="00040000" w:csb1="00000000"/>
  </w:font>
  <w:font w:name="华文仿宋">
    <w:altName w:val="华文仿宋"/>
    <w:panose1 w:val="02010600040000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8CEFBE89">
    <w:pPr>
      <w:pStyle w:val="style32"/>
      <w:rPr/>
    </w:pPr>
    <w:r>
      <w:rPr/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 w14:paraId="FF9EDF9E">
                          <w:pPr>
                            <w:pStyle w:val="style32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vert="horz" anchor="t" wrap="non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right;mso-position-horizontal-relative:margin;mso-position-vertical-relative:text;mso-width-relative:page;mso-height-relative:page;mso-wrap-distance-left:0.0pt;mso-wrap-distance-right:0.0pt;visibility:visible;mso-wrap-style:none;">
              <v:stroke on="f"/>
              <v:fill/>
              <v:textbox inset="0.0pt,0.0pt,0.0pt,0.0pt" style="mso-fit-shape-to-text:true;">
                <w:txbxContent>
                  <w:p w14:paraId="FF9EDF9E">
                    <w:pPr>
                      <w:pStyle w:val="style32"/>
                      <w:rPr/>
                    </w:pPr>
                    <w:r>
                      <w:rPr/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/>
                      <w:fldChar w:fldCharType="separate"/>
                    </w:r>
                    <w:r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 w14:paraId="31C72637">
      <w:pPr>
        <w:pStyle w:val="style29"/>
        <w:snapToGrid w:val="false"/>
        <w:rPr/>
      </w:pPr>
      <w:r>
        <w:rPr>
          <w:rStyle w:val="style38"/>
        </w:rPr>
        <w:footnoteRef/>
      </w:r>
      <w:r>
        <w:t xml:space="preserve"> </w:t>
      </w:r>
      <w:r>
        <w:rPr>
          <w:rFonts w:hint="eastAsia"/>
        </w:rPr>
        <w:t>微软2024财年智能云业务占比达43%， AI收入占比5% [ 根据微软2024财年年报收入数据测算]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8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trackRevisions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40" w:after="330" w:lineRule="auto" w:line="576"/>
      <w:outlineLvl w:val="0"/>
    </w:pPr>
    <w:rPr>
      <w:b/>
      <w:kern w:val="44"/>
      <w:sz w:val="44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0">
    <w:name w:val="annotation text"/>
    <w:basedOn w:val="style0"/>
    <w:next w:val="style30"/>
    <w:link w:val="style4099"/>
    <w:qFormat/>
    <w:uiPriority w:val="0"/>
    <w:pPr>
      <w:jc w:val="left"/>
    </w:pPr>
    <w:rPr/>
  </w:style>
  <w:style w:type="paragraph" w:styleId="style32">
    <w:name w:val="footer"/>
    <w:basedOn w:val="style0"/>
    <w:next w:val="style32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link w:val="style4098"/>
    <w:qFormat/>
    <w:uiPriority w:val="0"/>
    <w:pP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style29">
    <w:name w:val="footnote text"/>
    <w:basedOn w:val="style0"/>
    <w:next w:val="style29"/>
    <w:link w:val="style4101"/>
    <w:qFormat/>
    <w:uiPriority w:val="0"/>
    <w:pPr>
      <w:snapToGrid w:val="false"/>
      <w:jc w:val="left"/>
    </w:pPr>
    <w:rPr>
      <w:sz w:val="18"/>
      <w:szCs w:val="18"/>
    </w:rPr>
  </w:style>
  <w:style w:type="paragraph" w:styleId="style94">
    <w:name w:val="Normal (Web)"/>
    <w:basedOn w:val="style0"/>
    <w:next w:val="style94"/>
    <w:qFormat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lang w:val="en-US" w:eastAsia="zh-CN"/>
    </w:rPr>
  </w:style>
  <w:style w:type="paragraph" w:styleId="style106">
    <w:name w:val="annotation subject"/>
    <w:basedOn w:val="style30"/>
    <w:next w:val="style30"/>
    <w:link w:val="style4100"/>
    <w:qFormat/>
    <w:uiPriority w:val="0"/>
    <w:pPr/>
    <w:rPr>
      <w:b/>
      <w:bCs/>
    </w:rPr>
  </w:style>
  <w:style w:type="table" w:styleId="style154">
    <w:name w:val="Table Grid"/>
    <w:basedOn w:val="style105"/>
    <w:next w:val="style154"/>
    <w:qFormat/>
    <w:uiPriority w:val="0"/>
    <w:pPr/>
    <w:rPr>
      <w:szCs w:val="24"/>
    </w:rPr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tcBorders/>
      <w:vAlign w:val="center"/>
    </w:tcPr>
  </w:style>
  <w:style w:type="character" w:styleId="style87">
    <w:name w:val="Strong"/>
    <w:basedOn w:val="style65"/>
    <w:next w:val="style87"/>
    <w:qFormat/>
    <w:uiPriority w:val="0"/>
    <w:rPr>
      <w:b/>
    </w:rPr>
  </w:style>
  <w:style w:type="character" w:styleId="style88">
    <w:name w:val="Emphasis"/>
    <w:basedOn w:val="style65"/>
    <w:next w:val="style88"/>
    <w:qFormat/>
    <w:uiPriority w:val="0"/>
    <w:rPr>
      <w:i/>
    </w:rPr>
  </w:style>
  <w:style w:type="character" w:styleId="style85">
    <w:name w:val="Hyperlink"/>
    <w:basedOn w:val="style65"/>
    <w:next w:val="style85"/>
    <w:qFormat/>
    <w:uiPriority w:val="0"/>
    <w:rPr>
      <w:color w:val="0026e5"/>
      <w:u w:val="single"/>
    </w:rPr>
  </w:style>
  <w:style w:type="character" w:styleId="style39">
    <w:name w:val="annotation reference"/>
    <w:basedOn w:val="style65"/>
    <w:next w:val="style39"/>
    <w:qFormat/>
    <w:uiPriority w:val="0"/>
    <w:rPr>
      <w:sz w:val="21"/>
      <w:szCs w:val="21"/>
    </w:rPr>
  </w:style>
  <w:style w:type="character" w:styleId="style38">
    <w:name w:val="footnote reference"/>
    <w:basedOn w:val="style65"/>
    <w:next w:val="style38"/>
    <w:qFormat/>
    <w:uiPriority w:val="0"/>
    <w:rPr>
      <w:vertAlign w:val="superscript"/>
    </w:rPr>
  </w:style>
  <w:style w:type="character" w:customStyle="1" w:styleId="style4097">
    <w:name w:val="未处理的提及1"/>
    <w:basedOn w:val="style65"/>
    <w:next w:val="style4097"/>
    <w:qFormat/>
    <w:uiPriority w:val="99"/>
    <w:rPr>
      <w:color w:val="605e5c"/>
      <w:shd w:val="clear" w:color="auto" w:fill="e1dfdd"/>
    </w:rPr>
  </w:style>
  <w:style w:type="character" w:customStyle="1" w:styleId="style4098">
    <w:name w:val="页眉 字符"/>
    <w:basedOn w:val="style65"/>
    <w:next w:val="style4098"/>
    <w:link w:val="style31"/>
    <w:qFormat/>
    <w:uiPriority w:val="0"/>
    <w:rPr>
      <w:rFonts w:ascii="Calibri" w:cs="宋体" w:eastAsia="宋体" w:hAnsi="Calibri"/>
      <w:kern w:val="2"/>
      <w:sz w:val="18"/>
      <w:szCs w:val="18"/>
    </w:rPr>
  </w:style>
  <w:style w:type="character" w:customStyle="1" w:styleId="style4099">
    <w:name w:val="批注文字 字符"/>
    <w:basedOn w:val="style65"/>
    <w:next w:val="style4099"/>
    <w:link w:val="style30"/>
    <w:qFormat/>
    <w:uiPriority w:val="0"/>
    <w:rPr>
      <w:rFonts w:ascii="Calibri" w:cs="宋体" w:eastAsia="宋体" w:hAnsi="Calibri"/>
      <w:kern w:val="2"/>
      <w:sz w:val="21"/>
      <w:szCs w:val="24"/>
    </w:rPr>
  </w:style>
  <w:style w:type="character" w:customStyle="1" w:styleId="style4100">
    <w:name w:val="批注主题 字符"/>
    <w:basedOn w:val="style4099"/>
    <w:next w:val="style4100"/>
    <w:link w:val="style106"/>
    <w:qFormat/>
    <w:uiPriority w:val="0"/>
    <w:rPr>
      <w:rFonts w:ascii="Calibri" w:cs="宋体" w:eastAsia="宋体" w:hAnsi="Calibri"/>
      <w:b/>
      <w:bCs/>
      <w:kern w:val="2"/>
      <w:sz w:val="21"/>
      <w:szCs w:val="24"/>
    </w:rPr>
  </w:style>
  <w:style w:type="character" w:customStyle="1" w:styleId="style4101">
    <w:name w:val="脚注文本 字符"/>
    <w:basedOn w:val="style65"/>
    <w:next w:val="style4101"/>
    <w:link w:val="style29"/>
    <w:qFormat/>
    <w:uiPriority w:val="0"/>
    <w:rPr>
      <w:rFonts w:ascii="Calibri" w:cs="宋体" w:eastAsia="宋体" w:hAnsi="Calibri"/>
      <w:kern w:val="2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B6DE12-17B0-4F67-B9C6-466F99CDD1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Words>1640</Words>
  <Pages>4</Pages>
  <Characters>1711</Characters>
  <Application>WPS Office</Application>
  <DocSecurity>0</DocSecurity>
  <Paragraphs>18</Paragraphs>
  <ScaleCrop>false</ScaleCrop>
  <Company>中国电信股份有限公司研究院</Company>
  <LinksUpToDate>false</LinksUpToDate>
  <CharactersWithSpaces>1754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2025-05-26T08:54:00Z</dcterms:created>
  <dc:creator>1</dc:creator>
  <lastModifiedBy>ALT-AL10</lastModifiedBy>
  <dcterms:modified xsi:type="dcterms:W3CDTF">2025-06-01T12:21:21Z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cf035e41c7254b658fc1a0b012edcab3_23</vt:lpwstr>
  </property>
  <property fmtid="{D5CDD505-2E9C-101B-9397-08002B2CF9AE}" pid="4" name="KSOTemplateDocerSaveRecord">
    <vt:lpwstr>eyJoZGlkIjoiZmQ2ZTI3M2U5ZjczNWQ3MGMyYmI0YTRhNTNjMDI5MWUiLCJ1c2VySWQiOiI1MzE5MjcxNjAifQ==</vt:lpwstr>
  </property>
</Properties>
</file>