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4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海康威视视频 </w:t>
      </w: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 xml:space="preserve"> 构筑发展新动能的</w:t>
      </w:r>
    </w:p>
    <w:p>
      <w:pPr>
        <w:ind w:left="3075"/>
        <w:spacing w:before="95" w:line="19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路径与启示</w:t>
      </w:r>
    </w:p>
    <w:p>
      <w:pPr>
        <w:ind w:left="1880"/>
        <w:spacing w:before="326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2"/>
        </w:rPr>
        <w:t>文/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李一明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王晓娣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张媛玥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2"/>
        </w:rPr>
        <w:t>李国钦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27" w:right="12" w:firstLine="615"/>
        <w:spacing w:before="97" w:line="258" w:lineRule="auto"/>
        <w:jc w:val="both"/>
        <w:rPr/>
      </w:pPr>
      <w:r>
        <w:rPr>
          <w:spacing w:val="-5"/>
        </w:rPr>
        <w:t>随着企业布局智能化程度不断加深，由于业务场景过于碎片</w:t>
      </w:r>
      <w:r>
        <w:rPr>
          <w:spacing w:val="-12"/>
        </w:rPr>
        <w:t>化，产品集成统一、版本升级、重复开发等问题凸显，</w:t>
      </w:r>
      <w:r>
        <w:rPr>
          <w:spacing w:val="-66"/>
        </w:rPr>
        <w:t xml:space="preserve"> </w:t>
      </w:r>
      <w:r>
        <w:rPr>
          <w:spacing w:val="-12"/>
        </w:rPr>
        <w:t>导致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AI </w:t>
      </w:r>
      <w:r>
        <w:rPr>
          <w:spacing w:val="-12"/>
        </w:rPr>
        <w:t>产</w:t>
      </w:r>
      <w:r>
        <w:rPr>
          <w:spacing w:val="-2"/>
        </w:rPr>
        <w:t>品平均研发周期高达 </w:t>
      </w:r>
      <w:r>
        <w:rPr>
          <w:rFonts w:ascii="Times New Roman" w:hAnsi="Times New Roman" w:eastAsia="Times New Roman" w:cs="Times New Roman"/>
          <w:spacing w:val="-2"/>
        </w:rPr>
        <w:t>7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2"/>
        </w:rPr>
        <w:t>个月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</w:t>
      </w:r>
      <w:r>
        <w:rPr>
          <w:spacing w:val="-2"/>
        </w:rPr>
        <w:t>，显著高于传统软件开发，研发效</w:t>
      </w:r>
      <w:r>
        <w:rPr>
          <w:spacing w:val="-2"/>
        </w:rPr>
        <w:t>率低下成为推进产品智能化进程中需要解决的一大难题。</w:t>
      </w:r>
    </w:p>
    <w:p>
      <w:pPr>
        <w:pStyle w:val="BodyText"/>
        <w:ind w:left="16" w:right="9" w:firstLine="608"/>
        <w:spacing w:before="283" w:line="256" w:lineRule="auto"/>
        <w:jc w:val="both"/>
        <w:rPr/>
      </w:pPr>
      <w:r>
        <w:rPr>
          <w:spacing w:val="-3"/>
        </w:rPr>
        <w:t>海康威视耗费近 </w:t>
      </w:r>
      <w:r>
        <w:rPr>
          <w:rFonts w:ascii="Times New Roman" w:hAnsi="Times New Roman" w:eastAsia="Times New Roman" w:cs="Times New Roman"/>
          <w:spacing w:val="-3"/>
        </w:rPr>
        <w:t>10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3"/>
        </w:rPr>
        <w:t>年完成从传统视频安防向智能物联解决</w:t>
      </w:r>
      <w:r>
        <w:rPr>
          <w:spacing w:val="-1"/>
        </w:rPr>
        <w:t>方案提供商的成功转型，毛利率常年保持在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40%</w:t>
      </w:r>
      <w:r>
        <w:rPr>
          <w:spacing w:val="-1"/>
        </w:rPr>
        <w:t>以上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spacing w:val="-1"/>
        </w:rPr>
        <w:t>，至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2020</w:t>
      </w:r>
      <w:r>
        <w:rPr>
          <w:spacing w:val="-5"/>
        </w:rPr>
        <w:t>年已连续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 </w:t>
      </w:r>
      <w:r>
        <w:rPr>
          <w:spacing w:val="-5"/>
        </w:rPr>
        <w:t>年蝉联视频监控行业全球第一，市占率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29.8%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3</w:t>
      </w:r>
      <w:r>
        <w:rPr>
          <w:spacing w:val="-5"/>
        </w:rPr>
        <w:t>，视频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5"/>
        </w:rPr>
        <w:t>能力成为其第二增长曲线。</w:t>
      </w:r>
    </w:p>
    <w:p>
      <w:pPr>
        <w:pStyle w:val="BodyText"/>
        <w:ind w:left="16" w:right="13" w:firstLine="608"/>
        <w:spacing w:before="298" w:line="258" w:lineRule="auto"/>
        <w:jc w:val="both"/>
        <w:rPr/>
      </w:pPr>
      <w:r>
        <w:rPr>
          <w:spacing w:val="-1"/>
        </w:rPr>
        <w:t>海康威视发展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"/>
        </w:rPr>
        <w:t>业务经历了做宽感知层和做厚服务层两个</w:t>
      </w:r>
      <w:r>
        <w:rPr>
          <w:spacing w:val="-8"/>
        </w:rPr>
        <w:t>阶段（见图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75"/>
          <w:w w:val="95"/>
        </w:rPr>
        <w:t>），</w:t>
      </w:r>
      <w:r>
        <w:rPr>
          <w:spacing w:val="-8"/>
        </w:rPr>
        <w:t>从规范研发体系、优化组织架构优化、持续研发</w:t>
      </w:r>
      <w:r>
        <w:rPr>
          <w:spacing w:val="-4"/>
        </w:rPr>
        <w:t>创新三方面解决研发效率低下问题，为中国电信产品与业务“融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spacing w:val="-4"/>
        </w:rPr>
        <w:t>”提供了经验借鉴。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8" w:right="18" w:firstLine="646"/>
        <w:spacing w:before="101" w:line="23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一、海康威视产品智能化发展路径：始于技术和市场推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动，转折在硬件+平台协同增值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1" w:right="20" w:firstLine="605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．做宽感知层，技术和市场双因素推动智能硬件产品矩阵</w:t>
      </w:r>
      <w:r>
        <w:rPr>
          <w:b/>
          <w:bCs/>
          <w:spacing w:val="-7"/>
        </w:rPr>
        <w:t>不断丰富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8" w:right="13" w:firstLine="596"/>
        <w:spacing w:before="98" w:line="261" w:lineRule="auto"/>
        <w:rPr/>
      </w:pPr>
      <w:r>
        <w:rPr>
          <w:spacing w:val="-4"/>
        </w:rPr>
        <w:t>海康威视选择走顺应市场风向、落地性强的硬件产品智</w:t>
      </w:r>
      <w:r>
        <w:rPr>
          <w:spacing w:val="-5"/>
        </w:rPr>
        <w:t>能化</w:t>
      </w:r>
      <w:r>
        <w:rPr>
          <w:spacing w:val="-4"/>
        </w:rPr>
        <w:t>升级之路，应用成熟技术针对性满足市场业务需求。以视频监控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>
        <w:pict>
          <v:shape id="_x0000_s2" style="position:absolute;margin-left:0.72599pt;margin-top:8.4039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8"/>
        <w:spacing w:before="90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5"/>
        </w:rPr>
        <w:t>1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Gartner 报告</w:t>
      </w:r>
    </w:p>
    <w:p>
      <w:pPr>
        <w:ind w:left="22"/>
        <w:spacing w:before="68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1"/>
          <w:position w:val="5"/>
        </w:rPr>
        <w:t>2</w:t>
      </w:r>
      <w:r>
        <w:rPr>
          <w:rFonts w:ascii="Microsoft YaHei" w:hAnsi="Microsoft YaHei" w:eastAsia="Microsoft YaHei" w:cs="Microsoft YaHei"/>
          <w:sz w:val="13"/>
          <w:szCs w:val="13"/>
          <w:spacing w:val="21"/>
          <w:w w:val="10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根据海康威视历年年报数据整理</w:t>
      </w:r>
    </w:p>
    <w:p>
      <w:pPr>
        <w:ind w:left="17" w:right="75" w:firstLine="6"/>
        <w:spacing w:before="66" w:line="21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position w:val="5"/>
        </w:rPr>
        <w:t>3</w:t>
      </w:r>
      <w:r>
        <w:rPr>
          <w:rFonts w:ascii="Microsoft YaHei" w:hAnsi="Microsoft YaHei" w:eastAsia="Microsoft YaHei" w:cs="Microsoft YaHei"/>
          <w:sz w:val="13"/>
          <w:szCs w:val="13"/>
          <w:spacing w:val="16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</w:rPr>
        <w:t>根据 Omdia 历年发布的全球视频监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控研究数据整理，国信证券-《智能物联龙头，AIoT</w:t>
      </w:r>
      <w:r>
        <w:rPr>
          <w:rFonts w:ascii="Microsoft YaHei" w:hAnsi="Microsoft YaHei" w:eastAsia="Microsoft YaHei" w:cs="Microsoft YaHei"/>
          <w:sz w:val="21"/>
          <w:szCs w:val="21"/>
        </w:rPr>
        <w:t>持续开拓》</w:t>
      </w:r>
    </w:p>
    <w:p>
      <w:pPr>
        <w:spacing w:line="218" w:lineRule="auto"/>
        <w:sectPr>
          <w:pgSz w:w="11907" w:h="16839"/>
          <w:pgMar w:top="1431" w:right="1785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2" w:hanging="11"/>
        <w:spacing w:before="97" w:line="258" w:lineRule="auto"/>
        <w:rPr/>
      </w:pPr>
      <w:r>
        <w:rPr>
          <w:spacing w:val="-6"/>
        </w:rPr>
        <w:t>设备起家的海康，前期智能化市场接受度较高的周界安</w:t>
      </w:r>
      <w:r>
        <w:rPr>
          <w:spacing w:val="-7"/>
        </w:rPr>
        <w:t>防类产品，</w:t>
      </w:r>
      <w:r>
        <w:rPr>
          <w:spacing w:val="-5"/>
        </w:rPr>
        <w:t>随着深度学习算法日趋成熟，以及市场爆发出对人脸、车牌识别</w:t>
      </w:r>
      <w:r>
        <w:rPr>
          <w:spacing w:val="-15"/>
        </w:rPr>
        <w:t>的需求，海康将技术优势快速产品化，发布“深</w:t>
      </w:r>
      <w:r>
        <w:rPr>
          <w:spacing w:val="-16"/>
        </w:rPr>
        <w:t>眸”智能摄像机、</w:t>
      </w:r>
    </w:p>
    <w:p>
      <w:pPr>
        <w:pStyle w:val="BodyText"/>
        <w:ind w:left="33" w:right="234" w:hanging="28"/>
        <w:spacing w:before="1" w:line="260" w:lineRule="auto"/>
        <w:rPr/>
      </w:pPr>
      <w:r>
        <w:rPr>
          <w:spacing w:val="-9"/>
        </w:rPr>
        <w:t>“脸谱”人脸分析服务器、“超脑”系列智能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NVR </w:t>
      </w:r>
      <w:r>
        <w:rPr>
          <w:spacing w:val="-9"/>
        </w:rPr>
        <w:t>等全系列深度</w:t>
      </w:r>
      <w:r>
        <w:rPr>
          <w:spacing w:val="-3"/>
        </w:rPr>
        <w:t>智能产品，实现人、车的多重特征信息提取。</w:t>
      </w:r>
    </w:p>
    <w:p>
      <w:pPr>
        <w:pStyle w:val="BodyText"/>
        <w:ind w:left="16" w:right="235" w:firstLine="607"/>
        <w:spacing w:before="270"/>
        <w:outlineLvl w:val="2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137942</wp:posOffset>
            </wp:positionH>
            <wp:positionV relativeFrom="paragraph">
              <wp:posOffset>789416</wp:posOffset>
            </wp:positionV>
            <wp:extent cx="5089433" cy="27463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9433" cy="2746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pacing w:val="-5"/>
        </w:rPr>
        <w:t>2</w:t>
      </w:r>
      <w:r>
        <w:rPr>
          <w:b/>
          <w:bCs/>
          <w:spacing w:val="-5"/>
        </w:rPr>
        <w:t>．做厚服务层，</w:t>
      </w:r>
      <w:r>
        <w:rPr>
          <w:rFonts w:ascii="Times New Roman" w:hAnsi="Times New Roman" w:eastAsia="Times New Roman" w:cs="Times New Roman"/>
          <w:b/>
          <w:bCs/>
          <w:spacing w:val="-5"/>
        </w:rPr>
        <w:t>AI </w:t>
      </w:r>
      <w:r>
        <w:rPr>
          <w:b/>
          <w:bCs/>
          <w:spacing w:val="-5"/>
        </w:rPr>
        <w:t>开放平台打开新发展空间，智能硬件与</w:t>
      </w:r>
      <w:r>
        <w:rPr>
          <w:rFonts w:ascii="Times New Roman" w:hAnsi="Times New Roman" w:eastAsia="Times New Roman" w:cs="Times New Roman"/>
          <w:b/>
          <w:bCs/>
          <w:spacing w:val="-2"/>
        </w:rPr>
        <w:t>AI </w:t>
      </w:r>
      <w:r>
        <w:rPr>
          <w:b/>
          <w:bCs/>
          <w:spacing w:val="-2"/>
        </w:rPr>
        <w:t>开放平台协同增值模式开启第二成长曲线</w:t>
      </w:r>
    </w:p>
    <w:p>
      <w:pPr>
        <w:ind w:left="105" w:right="8286"/>
        <w:spacing w:before="236" w:line="191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7"/>
          <w:szCs w:val="17"/>
        </w:rPr>
        <w:t>AI</w:t>
      </w:r>
      <w:r>
        <w:rPr>
          <w:rFonts w:ascii="Microsoft YaHei" w:hAnsi="Microsoft YaHei" w:eastAsia="Microsoft YaHei" w:cs="Microsoft YaHei"/>
          <w:sz w:val="16"/>
          <w:szCs w:val="16"/>
          <w:spacing w:val="-4"/>
          <w:w w:val="96"/>
        </w:rPr>
        <w:t>能</w:t>
      </w:r>
      <w:r>
        <w:rPr>
          <w:rFonts w:ascii="Microsoft YaHei" w:hAnsi="Microsoft YaHei" w:eastAsia="Microsoft YaHei" w:cs="Microsoft YaHei"/>
          <w:sz w:val="16"/>
          <w:szCs w:val="16"/>
        </w:rPr>
        <w:t>力</w:t>
      </w:r>
    </w:p>
    <w:p>
      <w:pPr>
        <w:ind w:left="375"/>
        <w:spacing w:before="253" w:line="29" w:lineRule="exact"/>
        <w:rPr>
          <w:rFonts w:ascii="Microsoft YaHei" w:hAnsi="Microsoft YaHei" w:eastAsia="Microsoft YaHei" w:cs="Microsoft YaHei"/>
          <w:sz w:val="3"/>
          <w:szCs w:val="3"/>
        </w:rPr>
      </w:pPr>
      <w:r>
        <w:rPr>
          <w:rFonts w:ascii="Microsoft YaHei" w:hAnsi="Microsoft YaHei" w:eastAsia="Microsoft YaHei" w:cs="Microsoft YaHei"/>
          <w:sz w:val="3"/>
          <w:szCs w:val="3"/>
          <w:spacing w:val="5"/>
          <w:w w:val="106"/>
        </w:rPr>
        <w:t>●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375"/>
        <w:spacing w:line="29" w:lineRule="exact"/>
        <w:rPr/>
      </w:pPr>
      <w:r>
        <w:rPr>
          <w:position w:val="-1"/>
        </w:rPr>
        <w:drawing>
          <wp:inline distT="0" distB="0" distL="0" distR="0">
            <wp:extent cx="16410" cy="181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10" cy="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0"/>
        <w:spacing w:before="131" w:line="112" w:lineRule="exact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spacing w:val="-6"/>
          <w:w w:val="97"/>
        </w:rPr>
        <w:t>鹰、</w:t>
      </w:r>
    </w:p>
    <w:p>
      <w:pPr>
        <w:ind w:left="375"/>
        <w:spacing w:before="130" w:line="29" w:lineRule="exact"/>
        <w:rPr>
          <w:rFonts w:ascii="Microsoft YaHei" w:hAnsi="Microsoft YaHei" w:eastAsia="Microsoft YaHei" w:cs="Microsoft YaHei"/>
          <w:sz w:val="3"/>
          <w:szCs w:val="3"/>
        </w:rPr>
      </w:pPr>
      <w:r>
        <w:rPr>
          <w:rFonts w:ascii="Microsoft YaHei" w:hAnsi="Microsoft YaHei" w:eastAsia="Microsoft YaHei" w:cs="Microsoft YaHei"/>
          <w:sz w:val="3"/>
          <w:szCs w:val="3"/>
          <w:spacing w:val="5"/>
          <w:w w:val="106"/>
        </w:rPr>
        <w:t>●</w:t>
      </w:r>
    </w:p>
    <w:p>
      <w:pPr>
        <w:ind w:left="375"/>
        <w:spacing w:before="172" w:line="28" w:lineRule="exact"/>
        <w:rPr/>
      </w:pPr>
      <w:r>
        <w:rPr>
          <w:position w:val="-1"/>
        </w:rPr>
        <w:drawing>
          <wp:inline distT="0" distB="0" distL="0" distR="0">
            <wp:extent cx="16410" cy="181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10" cy="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727"/>
        <w:spacing w:before="38" w:line="186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4"/>
        </w:rPr>
        <w:t>2015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 </w:t>
      </w:r>
      <w:r>
        <w:rPr>
          <w:rFonts w:ascii="Arial" w:hAnsi="Arial" w:eastAsia="Arial" w:cs="Arial"/>
          <w:sz w:val="13"/>
          <w:szCs w:val="13"/>
          <w:spacing w:val="4"/>
        </w:rPr>
        <w:t>2016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        </w:t>
      </w:r>
      <w:r>
        <w:rPr>
          <w:rFonts w:ascii="Arial" w:hAnsi="Arial" w:eastAsia="Arial" w:cs="Arial"/>
          <w:sz w:val="13"/>
          <w:szCs w:val="13"/>
          <w:spacing w:val="4"/>
        </w:rPr>
        <w:t>2017</w:t>
      </w:r>
      <w:r>
        <w:rPr>
          <w:rFonts w:ascii="Arial" w:hAnsi="Arial" w:eastAsia="Arial" w:cs="Arial"/>
          <w:sz w:val="13"/>
          <w:szCs w:val="13"/>
          <w:spacing w:val="5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4"/>
        </w:rPr>
        <w:t>20</w:t>
      </w:r>
      <w:r>
        <w:rPr>
          <w:rFonts w:ascii="Arial" w:hAnsi="Arial" w:eastAsia="Arial" w:cs="Arial"/>
          <w:sz w:val="13"/>
          <w:szCs w:val="13"/>
          <w:spacing w:val="3"/>
        </w:rPr>
        <w:t>18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</w:t>
      </w:r>
      <w:r>
        <w:rPr>
          <w:rFonts w:ascii="Arial" w:hAnsi="Arial" w:eastAsia="Arial" w:cs="Arial"/>
          <w:sz w:val="13"/>
          <w:szCs w:val="13"/>
          <w:spacing w:val="3"/>
        </w:rPr>
        <w:t>2019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                        </w:t>
      </w:r>
      <w:r>
        <w:rPr>
          <w:rFonts w:ascii="Arial" w:hAnsi="Arial" w:eastAsia="Arial" w:cs="Arial"/>
          <w:sz w:val="13"/>
          <w:szCs w:val="13"/>
          <w:spacing w:val="3"/>
        </w:rPr>
        <w:t>2021</w:t>
      </w:r>
    </w:p>
    <w:p>
      <w:pPr>
        <w:ind w:left="2038"/>
        <w:spacing w:before="227" w:line="230" w:lineRule="auto"/>
        <w:outlineLvl w:val="3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</w:t>
      </w:r>
      <w:r>
        <w:rPr>
          <w:rFonts w:ascii="KaiTi" w:hAnsi="KaiTi" w:eastAsia="KaiTi" w:cs="KaiTi"/>
          <w:sz w:val="30"/>
          <w:szCs w:val="30"/>
          <w:spacing w:val="-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海康威视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AI</w:t>
      </w:r>
      <w:r>
        <w:rPr>
          <w:rFonts w:ascii="KaiTi" w:hAnsi="KaiTi" w:eastAsia="KaiTi" w:cs="KaiTi"/>
          <w:sz w:val="30"/>
          <w:szCs w:val="30"/>
          <w:spacing w:val="-4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能力发展路径</w:t>
      </w:r>
      <w:r>
        <w:rPr>
          <w:rFonts w:ascii="KaiTi" w:hAnsi="KaiTi" w:eastAsia="KaiTi" w:cs="KaiTi"/>
          <w:sz w:val="15"/>
          <w:szCs w:val="15"/>
          <w:spacing w:val="-7"/>
          <w:position w:val="14"/>
        </w:rPr>
        <w:t>4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48" w:firstLine="609"/>
        <w:spacing w:before="98" w:line="261" w:lineRule="auto"/>
        <w:jc w:val="both"/>
        <w:rPr/>
      </w:pPr>
      <w:r>
        <w:rPr>
          <w:spacing w:val="-2"/>
        </w:rPr>
        <w:t>市场需求从人脸、车牌识别等基础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升级到随企业数字化</w:t>
      </w:r>
      <w:r>
        <w:rPr>
          <w:spacing w:val="-7"/>
        </w:rPr>
        <w:t>转型变化的定制化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AI</w:t>
      </w:r>
      <w:r>
        <w:rPr>
          <w:spacing w:val="-7"/>
        </w:rPr>
        <w:t>，针对碎片化场景的算法训练需求，海康威</w:t>
      </w:r>
      <w:r>
        <w:rPr>
          <w:spacing w:val="-3"/>
        </w:rPr>
        <w:t>视推出集成硬件能力、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3"/>
        </w:rPr>
        <w:t>能力、场景业务的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 </w:t>
      </w:r>
      <w:r>
        <w:rPr>
          <w:spacing w:val="-3"/>
        </w:rPr>
        <w:t>开放平台，对内</w:t>
      </w:r>
      <w:r>
        <w:rPr>
          <w:spacing w:val="-4"/>
        </w:rPr>
        <w:t>解决数据爆发式增长等导致的终端能力不足、算法重复开发导致</w:t>
      </w:r>
      <w:r>
        <w:rPr>
          <w:spacing w:val="-1"/>
        </w:rPr>
        <w:t>的资源浪费等问题，对外快速响应和落地长尾碎片化场景需求，</w:t>
      </w:r>
      <w:r>
        <w:rPr/>
        <w:t>提供“数据</w:t>
      </w:r>
      <w:r>
        <w:rPr>
          <w:rFonts w:ascii="Times New Roman" w:hAnsi="Times New Roman" w:eastAsia="Times New Roman" w:cs="Times New Roman"/>
        </w:rPr>
        <w:t>-</w:t>
      </w:r>
      <w:r>
        <w:rPr/>
        <w:t>算法</w:t>
      </w:r>
      <w:r>
        <w:rPr>
          <w:rFonts w:ascii="Times New Roman" w:hAnsi="Times New Roman" w:eastAsia="Times New Roman" w:cs="Times New Roman"/>
        </w:rPr>
        <w:t>-</w:t>
      </w:r>
      <w:r>
        <w:rPr/>
        <w:t>智能硬件”一站式服务，支持客户</w:t>
      </w:r>
      <w:r>
        <w:rPr>
          <w:spacing w:val="-1"/>
        </w:rPr>
        <w:t>上传素材定</w:t>
      </w:r>
      <w:r>
        <w:rPr>
          <w:spacing w:val="-5"/>
        </w:rPr>
        <w:t>制算法并灵活下发到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设备中，有效带动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 </w:t>
      </w:r>
      <w:r>
        <w:rPr>
          <w:spacing w:val="-5"/>
        </w:rPr>
        <w:t>算法和硬件设备的</w:t>
      </w:r>
      <w:r>
        <w:rPr>
          <w:spacing w:val="-2"/>
        </w:rPr>
        <w:t>出货。至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2021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2"/>
        </w:rPr>
        <w:t>年底，海康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开放平台服</w:t>
      </w:r>
      <w:r>
        <w:rPr>
          <w:spacing w:val="-3"/>
        </w:rPr>
        <w:t>务企业超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8000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3"/>
        </w:rPr>
        <w:t>家，累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>
        <w:pict>
          <v:shape id="_x0000_s4" style="position:absolute;margin-left:0.72599pt;margin-top:10.1753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5" w:right="366"/>
        <w:spacing w:before="91" w:line="22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1"/>
          <w:position w:val="5"/>
        </w:rPr>
        <w:t>4</w:t>
      </w:r>
      <w:r>
        <w:rPr>
          <w:rFonts w:ascii="Microsoft YaHei" w:hAnsi="Microsoft YaHei" w:eastAsia="Microsoft YaHei" w:cs="Microsoft YaHei"/>
          <w:sz w:val="13"/>
          <w:szCs w:val="13"/>
          <w:spacing w:val="23"/>
          <w:w w:val="10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根据海康威视历年年度报告整理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，软硬一体产品智能化率根据海康官网发布产品中智能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化产品占比计算得出</w:t>
      </w:r>
      <w:r>
        <w:rPr>
          <w:rFonts w:ascii="Microsoft YaHei" w:hAnsi="Microsoft YaHei" w:eastAsia="Microsoft YaHei" w:cs="Microsoft YaHei"/>
          <w:sz w:val="21"/>
          <w:szCs w:val="2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，软硬一体产品毛利率取自海康机器人招股说明书主营业务毛利率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</w:rPr>
        <w:t>44%；平台毛利率根据萤石网络招股说明书云平台毛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利率 69%估计</w:t>
      </w:r>
    </w:p>
    <w:p>
      <w:pPr>
        <w:spacing w:line="226" w:lineRule="auto"/>
        <w:sectPr>
          <w:headerReference w:type="default" r:id="rId1"/>
          <w:pgSz w:w="11907" w:h="16839"/>
          <w:pgMar w:top="400" w:right="1566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98" w:line="233" w:lineRule="auto"/>
        <w:rPr/>
      </w:pPr>
      <w:r>
        <w:rPr>
          <w:spacing w:val="-1"/>
        </w:rPr>
        <w:t>积落地项目超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4000 </w:t>
      </w:r>
      <w:r>
        <w:rPr>
          <w:spacing w:val="-1"/>
        </w:rPr>
        <w:t>个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5</w:t>
      </w:r>
      <w:r>
        <w:rPr>
          <w:spacing w:val="-1"/>
        </w:rPr>
        <w:t>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23" w:right="113" w:firstLine="652"/>
        <w:spacing w:before="101" w:line="23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二、海康威视产品智能化发展经验：提升研发效率是关</w:t>
      </w: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7" w:right="107" w:firstLine="597"/>
        <w:spacing w:before="98" w:line="260" w:lineRule="auto"/>
        <w:jc w:val="both"/>
        <w:rPr/>
      </w:pPr>
      <w:r>
        <w:rPr>
          <w:spacing w:val="-4"/>
        </w:rPr>
        <w:t>碎片化场景需求要求高效的产品研发能力支撑，海康威</w:t>
      </w:r>
      <w:r>
        <w:rPr>
          <w:spacing w:val="-5"/>
        </w:rPr>
        <w:t>视从</w:t>
      </w:r>
      <w:r>
        <w:rPr>
          <w:spacing w:val="-4"/>
        </w:rPr>
        <w:t>规范研发体系、优化组织架构和持续研发创新三方面提升产品研</w:t>
      </w:r>
      <w:r>
        <w:rPr>
          <w:spacing w:val="-11"/>
        </w:rPr>
        <w:t>发效率。</w:t>
      </w:r>
    </w:p>
    <w:p>
      <w:pPr>
        <w:pStyle w:val="BodyText"/>
        <w:ind w:left="49" w:right="22" w:firstLine="587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．规范研发体系：统一技术构架</w:t>
      </w:r>
      <w:r>
        <w:rPr>
          <w:rFonts w:ascii="Times New Roman" w:hAnsi="Times New Roman" w:eastAsia="Times New Roman" w:cs="Times New Roman"/>
          <w:b/>
          <w:bCs/>
          <w:spacing w:val="-5"/>
        </w:rPr>
        <w:t>+</w:t>
      </w:r>
      <w:r>
        <w:rPr>
          <w:b/>
          <w:bCs/>
          <w:spacing w:val="-5"/>
        </w:rPr>
        <w:t>个性化组件的研发体系，</w:t>
      </w:r>
      <w:r>
        <w:rPr>
          <w:b/>
          <w:bCs/>
          <w:spacing w:val="-8"/>
        </w:rPr>
        <w:t>降低重复研发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5" w:firstLine="599"/>
        <w:spacing w:before="97" w:line="261" w:lineRule="auto"/>
        <w:jc w:val="both"/>
        <w:rPr/>
      </w:pPr>
      <w:r>
        <w:rPr>
          <w:spacing w:val="7"/>
        </w:rPr>
        <w:t>海康威视利用软件组件化技术来解决软件难以规模化生产</w:t>
      </w:r>
      <w:r>
        <w:rPr>
          <w:spacing w:val="-10"/>
        </w:rPr>
        <w:t>的问题，制定软件产品开发和管理规范，使</w:t>
      </w:r>
      <w:r>
        <w:rPr>
          <w:spacing w:val="-11"/>
        </w:rPr>
        <w:t>软件达到一致性要求。</w:t>
      </w:r>
      <w:r>
        <w:rPr>
          <w:spacing w:val="-4"/>
        </w:rPr>
        <w:t>海康打造了三位一体的集成开发环境、集成管理环境和集成运行</w:t>
      </w:r>
      <w:r>
        <w:rPr/>
        <w:t>环境，在平台、接口和风格上保持一致，共用软件开发、管理、</w:t>
      </w:r>
      <w:r>
        <w:rPr>
          <w:spacing w:val="-4"/>
        </w:rPr>
        <w:t>运行环境和配置管理策略，方便快速集成。各业务条线研发团队</w:t>
      </w:r>
      <w:r>
        <w:rPr>
          <w:spacing w:val="-4"/>
        </w:rPr>
        <w:t>基于统一的软件构架，背对背开展协同开发，软件产品中组件复</w:t>
      </w:r>
      <w:r>
        <w:rPr>
          <w:spacing w:val="-1"/>
        </w:rPr>
        <w:t>用率达到 </w:t>
      </w:r>
      <w:r>
        <w:rPr>
          <w:rFonts w:ascii="Times New Roman" w:hAnsi="Times New Roman" w:eastAsia="Times New Roman" w:cs="Times New Roman"/>
          <w:spacing w:val="-1"/>
        </w:rPr>
        <w:t>93%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6</w:t>
      </w:r>
      <w:r>
        <w:rPr>
          <w:spacing w:val="-1"/>
        </w:rPr>
        <w:t>。</w:t>
      </w:r>
    </w:p>
    <w:p>
      <w:pPr>
        <w:pStyle w:val="BodyText"/>
        <w:ind w:left="28" w:right="116" w:firstLine="595"/>
        <w:spacing w:before="247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．优化组织架构：研发资源下沉与销售协同，提高沟通效</w:t>
      </w:r>
      <w:r>
        <w:rPr>
          <w:b/>
          <w:bCs/>
          <w:spacing w:val="-4"/>
        </w:rPr>
        <w:t>率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5" w:right="107" w:firstLine="599"/>
        <w:spacing w:before="98" w:line="260" w:lineRule="auto"/>
        <w:jc w:val="both"/>
        <w:rPr/>
      </w:pPr>
      <w:r>
        <w:rPr>
          <w:spacing w:val="-4"/>
        </w:rPr>
        <w:t>碎片化需求推动营销支撑服务愈加扁平化和专业化，海</w:t>
      </w:r>
      <w:r>
        <w:rPr>
          <w:spacing w:val="-5"/>
        </w:rPr>
        <w:t>康威</w:t>
      </w:r>
      <w:r>
        <w:rPr>
          <w:spacing w:val="-4"/>
        </w:rPr>
        <w:t>视推动研发资源向区域下沉，实现软件定制开发能力前移。海康</w:t>
      </w:r>
      <w:r>
        <w:rPr>
          <w:spacing w:val="-1"/>
        </w:rPr>
        <w:t>威视在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2018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年进行组织架构优化，总部转型能力输出</w:t>
      </w:r>
      <w:r>
        <w:rPr>
          <w:spacing w:val="-2"/>
        </w:rPr>
        <w:t>中心，主</w:t>
      </w:r>
      <w:r>
        <w:rPr>
          <w:spacing w:val="-4"/>
        </w:rPr>
        <w:t>要负责底层能力输出以及其他必要支持，研发稳定性高、使用场</w:t>
      </w:r>
      <w:r>
        <w:rPr>
          <w:spacing w:val="-4"/>
        </w:rPr>
        <w:t>景与频率高的底层组件。打散研发和技术支持并下放到各区域业</w:t>
      </w:r>
      <w:r>
        <w:rPr>
          <w:spacing w:val="-9"/>
        </w:rPr>
        <w:t>务中心，保证区域中心拥有独立的研发、销售及技术团队， 在集</w:t>
      </w:r>
      <w:r>
        <w:rPr>
          <w:spacing w:val="-4"/>
        </w:rPr>
        <w:t>团统一框架下做定制化研发，快速响应区域定制化需求，实现市</w:t>
      </w:r>
      <w:r>
        <w:rPr>
          <w:spacing w:val="-4"/>
        </w:rPr>
        <w:t>场与研发的正向循环。研发组织架构优化推动公司人均效率逐步</w:t>
      </w:r>
      <w:r>
        <w:rPr>
          <w:spacing w:val="-2"/>
        </w:rPr>
        <w:t>提升，</w:t>
      </w:r>
      <w:r>
        <w:rPr>
          <w:rFonts w:ascii="Times New Roman" w:hAnsi="Times New Roman" w:eastAsia="Times New Roman" w:cs="Times New Roman"/>
          <w:spacing w:val="-2"/>
        </w:rPr>
        <w:t>2018 </w:t>
      </w:r>
      <w:r>
        <w:rPr>
          <w:spacing w:val="-2"/>
        </w:rPr>
        <w:t>年后人均创收逐步回升（见图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）。</w:t>
      </w:r>
    </w:p>
    <w:p>
      <w:pPr>
        <w:spacing w:line="312" w:lineRule="auto"/>
        <w:rPr>
          <w:rFonts w:ascii="Arial"/>
          <w:sz w:val="21"/>
        </w:rPr>
      </w:pPr>
      <w:r>
        <w:pict>
          <v:shape id="_x0000_s6" style="position:absolute;margin-left:0.72599pt;margin-top:8.82335pt;mso-position-vertical-relative:text;mso-position-horizontal-relative:text;width:144.05pt;height:0.5pt;z-index:251661312;" fillcolor="#000000" filled="true" stroked="false" coordsize="2881,10" coordorigin="0,0" path="m0,9l2880,9l2880,0l0,0l0,9xe"/>
        </w:pict>
      </w:r>
      <w:r/>
    </w:p>
    <w:p>
      <w:pPr>
        <w:ind w:left="26"/>
        <w:spacing w:before="90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2"/>
          <w:position w:val="5"/>
        </w:rPr>
        <w:t>5</w:t>
      </w:r>
      <w:r>
        <w:rPr>
          <w:rFonts w:ascii="Microsoft YaHei" w:hAnsi="Microsoft YaHei" w:eastAsia="Microsoft YaHei" w:cs="Microsoft YaHei"/>
          <w:sz w:val="13"/>
          <w:szCs w:val="13"/>
          <w:spacing w:val="20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海康威视 2021年年报</w:t>
      </w:r>
    </w:p>
    <w:p>
      <w:pPr>
        <w:ind w:left="22"/>
        <w:spacing w:before="68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5"/>
        </w:rPr>
        <w:t>6</w:t>
      </w:r>
      <w:r>
        <w:rPr>
          <w:rFonts w:ascii="Microsoft YaHei" w:hAnsi="Microsoft YaHei" w:eastAsia="Microsoft YaHei" w:cs="Microsoft YaHei"/>
          <w:sz w:val="13"/>
          <w:szCs w:val="13"/>
          <w:spacing w:val="18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海康威视 2019 年年报</w:t>
      </w:r>
    </w:p>
    <w:p>
      <w:pPr>
        <w:spacing w:line="195" w:lineRule="auto"/>
        <w:sectPr>
          <w:headerReference w:type="default" r:id="rId5"/>
          <w:pgSz w:w="11907" w:h="16839"/>
          <w:pgMar w:top="400" w:right="1691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tbl>
      <w:tblPr>
        <w:tblStyle w:val="TableNormal"/>
        <w:tblW w:w="7356" w:type="dxa"/>
        <w:tblInd w:w="4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8"/>
        <w:gridCol w:w="6410"/>
        <w:gridCol w:w="568"/>
      </w:tblGrid>
      <w:tr>
        <w:trPr>
          <w:trHeight w:val="754" w:hRule="atLeast"/>
        </w:trPr>
        <w:tc>
          <w:tcPr>
            <w:tcW w:w="378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7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250</w:t>
            </w:r>
          </w:p>
        </w:tc>
        <w:tc>
          <w:tcPr>
            <w:tcW w:w="6410" w:type="dxa"/>
            <w:vAlign w:val="top"/>
          </w:tcPr>
          <w:p>
            <w:pPr>
              <w:pStyle w:val="TableText"/>
              <w:ind w:left="741"/>
              <w:spacing w:line="189" w:lineRule="auto"/>
              <w:rPr/>
            </w:pPr>
            <w:r>
              <w:rPr>
                <w:position w:val="3"/>
              </w:rPr>
              <w:drawing>
                <wp:inline distT="0" distB="0" distL="0" distR="0">
                  <wp:extent cx="243839" cy="91440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9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人均创收（万元/人）           </w:t>
            </w:r>
            <w:r>
              <w:rPr/>
              <w:t>人均创收增长率</w:t>
            </w:r>
          </w:p>
        </w:tc>
        <w:tc>
          <w:tcPr>
            <w:tcW w:w="568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7" w:line="21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100%</w:t>
            </w:r>
          </w:p>
        </w:tc>
      </w:tr>
      <w:tr>
        <w:trPr>
          <w:trHeight w:val="720" w:hRule="atLeast"/>
        </w:trPr>
        <w:tc>
          <w:tcPr>
            <w:tcW w:w="378" w:type="dxa"/>
            <w:vAlign w:val="top"/>
          </w:tcPr>
          <w:p>
            <w:pPr>
              <w:pStyle w:val="TableText"/>
              <w:spacing w:before="219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200</w:t>
            </w:r>
          </w:p>
        </w:tc>
        <w:tc>
          <w:tcPr>
            <w:tcW w:w="6410" w:type="dxa"/>
            <w:vAlign w:val="top"/>
          </w:tcPr>
          <w:p>
            <w:pPr>
              <w:pStyle w:val="TableText"/>
              <w:ind w:left="353"/>
              <w:spacing w:before="260" w:line="450" w:lineRule="exact"/>
              <w:rPr/>
            </w:pPr>
            <w:r>
              <w:rPr>
                <w:b/>
                <w:bCs/>
                <w:color w:val="404040"/>
                <w:spacing w:val="-7"/>
                <w:position w:val="16"/>
              </w:rPr>
              <w:t>166</w:t>
            </w:r>
            <w:r>
              <w:rPr>
                <w:b/>
                <w:bCs/>
                <w:color w:val="404040"/>
                <w:spacing w:val="7"/>
                <w:position w:val="16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  <w:position w:val="9"/>
              </w:rPr>
              <w:t>160</w:t>
            </w:r>
            <w:r>
              <w:rPr>
                <w:b/>
                <w:bCs/>
                <w:color w:val="404040"/>
                <w:spacing w:val="6"/>
                <w:position w:val="9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  <w:position w:val="9"/>
              </w:rPr>
              <w:t>159</w:t>
            </w:r>
            <w:r>
              <w:rPr>
                <w:b/>
                <w:bCs/>
                <w:color w:val="404040"/>
                <w:spacing w:val="6"/>
                <w:position w:val="9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  <w:position w:val="-4"/>
              </w:rPr>
              <w:t>145</w:t>
            </w:r>
            <w:r>
              <w:rPr>
                <w:b/>
                <w:bCs/>
                <w:color w:val="404040"/>
                <w:spacing w:val="5"/>
                <w:position w:val="-4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  <w:position w:val="-7"/>
              </w:rPr>
              <w:t>143</w:t>
            </w:r>
            <w:r>
              <w:rPr>
                <w:b/>
                <w:bCs/>
                <w:color w:val="404040"/>
                <w:spacing w:val="6"/>
                <w:position w:val="-7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</w:rPr>
              <w:t>149</w:t>
            </w:r>
            <w:r>
              <w:rPr>
                <w:b/>
                <w:bCs/>
                <w:color w:val="404040"/>
                <w:spacing w:val="6"/>
              </w:rPr>
              <w:t xml:space="preserve">      </w:t>
            </w:r>
            <w:r>
              <w:rPr>
                <w:b/>
                <w:bCs/>
                <w:color w:val="404040"/>
                <w:spacing w:val="-7"/>
                <w:position w:val="4"/>
              </w:rPr>
              <w:t>154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00"/>
              <w:spacing w:before="134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80%</w:t>
            </w:r>
          </w:p>
          <w:p>
            <w:pPr>
              <w:pStyle w:val="TableText"/>
              <w:ind w:left="102"/>
              <w:spacing w:before="151" w:line="15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-2"/>
              </w:rPr>
              <w:t>60%</w:t>
            </w:r>
          </w:p>
        </w:tc>
      </w:tr>
      <w:tr>
        <w:trPr>
          <w:trHeight w:val="212" w:hRule="atLeast"/>
        </w:trPr>
        <w:tc>
          <w:tcPr>
            <w:tcW w:w="378" w:type="dxa"/>
            <w:vAlign w:val="top"/>
          </w:tcPr>
          <w:p>
            <w:pPr>
              <w:pStyle w:val="TableText"/>
              <w:ind w:left="8"/>
              <w:spacing w:before="7" w:line="19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-1"/>
              </w:rPr>
              <w:t>150</w:t>
            </w:r>
          </w:p>
        </w:tc>
        <w:tc>
          <w:tcPr>
            <w:tcW w:w="6410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  <w:tc>
          <w:tcPr>
            <w:tcW w:w="568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813" w:hRule="atLeast"/>
        </w:trPr>
        <w:tc>
          <w:tcPr>
            <w:tcW w:w="378" w:type="dxa"/>
            <w:vAlign w:val="top"/>
          </w:tcPr>
          <w:p>
            <w:pPr>
              <w:pStyle w:val="TableText"/>
              <w:ind w:left="8"/>
              <w:spacing w:before="304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100</w:t>
            </w:r>
          </w:p>
          <w:p>
            <w:pPr>
              <w:pStyle w:val="TableText"/>
              <w:ind w:left="110"/>
              <w:spacing w:before="236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50</w:t>
            </w:r>
          </w:p>
          <w:p>
            <w:pPr>
              <w:pStyle w:val="TableText"/>
              <w:ind w:left="208"/>
              <w:spacing w:before="237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410" w:type="dxa"/>
            <w:vAlign w:val="top"/>
          </w:tcPr>
          <w:p>
            <w:pPr>
              <w:pStyle w:val="TableText"/>
              <w:ind w:left="231"/>
              <w:spacing w:before="215" w:line="247" w:lineRule="exact"/>
              <w:rPr/>
            </w:pPr>
            <w:r>
              <w:pict>
                <v:group id="_x0000_s10" style="position:absolute;margin-left:5.53799pt;margin-top:3.87402pt;mso-position-vertical-relative:text;mso-position-horizontal-relative:text;width:310.35pt;height:67pt;z-index:-251654144;" filled="false" stroked="false" coordsize="6207,1340" coordorigin="0,0">
                  <v:shape id="_x0000_s12" style="position:absolute;left:0;top:1324;width:6207;height:15;" filled="false" strokecolor="#D9D9D9" strokeweight="0.72pt" coordsize="6207,15" coordorigin="0,0" path="m0,7l6206,7e">
                    <v:stroke miterlimit="10"/>
                  </v:shape>
                  <v:shape id="_x0000_s14" style="position:absolute;left:420;top:559;width:5367;height:562;" filled="false" strokecolor="#E19825" strokeweight="2.28pt" coordsize="5367,562" coordorigin="0,0" path="m22,22l910,433l1796,353l2684,538l3569,382l4457,260l5343,270e">
                    <v:stroke endcap="round" miterlimit="10"/>
                  </v:shape>
                  <v:shape id="_x0000_s16" style="position:absolute;left:36;top:0;width:6065;height:989;" fillcolor="#FFFFFF" filled="true" stroked="false" coordsize="6065,989" coordorigin="0,0" path="m0,472l813,472l813,0l0,0l0,472xem904,883l1682,883l1682,410l904,410l904,883xem1792,804l2567,804l2567,331l1792,331l1792,804xem2678,988l3456,988l3456,515l2678,515l2678,988xem3566,830l4341,830l4341,360l3566,360l3566,830xem4504,708l5176,708l5176,237l4504,237l4504,708xem5390,720l6064,720l6064,247l5390,247l5390,720xe"/>
                </v:group>
              </w:pict>
            </w:r>
            <w:r>
              <w:rPr>
                <w:color w:val="404040"/>
                <w:spacing w:val="-5"/>
                <w:position w:val="-2"/>
              </w:rPr>
              <w:t>15.5%</w:t>
            </w:r>
          </w:p>
          <w:p>
            <w:pPr>
              <w:pStyle w:val="TableText"/>
              <w:ind w:left="1131"/>
              <w:spacing w:before="1" w:line="211" w:lineRule="auto"/>
              <w:rPr/>
            </w:pPr>
            <w:r>
              <w:rPr>
                <w:color w:val="404040"/>
                <w:spacing w:val="-3"/>
                <w:position w:val="-5"/>
              </w:rPr>
              <w:t>-3.9%</w:t>
            </w:r>
            <w:r>
              <w:rPr>
                <w:color w:val="404040"/>
                <w:spacing w:val="16"/>
                <w:position w:val="-5"/>
              </w:rPr>
              <w:t xml:space="preserve">   </w:t>
            </w:r>
            <w:r>
              <w:rPr>
                <w:color w:val="404040"/>
                <w:spacing w:val="-3"/>
                <w:position w:val="1"/>
              </w:rPr>
              <w:t>-0.2%</w:t>
            </w:r>
            <w:r>
              <w:rPr>
                <w:color w:val="404040"/>
                <w:spacing w:val="12"/>
                <w:position w:val="1"/>
              </w:rPr>
              <w:t xml:space="preserve">   </w:t>
            </w:r>
            <w:r>
              <w:rPr>
                <w:color w:val="404040"/>
                <w:spacing w:val="-3"/>
                <w:position w:val="-16"/>
              </w:rPr>
              <w:t>-9.0%</w:t>
            </w:r>
            <w:r>
              <w:rPr>
                <w:color w:val="404040"/>
                <w:spacing w:val="12"/>
                <w:position w:val="-16"/>
              </w:rPr>
              <w:t xml:space="preserve">   </w:t>
            </w:r>
            <w:r>
              <w:rPr>
                <w:color w:val="404040"/>
                <w:spacing w:val="-3"/>
              </w:rPr>
              <w:t>-1.5%    </w:t>
            </w:r>
            <w:r>
              <w:rPr>
                <w:color w:val="404040"/>
                <w:spacing w:val="-3"/>
                <w:position w:val="11"/>
              </w:rPr>
              <w:t>4.3%     </w:t>
            </w:r>
            <w:r>
              <w:rPr>
                <w:color w:val="404040"/>
                <w:spacing w:val="-3"/>
                <w:position w:val="10"/>
              </w:rPr>
              <w:t>3.7%</w:t>
            </w:r>
          </w:p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82" w:line="20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2015</w:t>
            </w:r>
            <w:r>
              <w:rPr>
                <w:sz w:val="19"/>
                <w:szCs w:val="19"/>
                <w:b/>
                <w:bCs/>
                <w:spacing w:val="2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2016</w:t>
            </w:r>
            <w:r>
              <w:rPr>
                <w:sz w:val="19"/>
                <w:szCs w:val="19"/>
                <w:b/>
                <w:bCs/>
                <w:spacing w:val="2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2017</w:t>
            </w:r>
            <w:r>
              <w:rPr>
                <w:sz w:val="19"/>
                <w:szCs w:val="19"/>
                <w:b/>
                <w:bCs/>
                <w:spacing w:val="1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2018</w:t>
            </w:r>
            <w:r>
              <w:rPr>
                <w:sz w:val="19"/>
                <w:szCs w:val="19"/>
                <w:b/>
                <w:bCs/>
                <w:spacing w:val="1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2019</w:t>
            </w:r>
            <w:r>
              <w:rPr>
                <w:sz w:val="19"/>
                <w:szCs w:val="19"/>
                <w:b/>
                <w:bCs/>
                <w:spacing w:val="1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2020</w:t>
            </w:r>
            <w:r>
              <w:rPr>
                <w:sz w:val="19"/>
                <w:szCs w:val="19"/>
                <w:b/>
                <w:bCs/>
                <w:spacing w:val="1"/>
                <w:position w:val="-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3"/>
                <w:position w:val="-1"/>
              </w:rPr>
              <w:t>2021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93"/>
              <w:spacing w:before="50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40%</w:t>
            </w:r>
          </w:p>
          <w:p>
            <w:pPr>
              <w:pStyle w:val="TableText"/>
              <w:ind w:left="102"/>
              <w:spacing w:before="152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20%</w:t>
            </w:r>
          </w:p>
          <w:p>
            <w:pPr>
              <w:pStyle w:val="TableText"/>
              <w:ind w:left="99"/>
              <w:spacing w:before="152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0%</w:t>
            </w:r>
          </w:p>
          <w:p>
            <w:pPr>
              <w:pStyle w:val="TableText"/>
              <w:ind w:left="105"/>
              <w:spacing w:before="152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-20%</w:t>
            </w:r>
          </w:p>
        </w:tc>
      </w:tr>
    </w:tbl>
    <w:p>
      <w:pPr>
        <w:ind w:left="1288"/>
        <w:spacing w:before="272" w:line="230" w:lineRule="auto"/>
        <w:outlineLvl w:val="3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2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</w:rPr>
        <w:t>海康威视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2015～2021年人均创收变化</w:t>
      </w:r>
      <w:r>
        <w:rPr>
          <w:rFonts w:ascii="KaiTi" w:hAnsi="KaiTi" w:eastAsia="KaiTi" w:cs="KaiTi"/>
          <w:sz w:val="15"/>
          <w:szCs w:val="15"/>
          <w:position w:val="14"/>
        </w:rPr>
        <w:t>7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．持续研发创新：扩充产品品类，拓展研发资源</w:t>
      </w:r>
    </w:p>
    <w:p>
      <w:pPr>
        <w:pStyle w:val="BodyText"/>
        <w:ind w:left="25" w:right="12" w:firstLine="599"/>
        <w:spacing w:before="324" w:line="258" w:lineRule="auto"/>
        <w:jc w:val="both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2075293</wp:posOffset>
            </wp:positionH>
            <wp:positionV relativeFrom="paragraph">
              <wp:posOffset>2891840</wp:posOffset>
            </wp:positionV>
            <wp:extent cx="85179" cy="76793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79" cy="76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海康威视持续推动产品研发创新，智能家居、机器人、热成</w:t>
      </w:r>
      <w:r>
        <w:rPr/>
        <w:t>像等创新业务均保持高速增长，在售产品型号近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/>
        <w:t>万个</w:t>
      </w:r>
      <w:hyperlink w:history="true" w:anchor="bookmark1">
        <w:r>
          <w:rPr>
            <w:rFonts w:ascii="Times New Roman" w:hAnsi="Times New Roman" w:eastAsia="Times New Roman" w:cs="Times New Roman"/>
          </w:rPr>
          <w:t>5</w:t>
        </w:r>
      </w:hyperlink>
      <w:r>
        <w:rPr/>
        <w:t>，逐步</w:t>
      </w:r>
      <w:r>
        <w:rPr>
          <w:spacing w:val="-3"/>
        </w:rPr>
        <w:t>从可见光扩展到远红外、</w:t>
      </w:r>
      <w:r>
        <w:rPr>
          <w:rFonts w:ascii="Times New Roman" w:hAnsi="Times New Roman" w:eastAsia="Times New Roman" w:cs="Times New Roman"/>
          <w:spacing w:val="-3"/>
        </w:rPr>
        <w:t>X </w:t>
      </w:r>
      <w:r>
        <w:rPr>
          <w:spacing w:val="-3"/>
        </w:rPr>
        <w:t>光、毫米波等</w:t>
      </w:r>
      <w:r>
        <w:rPr>
          <w:spacing w:val="-4"/>
        </w:rPr>
        <w:t>波段，在满足用户碎片</w:t>
      </w:r>
      <w:r>
        <w:rPr>
          <w:spacing w:val="-6"/>
        </w:rPr>
        <w:t>化需求方面具有较大竞争优势。在保证每年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10%</w:t>
      </w:r>
      <w:r>
        <w:rPr>
          <w:spacing w:val="-6"/>
        </w:rPr>
        <w:t>左右稳定的研发</w:t>
      </w:r>
      <w:r>
        <w:rPr>
          <w:spacing w:val="-4"/>
        </w:rPr>
        <w:t>投入前提下，推动创新业务子公司上市，进一步加大研发资源投</w:t>
      </w:r>
      <w:r>
        <w:rPr>
          <w:spacing w:val="-1"/>
        </w:rPr>
        <w:t>入。海康威视八大创新业务中，萤石网络已于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2022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</w:t>
      </w:r>
      <w:r>
        <w:rPr>
          <w:spacing w:val="-2"/>
        </w:rPr>
        <w:t>底科创板</w:t>
      </w:r>
      <w:r>
        <w:rPr>
          <w:spacing w:val="-5"/>
        </w:rPr>
        <w:t>上市，海康机器人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年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5"/>
        </w:rPr>
        <w:t>月提交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IPO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-5"/>
        </w:rPr>
        <w:t>申请。其中，萤石网络</w:t>
      </w:r>
      <w:r>
        <w:rPr>
          <w:spacing w:val="-5"/>
        </w:rPr>
        <w:t>募集资金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37.4 </w:t>
      </w:r>
      <w:r>
        <w:rPr>
          <w:spacing w:val="-5"/>
        </w:rPr>
        <w:t>亿，</w:t>
      </w:r>
      <w:r>
        <w:rPr>
          <w:rFonts w:ascii="Times New Roman" w:hAnsi="Times New Roman" w:eastAsia="Times New Roman" w:cs="Times New Roman"/>
          <w:spacing w:val="-5"/>
        </w:rPr>
        <w:t>40%</w:t>
      </w:r>
      <w:r>
        <w:rPr>
          <w:spacing w:val="-5"/>
        </w:rPr>
        <w:t>用于智能家居相关技术及产品研发；海康</w:t>
      </w:r>
      <w:r>
        <w:rPr>
          <w:spacing w:val="-2"/>
        </w:rPr>
        <w:t>机器人募集资金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亿，近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40%</w:t>
      </w:r>
      <w:r>
        <w:rPr>
          <w:spacing w:val="-2"/>
        </w:rPr>
        <w:t>的资金用于机器视觉等技术及平</w:t>
      </w:r>
      <w:r>
        <w:rPr>
          <w:spacing w:val="-14"/>
        </w:rPr>
        <w:t>台研发（见图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3</w:t>
      </w:r>
      <w:r>
        <w:rPr>
          <w:spacing w:val="-14"/>
        </w:rPr>
        <w:t>）。</w:t>
      </w:r>
    </w:p>
    <w:p>
      <w:pPr>
        <w:ind w:left="1636" w:right="5975" w:hanging="1085"/>
        <w:spacing w:before="38" w:line="183" w:lineRule="auto"/>
        <w:rPr>
          <w:rFonts w:ascii="Microsoft YaHei" w:hAnsi="Microsoft YaHei" w:eastAsia="Microsoft YaHei" w:cs="Microsoft YaHei"/>
          <w:sz w:val="10"/>
          <w:szCs w:val="10"/>
        </w:rPr>
      </w:pPr>
      <w:r>
        <w:pict>
          <v:shape id="_x0000_s18" style="position:absolute;margin-left:293.966pt;margin-top:3.05144pt;mso-position-vertical-relative:text;mso-position-horizontal-relative:text;width:92.4pt;height:15.2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8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7F5F52"/>
                      <w:spacing w:val="10"/>
                    </w:rPr>
                    <w:t>人工智能技术与工业软件平台研发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7F5F52"/>
                      <w:spacing w:val="7"/>
                    </w:rPr>
                    <w:t>投入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7F5F52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7"/>
                    </w:rPr>
                    <w:t>: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7"/>
                    </w:rPr>
                    <w:t>7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7"/>
                    </w:rPr>
                    <w:t>.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7F5F52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7F5F52"/>
                      <w:spacing w:val="7"/>
                    </w:rPr>
                    <w:t>62亿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3086106</wp:posOffset>
            </wp:positionH>
            <wp:positionV relativeFrom="paragraph">
              <wp:posOffset>25505</wp:posOffset>
            </wp:positionV>
            <wp:extent cx="85233" cy="76551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33" cy="76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1685824</wp:posOffset>
            </wp:positionH>
            <wp:positionV relativeFrom="paragraph">
              <wp:posOffset>81459</wp:posOffset>
            </wp:positionV>
            <wp:extent cx="193912" cy="55437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912" cy="55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1531734</wp:posOffset>
            </wp:positionH>
            <wp:positionV relativeFrom="paragraph">
              <wp:posOffset>33734</wp:posOffset>
            </wp:positionV>
            <wp:extent cx="501270" cy="185484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270" cy="185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3379550</wp:posOffset>
            </wp:positionH>
            <wp:positionV relativeFrom="paragraph">
              <wp:posOffset>116896</wp:posOffset>
            </wp:positionV>
            <wp:extent cx="190680" cy="56255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80" cy="562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1"/>
          <w:szCs w:val="11"/>
          <w:color w:val="E19825"/>
          <w:spacing w:val="9"/>
        </w:rPr>
        <w:t>萤石智能家居产品产业化基地项目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6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27"/>
        </w:rPr>
        <w:t xml:space="preserve">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:</w:t>
      </w:r>
      <w:r>
        <w:rPr>
          <w:rFonts w:ascii="Arial" w:hAnsi="Arial" w:eastAsia="Arial" w:cs="Arial"/>
          <w:sz w:val="10"/>
          <w:szCs w:val="10"/>
          <w:color w:val="E19825"/>
          <w:spacing w:val="1"/>
        </w:rPr>
        <w:t xml:space="preserve"> 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3</w:t>
      </w:r>
      <w:r>
        <w:rPr>
          <w:rFonts w:ascii="Arial" w:hAnsi="Arial" w:eastAsia="Arial" w:cs="Arial"/>
          <w:sz w:val="10"/>
          <w:szCs w:val="10"/>
          <w:color w:val="E19825"/>
          <w:spacing w:val="-12"/>
        </w:rPr>
        <w:t xml:space="preserve">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E19825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6"/>
        </w:rPr>
        <w:t>38亿</w:t>
      </w:r>
    </w:p>
    <w:p>
      <w:pPr>
        <w:ind w:left="5899" w:right="280"/>
        <w:spacing w:before="178" w:line="183" w:lineRule="auto"/>
        <w:rPr>
          <w:rFonts w:ascii="Microsoft YaHei" w:hAnsi="Microsoft YaHei" w:eastAsia="Microsoft YaHei" w:cs="Microsoft YaHei"/>
          <w:sz w:val="10"/>
          <w:szCs w:val="10"/>
        </w:rPr>
      </w:pPr>
      <w:r>
        <w:pict>
          <v:shape id="_x0000_s20" style="position:absolute;margin-left:178.01pt;margin-top:5.89783pt;mso-position-vertical-relative:text;mso-position-horizontal-relative:text;width:56.85pt;height:22.8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2" w:right="20" w:hanging="383"/>
                    <w:spacing w:before="19" w:line="24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A5300F"/>
                    </w:rPr>
                    <w:t>AI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A5300F"/>
                      <w:spacing w:val="19"/>
                    </w:rPr>
                    <w:t>技术相关投入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A5300F"/>
                      <w:spacing w:val="1"/>
                    </w:rPr>
                    <w:t>40%</w:t>
                  </w:r>
                </w:p>
              </w:txbxContent>
            </v:textbox>
          </v:shape>
        </w:pict>
      </w:r>
      <w:r>
        <w:pict>
          <v:shape id="_x0000_s22" style="position:absolute;margin-left:32.4772pt;margin-top:5.31473pt;mso-position-vertical-relative:text;mso-position-horizontal-relative:text;width:86.4pt;height:39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5" w:right="20" w:hanging="965"/>
                    <w:spacing w:before="20" w:line="18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D55816"/>
                      <w:spacing w:val="9"/>
                    </w:rPr>
                    <w:t>智能家居核心关键技术研发项目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D55816"/>
                      <w:spacing w:val="7"/>
                    </w:rPr>
                    <w:t>投入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D55816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7"/>
                    </w:rPr>
                    <w:t>: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7"/>
                    </w:rPr>
                    <w:t>3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7"/>
                    </w:rPr>
                    <w:t>.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D55816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D55816"/>
                      <w:spacing w:val="7"/>
                    </w:rPr>
                    <w:t>91亿</w:t>
                  </w:r>
                </w:p>
                <w:p>
                  <w:pPr>
                    <w:ind w:left="985" w:right="20" w:hanging="603"/>
                    <w:spacing w:before="204" w:line="18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A5300F"/>
                      <w:spacing w:val="9"/>
                    </w:rPr>
                    <w:t>新一代物联网云平台项目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A5300F"/>
                      <w:spacing w:val="7"/>
                    </w:rPr>
                    <w:t>投入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A5300F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7"/>
                    </w:rPr>
                    <w:t>: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7"/>
                    </w:rPr>
                    <w:t>8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7"/>
                    </w:rPr>
                    <w:t>.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color w:val="A5300F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A5300F"/>
                      <w:spacing w:val="7"/>
                    </w:rPr>
                    <w:t>01亿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1"/>
          <w:szCs w:val="11"/>
          <w:color w:val="E19825"/>
          <w:spacing w:val="9"/>
        </w:rPr>
        <w:t>新</w:t>
      </w:r>
      <w:r>
        <w:rPr>
          <w:rFonts w:ascii="Microsoft YaHei" w:hAnsi="Microsoft YaHei" w:eastAsia="Microsoft YaHei" w:cs="Microsoft YaHei"/>
          <w:sz w:val="11"/>
          <w:szCs w:val="11"/>
          <w:color w:val="E1982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trike/>
          <w:color w:val="E19825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1"/>
          <w:szCs w:val="11"/>
          <w:color w:val="E1982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E19825"/>
          <w:spacing w:val="9"/>
        </w:rPr>
        <w:t>代机器视觉感知技术与产品研发项目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6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29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:</w:t>
      </w:r>
      <w:r>
        <w:rPr>
          <w:rFonts w:ascii="Arial" w:hAnsi="Arial" w:eastAsia="Arial" w:cs="Arial"/>
          <w:sz w:val="10"/>
          <w:szCs w:val="10"/>
          <w:color w:val="E19825"/>
          <w:spacing w:val="1"/>
        </w:rPr>
        <w:t xml:space="preserve"> 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7</w:t>
      </w:r>
      <w:r>
        <w:rPr>
          <w:rFonts w:ascii="Arial" w:hAnsi="Arial" w:eastAsia="Arial" w:cs="Arial"/>
          <w:sz w:val="10"/>
          <w:szCs w:val="10"/>
          <w:color w:val="E19825"/>
          <w:spacing w:val="-13"/>
        </w:rPr>
        <w:t xml:space="preserve"> </w:t>
      </w:r>
      <w:r>
        <w:rPr>
          <w:rFonts w:ascii="Arial" w:hAnsi="Arial" w:eastAsia="Arial" w:cs="Arial"/>
          <w:sz w:val="10"/>
          <w:szCs w:val="10"/>
          <w:color w:val="E19825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E1982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E19825"/>
          <w:spacing w:val="6"/>
        </w:rPr>
        <w:t>77亿</w:t>
      </w:r>
    </w:p>
    <w:p>
      <w:pPr>
        <w:ind w:left="5899" w:right="159"/>
        <w:spacing w:before="89" w:line="183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1"/>
          <w:szCs w:val="11"/>
          <w:color w:val="D55816"/>
          <w:spacing w:val="9"/>
        </w:rPr>
        <w:t>新</w:t>
      </w:r>
      <w:r>
        <w:rPr>
          <w:rFonts w:ascii="Microsoft YaHei" w:hAnsi="Microsoft YaHei" w:eastAsia="Microsoft YaHei" w:cs="Microsoft YaHei"/>
          <w:sz w:val="11"/>
          <w:szCs w:val="11"/>
          <w:color w:val="D55816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trike/>
          <w:color w:val="D55816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1"/>
          <w:szCs w:val="11"/>
          <w:color w:val="D55816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D55816"/>
          <w:spacing w:val="9"/>
        </w:rPr>
        <w:t>代移动机器人平台技术与产品研发项目</w:t>
      </w:r>
      <w:r>
        <w:rPr>
          <w:rFonts w:ascii="Microsoft YaHei" w:hAnsi="Microsoft YaHei" w:eastAsia="Microsoft YaHei" w:cs="Microsoft YaHei"/>
          <w:sz w:val="10"/>
          <w:szCs w:val="10"/>
          <w:color w:val="D55816"/>
          <w:spacing w:val="6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D55816"/>
          <w:spacing w:val="28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color w:val="D55816"/>
          <w:spacing w:val="6"/>
        </w:rPr>
        <w:t>:</w:t>
      </w:r>
      <w:r>
        <w:rPr>
          <w:rFonts w:ascii="Arial" w:hAnsi="Arial" w:eastAsia="Arial" w:cs="Arial"/>
          <w:sz w:val="10"/>
          <w:szCs w:val="10"/>
          <w:color w:val="D55816"/>
          <w:spacing w:val="2"/>
        </w:rPr>
        <w:t xml:space="preserve">  </w:t>
      </w:r>
      <w:r>
        <w:rPr>
          <w:rFonts w:ascii="Arial" w:hAnsi="Arial" w:eastAsia="Arial" w:cs="Arial"/>
          <w:sz w:val="10"/>
          <w:szCs w:val="10"/>
          <w:color w:val="D55816"/>
          <w:spacing w:val="6"/>
        </w:rPr>
        <w:t>8</w:t>
      </w:r>
      <w:r>
        <w:rPr>
          <w:rFonts w:ascii="Arial" w:hAnsi="Arial" w:eastAsia="Arial" w:cs="Arial"/>
          <w:sz w:val="10"/>
          <w:szCs w:val="10"/>
          <w:color w:val="D55816"/>
          <w:spacing w:val="-15"/>
        </w:rPr>
        <w:t xml:space="preserve"> </w:t>
      </w:r>
      <w:r>
        <w:rPr>
          <w:rFonts w:ascii="Arial" w:hAnsi="Arial" w:eastAsia="Arial" w:cs="Arial"/>
          <w:sz w:val="10"/>
          <w:szCs w:val="10"/>
          <w:color w:val="D55816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D55816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D55816"/>
          <w:spacing w:val="6"/>
        </w:rPr>
        <w:t>31亿</w:t>
      </w:r>
    </w:p>
    <w:p>
      <w:pPr>
        <w:ind w:left="5899" w:right="522"/>
        <w:spacing w:before="148" w:line="170" w:lineRule="auto"/>
        <w:rPr>
          <w:rFonts w:ascii="Microsoft YaHei" w:hAnsi="Microsoft YaHei" w:eastAsia="Microsoft YaHei" w:cs="Microsoft YaHei"/>
          <w:sz w:val="10"/>
          <w:szCs w:val="10"/>
        </w:rPr>
      </w:pPr>
      <w:r>
        <w:pict>
          <v:shape id="_x0000_s24" style="position:absolute;margin-left:265.106pt;margin-top:14.3376pt;mso-position-vertical-relative:text;mso-position-horizontal-relative:text;width:17.05pt;height:8.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404040"/>
                    </w:rPr>
                    <w:t>19%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1"/>
          <w:szCs w:val="11"/>
          <w:color w:val="999999"/>
          <w:spacing w:val="9"/>
        </w:rPr>
        <w:t>海康机器人产品产业化基地建设项目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6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28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: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 xml:space="preserve"> 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11</w:t>
      </w:r>
      <w:r>
        <w:rPr>
          <w:rFonts w:ascii="Arial" w:hAnsi="Arial" w:eastAsia="Arial" w:cs="Arial"/>
          <w:sz w:val="10"/>
          <w:szCs w:val="10"/>
          <w:color w:val="999999"/>
          <w:spacing w:val="-13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9999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6"/>
        </w:rPr>
        <w:t>66亿</w:t>
      </w:r>
    </w:p>
    <w:p>
      <w:pPr>
        <w:ind w:left="1542" w:right="5997" w:hanging="650"/>
        <w:spacing w:before="2" w:line="176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1"/>
          <w:szCs w:val="11"/>
          <w:color w:val="999999"/>
          <w:spacing w:val="9"/>
        </w:rPr>
        <w:t>萤石智能制造重庆基地项目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7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29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:</w:t>
      </w:r>
      <w:r>
        <w:rPr>
          <w:rFonts w:ascii="Arial" w:hAnsi="Arial" w:eastAsia="Arial" w:cs="Arial"/>
          <w:sz w:val="10"/>
          <w:szCs w:val="10"/>
          <w:color w:val="999999"/>
          <w:spacing w:val="1"/>
        </w:rPr>
        <w:t xml:space="preserve"> 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22</w:t>
      </w:r>
      <w:r>
        <w:rPr>
          <w:rFonts w:ascii="Arial" w:hAnsi="Arial" w:eastAsia="Arial" w:cs="Arial"/>
          <w:sz w:val="10"/>
          <w:szCs w:val="10"/>
          <w:color w:val="999999"/>
          <w:spacing w:val="-12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.</w:t>
      </w:r>
      <w:r>
        <w:rPr>
          <w:rFonts w:ascii="Arial" w:hAnsi="Arial" w:eastAsia="Arial" w:cs="Arial"/>
          <w:sz w:val="10"/>
          <w:szCs w:val="10"/>
          <w:color w:val="99999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7"/>
        </w:rPr>
        <w:t>01亿</w:t>
      </w:r>
    </w:p>
    <w:p>
      <w:pPr>
        <w:ind w:left="5914" w:right="1697"/>
        <w:spacing w:before="44" w:line="184" w:lineRule="auto"/>
        <w:rPr>
          <w:rFonts w:ascii="Microsoft YaHei" w:hAnsi="Microsoft YaHei" w:eastAsia="Microsoft YaHei" w:cs="Microsoft YaHei"/>
          <w:sz w:val="10"/>
          <w:szCs w:val="10"/>
        </w:rPr>
      </w:pPr>
      <w:r>
        <w:pict>
          <v:shape id="_x0000_s26" style="position:absolute;margin-left:265.106pt;margin-top:6.40516pt;mso-position-vertical-relative:text;mso-position-horizontal-relative:text;width:17.05pt;height:8.1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9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404040"/>
                    </w:rPr>
                    <w:t>16%</w:t>
                  </w:r>
                </w:p>
              </w:txbxContent>
            </v:textbox>
          </v:shape>
        </w:pict>
      </w:r>
      <w:r>
        <w:pict>
          <v:shape id="_x0000_s28" style="position:absolute;margin-left:132.001pt;margin-top:12.042pt;mso-position-vertical-relative:text;mso-position-horizontal-relative:text;width:17.05pt;height:8.1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404040"/>
                      <w:spacing w:val="6"/>
                    </w:rPr>
                    <w:t>59%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1"/>
          <w:szCs w:val="11"/>
          <w:color w:val="999999"/>
          <w:spacing w:val="10"/>
        </w:rPr>
        <w:t>补充流动资金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7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22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:</w:t>
      </w:r>
      <w:r>
        <w:rPr>
          <w:rFonts w:ascii="Arial" w:hAnsi="Arial" w:eastAsia="Arial" w:cs="Arial"/>
          <w:sz w:val="10"/>
          <w:szCs w:val="10"/>
          <w:color w:val="999999"/>
          <w:spacing w:val="1"/>
        </w:rPr>
        <w:t xml:space="preserve"> 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9</w:t>
      </w:r>
      <w:r>
        <w:rPr>
          <w:rFonts w:ascii="Arial" w:hAnsi="Arial" w:eastAsia="Arial" w:cs="Arial"/>
          <w:sz w:val="10"/>
          <w:szCs w:val="10"/>
          <w:color w:val="999999"/>
          <w:spacing w:val="-13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7"/>
        </w:rPr>
        <w:t>.</w:t>
      </w:r>
      <w:r>
        <w:rPr>
          <w:rFonts w:ascii="Arial" w:hAnsi="Arial" w:eastAsia="Arial" w:cs="Arial"/>
          <w:sz w:val="10"/>
          <w:szCs w:val="10"/>
          <w:color w:val="99999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7"/>
        </w:rPr>
        <w:t>30亿</w:t>
      </w:r>
    </w:p>
    <w:p>
      <w:pPr>
        <w:ind w:left="5899" w:right="401"/>
        <w:spacing w:before="174" w:line="165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2"/>
          <w:szCs w:val="12"/>
          <w:color w:val="999999"/>
          <w:spacing w:val="-2"/>
        </w:rPr>
        <w:t>海康机器人智能制造</w:t>
      </w:r>
      <w:r>
        <w:rPr>
          <w:rFonts w:ascii="Microsoft YaHei" w:hAnsi="Microsoft YaHei" w:eastAsia="Microsoft YaHei" w:cs="Microsoft YaHei"/>
          <w:sz w:val="12"/>
          <w:szCs w:val="12"/>
          <w:color w:val="999999"/>
          <w:spacing w:val="26"/>
        </w:rPr>
        <w:t xml:space="preserve"> </w:t>
      </w:r>
      <w:r>
        <w:rPr>
          <w:rFonts w:ascii="Arial" w:hAnsi="Arial" w:eastAsia="Arial" w:cs="Arial"/>
          <w:sz w:val="12"/>
          <w:szCs w:val="12"/>
          <w:color w:val="999999"/>
          <w:spacing w:val="-2"/>
        </w:rPr>
        <w:t>(</w:t>
      </w:r>
      <w:r>
        <w:rPr>
          <w:rFonts w:ascii="Arial" w:hAnsi="Arial" w:eastAsia="Arial" w:cs="Arial"/>
          <w:sz w:val="12"/>
          <w:szCs w:val="12"/>
          <w:color w:val="99999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999999"/>
          <w:spacing w:val="-2"/>
        </w:rPr>
        <w:t>桐庐</w:t>
      </w:r>
      <w:r>
        <w:rPr>
          <w:rFonts w:ascii="Microsoft YaHei" w:hAnsi="Microsoft YaHei" w:eastAsia="Microsoft YaHei" w:cs="Microsoft YaHei"/>
          <w:sz w:val="12"/>
          <w:szCs w:val="12"/>
          <w:color w:val="999999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  <w:color w:val="999999"/>
          <w:spacing w:val="-2"/>
        </w:rPr>
        <w:t>)</w:t>
      </w:r>
      <w:r>
        <w:rPr>
          <w:rFonts w:ascii="Arial" w:hAnsi="Arial" w:eastAsia="Arial" w:cs="Arial"/>
          <w:sz w:val="12"/>
          <w:szCs w:val="12"/>
          <w:color w:val="99999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999999"/>
          <w:spacing w:val="-2"/>
        </w:rPr>
        <w:t>基地项目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6"/>
        </w:rPr>
        <w:t>投入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27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: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 xml:space="preserve"> 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15</w:t>
      </w:r>
      <w:r>
        <w:rPr>
          <w:rFonts w:ascii="Arial" w:hAnsi="Arial" w:eastAsia="Arial" w:cs="Arial"/>
          <w:sz w:val="10"/>
          <w:szCs w:val="10"/>
          <w:color w:val="999999"/>
          <w:spacing w:val="-13"/>
        </w:rPr>
        <w:t xml:space="preserve"> </w:t>
      </w:r>
      <w:r>
        <w:rPr>
          <w:rFonts w:ascii="Arial" w:hAnsi="Arial" w:eastAsia="Arial" w:cs="Arial"/>
          <w:sz w:val="10"/>
          <w:szCs w:val="10"/>
          <w:color w:val="999999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9999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999999"/>
          <w:spacing w:val="6"/>
        </w:rPr>
        <w:t>34亿</w:t>
      </w:r>
    </w:p>
    <w:p>
      <w:pPr>
        <w:ind w:left="5316"/>
        <w:spacing w:line="161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3221790</wp:posOffset>
            </wp:positionH>
            <wp:positionV relativeFrom="paragraph">
              <wp:posOffset>-1586739</wp:posOffset>
            </wp:positionV>
            <wp:extent cx="501270" cy="185484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270" cy="185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404040"/>
          <w:spacing w:val="1"/>
        </w:rPr>
        <w:t>26%</w:t>
      </w:r>
    </w:p>
    <w:p>
      <w:pPr>
        <w:spacing w:line="39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1154507</wp:posOffset>
            </wp:positionH>
            <wp:positionV relativeFrom="paragraph">
              <wp:posOffset>190659</wp:posOffset>
            </wp:positionV>
            <wp:extent cx="2946163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61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58"/>
        <w:spacing w:before="48" w:line="118" w:lineRule="exact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spacing w:val="15"/>
        </w:rPr>
        <w:t>萤石网络</w:t>
      </w:r>
      <w:r>
        <w:rPr>
          <w:rFonts w:ascii="Microsoft YaHei" w:hAnsi="Microsoft YaHei" w:eastAsia="Microsoft YaHei" w:cs="Microsoft YaHei"/>
          <w:sz w:val="11"/>
          <w:szCs w:val="11"/>
        </w:rPr>
        <w:t>IPO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                     </w:t>
      </w:r>
      <w:r>
        <w:rPr>
          <w:rFonts w:ascii="Microsoft YaHei" w:hAnsi="Microsoft YaHei" w:eastAsia="Microsoft YaHei" w:cs="Microsoft YaHei"/>
          <w:sz w:val="11"/>
          <w:szCs w:val="11"/>
        </w:rPr>
        <w:t xml:space="preserve">                                    </w:t>
      </w:r>
      <w:r>
        <w:rPr>
          <w:rFonts w:ascii="Microsoft YaHei" w:hAnsi="Microsoft YaHei" w:eastAsia="Microsoft YaHei" w:cs="Microsoft YaHei"/>
          <w:sz w:val="11"/>
          <w:szCs w:val="11"/>
          <w:spacing w:val="15"/>
        </w:rPr>
        <w:t>海康机器人</w:t>
      </w:r>
      <w:r>
        <w:rPr>
          <w:rFonts w:ascii="Microsoft YaHei" w:hAnsi="Microsoft YaHei" w:eastAsia="Microsoft YaHei" w:cs="Microsoft YaHei"/>
          <w:sz w:val="11"/>
          <w:szCs w:val="11"/>
        </w:rPr>
        <w:t>IPO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>
        <w:pict>
          <v:shape id="_x0000_s30" style="position:absolute;margin-left:0.72599pt;margin-top:9.74726pt;mso-position-vertical-relative:text;mso-position-horizontal-relative:text;width:144.05pt;height:0.5pt;z-index:251676672;" fillcolor="#000000" filled="true" stroked="false" coordsize="2881,10" coordorigin="0,0" path="m0,9l2880,9l2880,0l0,0l0,9xe"/>
        </w:pict>
      </w:r>
      <w:r/>
    </w:p>
    <w:p>
      <w:pPr>
        <w:ind w:left="22"/>
        <w:spacing w:before="90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5"/>
        </w:rPr>
        <w:t>7</w:t>
      </w:r>
      <w:r>
        <w:rPr>
          <w:rFonts w:ascii="Microsoft YaHei" w:hAnsi="Microsoft YaHei" w:eastAsia="Microsoft YaHei" w:cs="Microsoft YaHei"/>
          <w:sz w:val="13"/>
          <w:szCs w:val="13"/>
          <w:spacing w:val="16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根据海康威视 2015-2018 年度报告整理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，人均创收</w:t>
      </w:r>
      <w:r>
        <w:rPr>
          <w:rFonts w:ascii="Microsoft YaHei" w:hAnsi="Microsoft YaHei" w:eastAsia="Microsoft YaHei" w:cs="Microsoft YaHei"/>
          <w:sz w:val="21"/>
          <w:szCs w:val="2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=营业收入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/总人数</w:t>
      </w:r>
    </w:p>
    <w:p>
      <w:pPr>
        <w:spacing w:line="199" w:lineRule="auto"/>
        <w:sectPr>
          <w:headerReference w:type="default" r:id="rId6"/>
          <w:pgSz w:w="11907" w:h="16839"/>
          <w:pgMar w:top="400" w:right="1785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763"/>
        <w:spacing w:before="98" w:line="232" w:lineRule="auto"/>
        <w:outlineLvl w:val="3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5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3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萤石网络及海康机器人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IPO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募集资金投入情况</w:t>
      </w:r>
      <w:r>
        <w:rPr>
          <w:rFonts w:ascii="KaiTi" w:hAnsi="KaiTi" w:eastAsia="KaiTi" w:cs="KaiTi"/>
          <w:sz w:val="15"/>
          <w:szCs w:val="15"/>
          <w:spacing w:val="-6"/>
          <w:position w:val="14"/>
        </w:rPr>
        <w:t>8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三、加强</w:t>
      </w:r>
      <w:r>
        <w:rPr>
          <w:rFonts w:ascii="SimHei" w:hAnsi="SimHei" w:eastAsia="SimHei" w:cs="SimHei"/>
          <w:sz w:val="31"/>
          <w:szCs w:val="31"/>
          <w:spacing w:val="-6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5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能力的启示及建议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．规范算法及软硬件产品研发体系</w:t>
      </w:r>
    </w:p>
    <w:p>
      <w:pPr>
        <w:pStyle w:val="BodyText"/>
        <w:ind w:left="25" w:right="13" w:firstLine="605"/>
        <w:spacing w:before="321" w:line="259" w:lineRule="auto"/>
        <w:jc w:val="both"/>
        <w:rPr/>
      </w:pPr>
      <w:r>
        <w:rPr>
          <w:spacing w:val="-10"/>
        </w:rPr>
        <w:t>一是统一软件平台接口、算法框架、数据标准， 并构建研发</w:t>
      </w:r>
      <w:r>
        <w:rPr>
          <w:spacing w:val="-4"/>
        </w:rPr>
        <w:t>规范说明文档，降低算法部署难度和二次适配工作量。二是打造</w:t>
      </w:r>
      <w:r>
        <w:rPr>
          <w:spacing w:val="-4"/>
        </w:rPr>
        <w:t>全集团统一的数据处理、模型训练、部署等覆盖产品研发各环节</w:t>
      </w:r>
      <w:r>
        <w:rPr>
          <w:spacing w:val="-4"/>
        </w:rPr>
        <w:t>的生产工具链，提升研发效率。三是构建全集团统一的代码组件</w:t>
      </w:r>
      <w:r>
        <w:rPr>
          <w:spacing w:val="-9"/>
        </w:rPr>
        <w:t>库，整合省公司、专业公司、研究院等机构代码组件， 供后续类</w:t>
      </w:r>
      <w:r>
        <w:rPr>
          <w:spacing w:val="-4"/>
        </w:rPr>
        <w:t>似场景二次利用，降低重复研发。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．加强本地研发支撑的专业化能力</w:t>
      </w:r>
    </w:p>
    <w:p>
      <w:pPr>
        <w:pStyle w:val="BodyText"/>
        <w:ind w:left="27" w:right="13" w:firstLine="603"/>
        <w:spacing w:before="325" w:line="259" w:lineRule="auto"/>
        <w:jc w:val="both"/>
        <w:rPr/>
      </w:pPr>
      <w:r>
        <w:rPr>
          <w:spacing w:val="-5"/>
        </w:rPr>
        <w:t>一是以大区或省为单位构建区域研发支撑团队，配备算法研</w:t>
      </w:r>
      <w:r>
        <w:rPr>
          <w:spacing w:val="-9"/>
        </w:rPr>
        <w:t>发、软件工程、硬件适配等研发技术人员， 快速响应本地需求定</w:t>
      </w:r>
      <w:r>
        <w:rPr>
          <w:spacing w:val="-4"/>
        </w:rPr>
        <w:t>制和企业驻场支撑。二是在集团统一的研发规范指导下，面向省</w:t>
      </w:r>
      <w:r>
        <w:rPr>
          <w:spacing w:val="-4"/>
        </w:rPr>
        <w:t>公司开放部分产品研发立项自主决策和经营权，缩短从市场需求</w:t>
      </w:r>
      <w:r>
        <w:rPr>
          <w:spacing w:val="-4"/>
        </w:rPr>
        <w:t>到技术研发再到产品创新流程。三是集团对省公司、专业公司自</w:t>
      </w:r>
      <w:r>
        <w:rPr>
          <w:spacing w:val="-4"/>
        </w:rPr>
        <w:t>主研发产品进行集约管理，并打通省公司间、省公司与专业公司</w:t>
      </w:r>
      <w:r>
        <w:rPr>
          <w:spacing w:val="-8"/>
        </w:rPr>
        <w:t>间产品、代码组件等模块的横向调用渠道，</w:t>
      </w:r>
      <w:r>
        <w:rPr>
          <w:spacing w:val="-36"/>
        </w:rPr>
        <w:t xml:space="preserve"> </w:t>
      </w:r>
      <w:r>
        <w:rPr>
          <w:spacing w:val="-8"/>
        </w:rPr>
        <w:t>按调用频次等进行结</w:t>
      </w:r>
      <w:r>
        <w:rPr>
          <w:spacing w:val="-6"/>
        </w:rPr>
        <w:t>算，鼓励模块复用。</w:t>
      </w:r>
    </w:p>
    <w:p>
      <w:pPr>
        <w:pStyle w:val="BodyText"/>
        <w:ind w:left="62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．聚焦主营业务推动产品持续创新</w:t>
      </w:r>
    </w:p>
    <w:p>
      <w:pPr>
        <w:pStyle w:val="BodyText"/>
        <w:ind w:left="25" w:right="12" w:firstLine="605"/>
        <w:spacing w:before="318" w:line="259" w:lineRule="auto"/>
        <w:rPr/>
      </w:pPr>
      <w:r>
        <w:rPr>
          <w:spacing w:val="-1"/>
        </w:rPr>
        <w:t>一方面，基于计算机视觉、智能语音等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成熟技术，丰富</w:t>
      </w:r>
      <w:r>
        <w:rPr>
          <w:spacing w:val="-4"/>
        </w:rPr>
        <w:t>智能家居领域的音视频智能终端产品品类，如门锁、摄像头、门</w:t>
      </w:r>
      <w:r>
        <w:rPr>
          <w:spacing w:val="-12"/>
        </w:rPr>
        <w:t>铃、音箱、小家电等。在边缘侧，</w:t>
      </w:r>
      <w:r>
        <w:rPr>
          <w:spacing w:val="78"/>
        </w:rPr>
        <w:t xml:space="preserve"> </w:t>
      </w:r>
      <w:r>
        <w:rPr>
          <w:spacing w:val="-12"/>
        </w:rPr>
        <w:t>重点发展网关、边缘一体机等</w:t>
      </w:r>
      <w:r>
        <w:rPr>
          <w:spacing w:val="-14"/>
        </w:rPr>
        <w:t>产品的数据清洗、筛选、标注、整合等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4"/>
        </w:rPr>
        <w:t>DataOps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14"/>
        </w:rPr>
        <w:t>能力，实现语音、</w:t>
      </w:r>
      <w:r>
        <w:rPr>
          <w:spacing w:val="-9"/>
        </w:rPr>
        <w:t>视频数据按需汇聚，减轻云端数据处理压力。在云端， 储备基于</w:t>
      </w:r>
      <w:r>
        <w:rPr>
          <w:spacing w:val="-8"/>
        </w:rPr>
        <w:t>业务场景的知识图谱、标签画像和算法模型，</w:t>
      </w:r>
      <w:r>
        <w:rPr>
          <w:spacing w:val="-34"/>
        </w:rPr>
        <w:t xml:space="preserve"> </w:t>
      </w:r>
      <w:r>
        <w:rPr>
          <w:spacing w:val="-8"/>
        </w:rPr>
        <w:t>实现视频专网及平</w:t>
      </w:r>
      <w:r>
        <w:rPr>
          <w:spacing w:val="-4"/>
        </w:rPr>
        <w:t>台、语音平台、办公平台等云端平台算力算法智能调度、数据智</w:t>
      </w:r>
    </w:p>
    <w:p>
      <w:pPr>
        <w:spacing w:line="430" w:lineRule="auto"/>
        <w:rPr>
          <w:rFonts w:ascii="Arial"/>
          <w:sz w:val="21"/>
        </w:rPr>
      </w:pPr>
      <w:r>
        <w:pict>
          <v:shape id="_x0000_s32" style="position:absolute;margin-left:0.72599pt;margin-top:15.0434pt;mso-position-vertical-relative:text;mso-position-horizontal-relative:text;width:144.05pt;height:0.5pt;z-index:251677696;" fillcolor="#000000" filled="true" stroked="false" coordsize="2881,10" coordorigin="0,0" path="m0,9l2880,9l2880,0l0,0l0,9xe"/>
        </w:pict>
      </w:r>
      <w:r/>
    </w:p>
    <w:p>
      <w:pPr>
        <w:ind w:left="21"/>
        <w:spacing w:before="91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13"/>
          <w:szCs w:val="13"/>
          <w:spacing w:val="-1"/>
          <w:position w:val="5"/>
        </w:rPr>
        <w:t>8</w:t>
      </w:r>
      <w:r>
        <w:rPr>
          <w:rFonts w:ascii="Microsoft YaHei" w:hAnsi="Microsoft YaHei" w:eastAsia="Microsoft YaHei" w:cs="Microsoft YaHei"/>
          <w:sz w:val="13"/>
          <w:szCs w:val="13"/>
          <w:spacing w:val="16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根据萤石网络 IPO 招股说明书、海康机器人 IPO 招股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说明书整理</w:t>
      </w:r>
    </w:p>
    <w:p>
      <w:pPr>
        <w:spacing w:line="200" w:lineRule="auto"/>
        <w:sectPr>
          <w:headerReference w:type="default" r:id="rId5"/>
          <w:pgSz w:w="11907" w:h="16839"/>
          <w:pgMar w:top="400" w:right="1785" w:bottom="0" w:left="1785" w:header="0" w:footer="0" w:gutter="0"/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 w:right="14" w:firstLine="12"/>
        <w:spacing w:before="97" w:line="260" w:lineRule="auto"/>
        <w:jc w:val="both"/>
        <w:rPr/>
      </w:pPr>
      <w:r>
        <w:rPr>
          <w:spacing w:val="-4"/>
        </w:rPr>
        <w:t>能可视化分析挖掘等认知智能功能。另一方</w:t>
      </w:r>
      <w:r>
        <w:rPr>
          <w:spacing w:val="-5"/>
        </w:rPr>
        <w:t>面，增强专业公司市</w:t>
      </w:r>
      <w:r>
        <w:rPr>
          <w:spacing w:val="-4"/>
        </w:rPr>
        <w:t>场化能力，以“成熟一个、上市一个”为目标，借助上市、引入</w:t>
      </w:r>
      <w:r>
        <w:rPr>
          <w:spacing w:val="-3"/>
        </w:rPr>
        <w:t>战投等多种方式加强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 </w:t>
      </w:r>
      <w:r>
        <w:rPr>
          <w:spacing w:val="-3"/>
        </w:rPr>
        <w:t>研发资源投入。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15" w:right="194" w:firstLine="580"/>
        <w:spacing w:before="91" w:line="281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李一明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高级工程师，在移动业务市场、商业模式研究方面有</w:t>
      </w:r>
      <w:r>
        <w:rPr>
          <w:rFonts w:ascii="KaiTi" w:hAnsi="KaiTi" w:eastAsia="KaiTi" w:cs="KaiTi"/>
          <w:sz w:val="28"/>
          <w:szCs w:val="28"/>
        </w:rPr>
        <w:t>超过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25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年的项目经历，近年专注于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5G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行业应用、工业互联网等</w:t>
      </w:r>
      <w:r>
        <w:rPr>
          <w:rFonts w:ascii="KaiTi" w:hAnsi="KaiTi" w:eastAsia="KaiTi" w:cs="KaiTi"/>
          <w:sz w:val="28"/>
          <w:szCs w:val="28"/>
          <w:spacing w:val="-8"/>
        </w:rPr>
        <w:t>方面的研究。【18918588667】</w:t>
      </w:r>
    </w:p>
    <w:p>
      <w:pPr>
        <w:ind w:left="594"/>
        <w:spacing w:before="263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王晓娣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硕士，专注于人工智能、工业互联网等领域技术及产</w:t>
      </w:r>
    </w:p>
    <w:p>
      <w:pPr>
        <w:ind w:left="38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5"/>
        </w:rPr>
        <w:t>业研究工作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04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张媛玥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北京师范大学心理学硕士，中级经济</w:t>
      </w:r>
      <w:r>
        <w:rPr>
          <w:rFonts w:ascii="KaiTi" w:hAnsi="KaiTi" w:eastAsia="KaiTi" w:cs="KaiTi"/>
          <w:sz w:val="28"/>
          <w:szCs w:val="28"/>
          <w:spacing w:val="-2"/>
        </w:rPr>
        <w:t>师，专注于人工</w:t>
      </w:r>
    </w:p>
    <w:p>
      <w:pPr>
        <w:ind w:left="31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智能、工业互联网等数字技术及产业研究工作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595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李国钦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硕士，中级经济师，情报中心科研人员，聚焦产业数</w:t>
      </w:r>
    </w:p>
    <w:p>
      <w:pPr>
        <w:ind w:left="34"/>
        <w:spacing w:before="100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字化和卫健等领域，从事行业洞察研究等相关工作。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" style="position:absolute;margin-left:153.72pt;margin-top:158.52pt;mso-position-vertical-relative:page;mso-position-horizontal-relative:page;width:279.85pt;height:84.4pt;z-index:-251658240;" o:allowincell="f" fillcolor="#A7430F" filled="true" stroked="false" type="#_x0000_t136">
          <v:textpath style="font-family:&quot;Arial&quot;;font-size:84;v-text-kern:t;mso-text-shadow:auto" string="ll l l l l l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2023-04-17T17:48:21Z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2025-11-04T15:54:52</vt:filetime>
  </property>
</Properties>
</file>