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14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生成式人工智能管理办法解读</w:t>
      </w:r>
    </w:p>
    <w:p>
      <w:pPr>
        <w:ind w:left="2190"/>
        <w:spacing w:before="96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及中国电信发展建议</w:t>
      </w:r>
    </w:p>
    <w:p>
      <w:pPr>
        <w:ind w:left="3457"/>
        <w:spacing w:before="331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樊启明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6" w:firstLine="629"/>
        <w:spacing w:before="97" w:line="332" w:lineRule="auto"/>
        <w:jc w:val="both"/>
        <w:rPr/>
      </w:pPr>
      <w:r>
        <w:rPr>
          <w:spacing w:val="-6"/>
        </w:rPr>
        <w:t>习近平总书记在主持召开中共中央政治局会议时指出：“要</w:t>
      </w:r>
      <w:r>
        <w:rPr>
          <w:spacing w:val="-4"/>
        </w:rPr>
        <w:t>重视通用人工智能发展，营造创新生态，重视防范风</w:t>
      </w:r>
      <w:r>
        <w:rPr>
          <w:spacing w:val="-5"/>
        </w:rPr>
        <w:t>险。”在人</w:t>
      </w:r>
      <w:r>
        <w:rPr>
          <w:spacing w:val="-5"/>
        </w:rPr>
        <w:t>工智能治理的法律法规层面，我国先后颁布《关于加强互联网信</w:t>
      </w:r>
      <w:r>
        <w:rPr>
          <w:spacing w:val="-4"/>
        </w:rPr>
        <w:t>息服务算法综合治理的指导意见》《关于加强</w:t>
      </w:r>
      <w:r>
        <w:rPr>
          <w:spacing w:val="-5"/>
        </w:rPr>
        <w:t>科技伦理治理的意</w:t>
      </w:r>
      <w:r>
        <w:rPr>
          <w:spacing w:val="-14"/>
        </w:rPr>
        <w:t>见》，明确了“建立治理机制健全、监管体系</w:t>
      </w:r>
      <w:r>
        <w:rPr>
          <w:spacing w:val="-15"/>
        </w:rPr>
        <w:t>完善、算法生态规范</w:t>
      </w:r>
      <w:r>
        <w:rPr>
          <w:spacing w:val="-13"/>
        </w:rPr>
        <w:t>的算法安全综合治理格局”的算法治理目标。</w:t>
      </w:r>
      <w:r>
        <w:rPr>
          <w:rFonts w:ascii="Times New Roman" w:hAnsi="Times New Roman" w:eastAsia="Times New Roman" w:cs="Times New Roman"/>
          <w:spacing w:val="-13"/>
        </w:rPr>
        <w:t>2023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3"/>
        </w:rPr>
        <w:t>年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7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3"/>
        </w:rPr>
        <w:t>月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10  </w:t>
      </w:r>
      <w:r>
        <w:rPr>
          <w:spacing w:val="-13"/>
        </w:rPr>
        <w:t>日，</w:t>
      </w:r>
      <w:r>
        <w:rPr>
          <w:spacing w:val="-5"/>
        </w:rPr>
        <w:t>国家网信办联合七部委公布了《生成式人工智能</w:t>
      </w:r>
      <w:r>
        <w:rPr>
          <w:spacing w:val="-6"/>
        </w:rPr>
        <w:t>服务管理暂行办</w:t>
      </w:r>
      <w:r>
        <w:rPr>
          <w:spacing w:val="-18"/>
        </w:rPr>
        <w:t>法》（下文简称《办法》</w:t>
      </w:r>
      <w:r>
        <w:rPr>
          <w:spacing w:val="-49"/>
          <w:w w:val="59"/>
        </w:rPr>
        <w:t>），</w:t>
      </w:r>
      <w:r>
        <w:rPr>
          <w:spacing w:val="-18"/>
        </w:rPr>
        <w:t>《办法》自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2023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18"/>
        </w:rPr>
        <w:t>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8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18"/>
        </w:rPr>
        <w:t>月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15  </w:t>
      </w:r>
      <w:r>
        <w:rPr>
          <w:spacing w:val="-18"/>
        </w:rPr>
        <w:t>日起施行，</w:t>
      </w:r>
      <w:r>
        <w:rPr>
          <w:spacing w:val="-5"/>
        </w:rPr>
        <w:t>成为全球首部针对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AIGC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监管的法律文件。</w:t>
      </w:r>
    </w:p>
    <w:p>
      <w:pPr>
        <w:pStyle w:val="BodyText"/>
        <w:ind w:left="36" w:right="91" w:firstLine="598"/>
        <w:spacing w:before="283" w:line="334" w:lineRule="auto"/>
        <w:jc w:val="both"/>
        <w:rPr/>
      </w:pPr>
      <w:r>
        <w:rPr>
          <w:spacing w:val="-5"/>
        </w:rPr>
        <w:t>本文对《办法》的监管原则、关键要点和主题方向进行了详</w:t>
      </w:r>
      <w:r>
        <w:rPr>
          <w:spacing w:val="-4"/>
        </w:rPr>
        <w:t>细解读，为中国电信在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AIGC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4"/>
        </w:rPr>
        <w:t>领域优化布局体系</w:t>
      </w:r>
      <w:r>
        <w:rPr>
          <w:spacing w:val="-5"/>
        </w:rPr>
        <w:t>、强化治理能力</w:t>
      </w:r>
      <w:r>
        <w:rPr>
          <w:spacing w:val="-8"/>
        </w:rPr>
        <w:t>提供战略参考。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一、《办法》关键要点梳理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41" w:right="100" w:firstLine="595"/>
        <w:spacing w:before="98" w:line="276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．坚持发展和安全并重，对生成式人工智能服务实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行包容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审慎和分类分级监管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5" w:right="102" w:firstLine="602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《办法》弱化了《征求意见稿》强调监管的基调。《办法》明</w:t>
      </w:r>
      <w:r>
        <w:rPr>
          <w:rFonts w:ascii="SimSun" w:hAnsi="SimSun" w:eastAsia="SimSun" w:cs="SimSun"/>
          <w:sz w:val="30"/>
          <w:szCs w:val="30"/>
          <w:spacing w:val="-4"/>
        </w:rPr>
        <w:t>确了“对生成式人工智能服务实行包容审慎和分类分级</w:t>
      </w:r>
      <w:r>
        <w:rPr>
          <w:rFonts w:ascii="SimSun" w:hAnsi="SimSun" w:eastAsia="SimSun" w:cs="SimSun"/>
          <w:sz w:val="30"/>
          <w:szCs w:val="30"/>
          <w:spacing w:val="-5"/>
        </w:rPr>
        <w:t>监管”，</w:t>
      </w:r>
      <w:r>
        <w:rPr>
          <w:rFonts w:ascii="SimSun" w:hAnsi="SimSun" w:eastAsia="SimSun" w:cs="SimSun"/>
          <w:sz w:val="30"/>
          <w:szCs w:val="30"/>
          <w:spacing w:val="7"/>
        </w:rPr>
        <w:t>在一定程度上借鉴了欧美等国人工智能法案之中根</w:t>
      </w:r>
      <w:r>
        <w:rPr>
          <w:rFonts w:ascii="SimSun" w:hAnsi="SimSun" w:eastAsia="SimSun" w:cs="SimSun"/>
          <w:sz w:val="30"/>
          <w:szCs w:val="30"/>
          <w:spacing w:val="6"/>
        </w:rPr>
        <w:t>据风险分类</w:t>
      </w:r>
    </w:p>
    <w:p>
      <w:pPr>
        <w:spacing w:line="334" w:lineRule="auto"/>
        <w:sectPr>
          <w:pgSz w:w="11907" w:h="16839"/>
          <w:pgMar w:top="1431" w:right="170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9"/>
        <w:spacing w:before="18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分级管理的原则。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31" w:right="106" w:firstLine="599"/>
        <w:spacing w:before="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如欧盟《人工智能法案》将人工智能系统分为不可接受的风</w:t>
      </w:r>
      <w:r>
        <w:rPr>
          <w:rFonts w:ascii="SimSun" w:hAnsi="SimSun" w:eastAsia="SimSun" w:cs="SimSun"/>
          <w:sz w:val="30"/>
          <w:szCs w:val="30"/>
          <w:spacing w:val="-7"/>
        </w:rPr>
        <w:t>险、高风险、有限风险和低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轻微风险四类，针对不同级别的人工</w:t>
      </w:r>
      <w:r>
        <w:rPr>
          <w:rFonts w:ascii="SimSun" w:hAnsi="SimSun" w:eastAsia="SimSun" w:cs="SimSun"/>
          <w:sz w:val="30"/>
          <w:szCs w:val="30"/>
          <w:spacing w:val="-4"/>
        </w:rPr>
        <w:t>智能系统设置了不同的合规要求，如高风险类型的人工智能系统</w:t>
      </w:r>
      <w:r>
        <w:rPr>
          <w:rFonts w:ascii="SimSun" w:hAnsi="SimSun" w:eastAsia="SimSun" w:cs="SimSun"/>
          <w:sz w:val="30"/>
          <w:szCs w:val="30"/>
          <w:spacing w:val="-3"/>
        </w:rPr>
        <w:t>是欧盟法案的监管重点，规定了的全流程风险管理措施。</w:t>
      </w:r>
    </w:p>
    <w:p>
      <w:pPr>
        <w:ind w:left="1058"/>
        <w:spacing w:before="174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欧盟人工智能法案的监管框架及监管措施</w:t>
      </w:r>
    </w:p>
    <w:p>
      <w:pPr>
        <w:pStyle w:val="BodyText"/>
        <w:ind w:firstLine="618"/>
        <w:spacing w:before="101" w:line="455" w:lineRule="exact"/>
        <w:rPr/>
      </w:pPr>
      <w:r>
        <w:rPr>
          <w:position w:val="-9"/>
        </w:rPr>
        <w:pict>
          <v:group id="_x0000_s2" style="mso-position-vertical-relative:line;mso-position-horizontal-relative:char;width:354.45pt;height:22.75pt;" filled="false" stroked="false" coordsize="7089,455" coordorigin="0,0">
            <v:shape id="_x0000_s4" style="position:absolute;left:0;top:0;width:7089;height:455;" filled="false" stroked="false" type="#_x0000_t75">
              <v:imagedata o:title="" r:id="rId1"/>
            </v:shape>
            <v:shape id="_x0000_s6" style="position:absolute;left:-20;top:-20;width:7129;height: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3"/>
                      <w:spacing w:before="138" w:line="225" w:lineRule="auto"/>
                      <w:rPr>
                        <w:rFonts w:ascii="FangSong" w:hAnsi="FangSong" w:eastAsia="FangSong" w:cs="FangSong"/>
                        <w:sz w:val="20"/>
                        <w:szCs w:val="20"/>
                      </w:rPr>
                    </w:pP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color w:val="FFFFFF"/>
                        <w:spacing w:val="5"/>
                      </w:rPr>
                      <w:t>人工智能系统风险划分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color w:val="FFFFFF"/>
                        <w:spacing w:val="5"/>
                      </w:rPr>
                      <w:t xml:space="preserve">       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color w:val="FFFFFF"/>
                        <w:spacing w:val="5"/>
                      </w:rPr>
                      <w:t>合规要求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color w:val="FFFFFF"/>
                        <w:spacing w:val="2"/>
                      </w:rPr>
                      <w:t xml:space="preserve">            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color w:val="FFFFFF"/>
                        <w:spacing w:val="5"/>
                      </w:rPr>
                      <w:t>具体对象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33"/>
        <w:spacing w:before="217" w:line="224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不可接受的风险</w:t>
      </w:r>
      <w:r>
        <w:rPr>
          <w:sz w:val="18"/>
          <w:szCs w:val="18"/>
          <w:spacing w:val="3"/>
        </w:rPr>
        <w:t xml:space="preserve">                 </w:t>
      </w:r>
      <w:r>
        <w:rPr>
          <w:sz w:val="18"/>
          <w:szCs w:val="18"/>
          <w:spacing w:val="1"/>
        </w:rPr>
        <w:t>禁用</w:t>
      </w:r>
      <w:r>
        <w:rPr>
          <w:sz w:val="18"/>
          <w:szCs w:val="18"/>
          <w:spacing w:val="1"/>
        </w:rPr>
        <w:t xml:space="preserve">         </w:t>
      </w:r>
      <w:r>
        <w:rPr>
          <w:sz w:val="18"/>
          <w:szCs w:val="18"/>
          <w:spacing w:val="1"/>
        </w:rPr>
        <w:t>严重侵犯基本人权或违反欧</w:t>
      </w:r>
    </w:p>
    <w:p>
      <w:pPr>
        <w:pStyle w:val="BodyText"/>
        <w:ind w:left="6111"/>
        <w:spacing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盟价值观</w:t>
      </w:r>
    </w:p>
    <w:p>
      <w:pPr>
        <w:spacing w:line="250" w:lineRule="auto"/>
        <w:rPr>
          <w:rFonts w:ascii="Arial"/>
          <w:sz w:val="21"/>
        </w:rPr>
      </w:pPr>
      <w:r>
        <w:pict>
          <v:shape id="_x0000_s8" style="position:absolute;margin-left:43.157pt;margin-top:8.91199pt;mso-position-vertical-relative:text;mso-position-horizontal-relative:text;width:339.25pt;height:0.65pt;z-index:251660288;" filled="false" strokecolor="#BFBFBF" strokeweight="0.65pt" coordsize="6785,12" coordorigin="0,0" path="m6,6l6777,6e">
            <v:stroke endcap="round" miterlimit="10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772"/>
        <w:spacing w:before="58" w:line="202" w:lineRule="auto"/>
        <w:rPr>
          <w:sz w:val="18"/>
          <w:szCs w:val="18"/>
        </w:rPr>
      </w:pPr>
      <w:r>
        <w:pict>
          <v:shape id="_x0000_s10" style="position:absolute;margin-left:43.157pt;margin-top:39.2004pt;mso-position-vertical-relative:text;mso-position-horizontal-relative:text;width:339.25pt;height:0.65pt;z-index:251659264;" filled="false" strokecolor="#BFBFBF" strokeweight="0.65pt" coordsize="6785,12" coordorigin="0,0" path="m6,6l6777,6e">
            <v:stroke endcap="round" miterlimit="10"/>
          </v:shape>
        </w:pict>
      </w:r>
      <w:r>
        <w:pict>
          <v:shape id="_x0000_s12" style="position:absolute;margin-left:269.576pt;margin-top:12.8598pt;mso-position-vertical-relative:text;mso-position-horizontal-relative:text;width:110.55pt;height:12.8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设施的管理和运营、教育等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  <w:position w:val="-3"/>
        </w:rPr>
        <w:t>高风险</w:t>
      </w:r>
      <w:r>
        <w:rPr>
          <w:sz w:val="18"/>
          <w:szCs w:val="18"/>
          <w:spacing w:val="-1"/>
          <w:position w:val="-3"/>
        </w:rPr>
        <w:t xml:space="preserve">                   </w:t>
      </w:r>
      <w:r>
        <w:rPr>
          <w:sz w:val="18"/>
          <w:szCs w:val="18"/>
          <w:spacing w:val="-1"/>
          <w:position w:val="-8"/>
        </w:rPr>
        <w:t>重点监管</w:t>
      </w:r>
      <w:r>
        <w:rPr>
          <w:sz w:val="18"/>
          <w:szCs w:val="18"/>
          <w:spacing w:val="12"/>
          <w:position w:val="-8"/>
        </w:rPr>
        <w:t xml:space="preserve">       </w:t>
      </w:r>
      <w:r>
        <w:rPr>
          <w:sz w:val="18"/>
          <w:szCs w:val="18"/>
          <w:spacing w:val="-1"/>
          <w:position w:val="3"/>
        </w:rPr>
        <w:t>生物识别和分类、关键基础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pgSz w:w="11907" w:h="16839"/>
          <w:pgMar w:top="1431" w:right="1692" w:bottom="0" w:left="1785" w:header="0" w:footer="0" w:gutter="0"/>
          <w:cols w:equalWidth="0" w:num="1">
            <w:col w:w="8428" w:space="0"/>
          </w:cols>
        </w:sectPr>
        <w:rPr/>
      </w:pPr>
    </w:p>
    <w:p>
      <w:pPr>
        <w:pStyle w:val="BodyText"/>
        <w:ind w:left="1672"/>
        <w:spacing w:before="136" w:line="221" w:lineRule="auto"/>
        <w:rPr>
          <w:sz w:val="18"/>
          <w:szCs w:val="18"/>
        </w:rPr>
      </w:pPr>
      <w:r>
        <w:rPr>
          <w:sz w:val="18"/>
          <w:szCs w:val="18"/>
        </w:rPr>
        <w:t>有限风险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48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较高自由度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1" w:right="846" w:hanging="91"/>
        <w:spacing w:before="34" w:line="225" w:lineRule="auto"/>
        <w:rPr>
          <w:sz w:val="18"/>
          <w:szCs w:val="18"/>
        </w:rPr>
      </w:pPr>
      <w:r>
        <w:rPr>
          <w:sz w:val="18"/>
          <w:szCs w:val="18"/>
        </w:rPr>
        <w:t>包括常见的聊天机器人、文</w:t>
      </w:r>
      <w:r>
        <w:rPr>
          <w:sz w:val="18"/>
          <w:szCs w:val="18"/>
        </w:rPr>
        <w:t>字和图片识别及生成软件</w:t>
      </w:r>
    </w:p>
    <w:p>
      <w:pPr>
        <w:spacing w:line="225" w:lineRule="auto"/>
        <w:sectPr>
          <w:type w:val="continuous"/>
          <w:pgSz w:w="11907" w:h="16839"/>
          <w:pgMar w:top="1431" w:right="1692" w:bottom="0" w:left="1785" w:header="0" w:footer="0" w:gutter="0"/>
          <w:cols w:equalWidth="0" w:num="3">
            <w:col w:w="3810" w:space="100"/>
            <w:col w:w="1410" w:space="100"/>
            <w:col w:w="3009" w:space="0"/>
          </w:cols>
        </w:sectPr>
        <w:rPr>
          <w:sz w:val="18"/>
          <w:szCs w:val="18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9" w:right="107" w:firstLine="597"/>
        <w:spacing w:before="98" w:line="33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《办法》更加突出行业监管的特性，第十六条规定，“网信、</w:t>
      </w:r>
      <w:r>
        <w:rPr>
          <w:rFonts w:ascii="SimSun" w:hAnsi="SimSun" w:eastAsia="SimSun" w:cs="SimSun"/>
          <w:sz w:val="30"/>
          <w:szCs w:val="30"/>
          <w:spacing w:val="-4"/>
        </w:rPr>
        <w:t>发展改革、教育、科技、工业和信息化、公安、广播电视、新闻</w:t>
      </w:r>
      <w:r>
        <w:rPr>
          <w:rFonts w:ascii="SimSun" w:hAnsi="SimSun" w:eastAsia="SimSun" w:cs="SimSun"/>
          <w:sz w:val="30"/>
          <w:szCs w:val="30"/>
          <w:spacing w:val="-4"/>
        </w:rPr>
        <w:t>出版等部门，依据各自职责依法加强对生成式人工智能服务的管</w:t>
      </w:r>
      <w:r>
        <w:rPr>
          <w:rFonts w:ascii="SimSun" w:hAnsi="SimSun" w:eastAsia="SimSun" w:cs="SimSun"/>
          <w:sz w:val="30"/>
          <w:szCs w:val="30"/>
          <w:spacing w:val="-6"/>
        </w:rPr>
        <w:t>理”。</w:t>
      </w:r>
    </w:p>
    <w:p>
      <w:pPr>
        <w:ind w:left="16" w:firstLine="610"/>
        <w:spacing w:before="25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这种行业导向监管模式符合生成式人工智能的强技术属性，</w:t>
      </w:r>
      <w:r>
        <w:rPr>
          <w:rFonts w:ascii="SimSun" w:hAnsi="SimSun" w:eastAsia="SimSun" w:cs="SimSun"/>
          <w:sz w:val="30"/>
          <w:szCs w:val="30"/>
          <w:spacing w:val="7"/>
        </w:rPr>
        <w:t>基于各行业特点分类施策，有助于实现各个行业、各风险类别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AIGC </w:t>
      </w:r>
      <w:r>
        <w:rPr>
          <w:rFonts w:ascii="SimSun" w:hAnsi="SimSun" w:eastAsia="SimSun" w:cs="SimSun"/>
          <w:sz w:val="30"/>
          <w:szCs w:val="30"/>
          <w:spacing w:val="-7"/>
        </w:rPr>
        <w:t>服务的充分发展，同时也可针对性的控制其应用合规风险。</w:t>
      </w:r>
    </w:p>
    <w:p>
      <w:pPr>
        <w:ind w:left="28" w:right="105" w:firstLine="595"/>
        <w:spacing w:before="269" w:line="276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．明确适用对象和范围，适用于向境内公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众提供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AIGC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服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务，对大量垂直领域如科研、工业应用等场景排除适用范围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30"/>
        <w:spacing w:before="98" w:line="18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一是明确了适用对象，主要针对利用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AIGC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向中华人民共和</w:t>
      </w:r>
    </w:p>
    <w:p>
      <w:pPr>
        <w:spacing w:line="185" w:lineRule="auto"/>
        <w:sectPr>
          <w:type w:val="continuous"/>
          <w:pgSz w:w="11907" w:h="16839"/>
          <w:pgMar w:top="1431" w:right="1692" w:bottom="0" w:left="1785" w:header="0" w:footer="0" w:gutter="0"/>
          <w:cols w:equalWidth="0" w:num="1">
            <w:col w:w="8428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1" w:firstLine="30"/>
        <w:spacing w:before="185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国境内公众提供生成文本、图片、音频、视频等内容的服务。境</w:t>
      </w:r>
      <w:r>
        <w:rPr>
          <w:rFonts w:ascii="SimSun" w:hAnsi="SimSun" w:eastAsia="SimSun" w:cs="SimSun"/>
          <w:sz w:val="30"/>
          <w:szCs w:val="30"/>
          <w:spacing w:val="-10"/>
        </w:rPr>
        <w:t>外</w:t>
      </w:r>
      <w:r>
        <w:rPr>
          <w:rFonts w:ascii="SimSun" w:hAnsi="SimSun" w:eastAsia="SimSun" w:cs="SimSun"/>
          <w:sz w:val="30"/>
          <w:szCs w:val="30"/>
          <w:spacing w:val="-8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AIGC </w:t>
      </w:r>
      <w:r>
        <w:rPr>
          <w:rFonts w:ascii="SimSun" w:hAnsi="SimSun" w:eastAsia="SimSun" w:cs="SimSun"/>
          <w:sz w:val="30"/>
          <w:szCs w:val="30"/>
          <w:spacing w:val="-10"/>
        </w:rPr>
        <w:t>服务提供者，无论是直接向境内提供服务，</w:t>
      </w:r>
      <w:r>
        <w:rPr>
          <w:rFonts w:ascii="SimSun" w:hAnsi="SimSun" w:eastAsia="SimSun" w:cs="SimSun"/>
          <w:sz w:val="30"/>
          <w:szCs w:val="30"/>
          <w:spacing w:val="-11"/>
        </w:rPr>
        <w:t>还是通过</w:t>
      </w:r>
      <w:r>
        <w:rPr>
          <w:rFonts w:ascii="SimSun" w:hAnsi="SimSun" w:eastAsia="SimSun" w:cs="SimSun"/>
          <w:sz w:val="30"/>
          <w:szCs w:val="30"/>
          <w:spacing w:val="-8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API</w:t>
      </w:r>
      <w:r>
        <w:rPr>
          <w:rFonts w:ascii="SimSun" w:hAnsi="SimSun" w:eastAsia="SimSun" w:cs="SimSun"/>
          <w:sz w:val="30"/>
          <w:szCs w:val="30"/>
          <w:spacing w:val="-2"/>
        </w:rPr>
        <w:t>接口等方式间接提供服务，都将受限于管理办法的相关规定。</w:t>
      </w:r>
    </w:p>
    <w:p>
      <w:pPr>
        <w:ind w:left="26" w:right="10" w:firstLine="604"/>
        <w:spacing w:before="272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二是区分了“服务</w:t>
      </w:r>
      <w:r>
        <w:rPr>
          <w:rFonts w:ascii="SimSun" w:hAnsi="SimSun" w:eastAsia="SimSun" w:cs="SimSun"/>
          <w:sz w:val="30"/>
          <w:szCs w:val="30"/>
          <w:spacing w:val="-9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”与“技术”，《办法》</w:t>
      </w:r>
      <w:r>
        <w:rPr>
          <w:rFonts w:ascii="Times New Roman" w:hAnsi="Times New Roman" w:eastAsia="Times New Roman" w:cs="Times New Roman"/>
          <w:sz w:val="18"/>
          <w:szCs w:val="18"/>
          <w:spacing w:val="-16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16"/>
        </w:rPr>
        <w:t>重点突出了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AIGC</w:t>
      </w:r>
      <w:r>
        <w:rPr>
          <w:rFonts w:ascii="SimSun" w:hAnsi="SimSun" w:eastAsia="SimSun" w:cs="SimSun"/>
          <w:sz w:val="30"/>
          <w:szCs w:val="30"/>
          <w:spacing w:val="-4"/>
        </w:rPr>
        <w:t>服务应用层的信息内容安全，对模型及其相关技术作为基础设施</w:t>
      </w:r>
      <w:r>
        <w:rPr>
          <w:rFonts w:ascii="SimSun" w:hAnsi="SimSun" w:eastAsia="SimSun" w:cs="SimSun"/>
          <w:sz w:val="30"/>
          <w:szCs w:val="30"/>
          <w:spacing w:val="-3"/>
        </w:rPr>
        <w:t>的功能研发活动并不适用，鼓励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AIGC </w:t>
      </w:r>
      <w:r>
        <w:rPr>
          <w:rFonts w:ascii="SimSun" w:hAnsi="SimSun" w:eastAsia="SimSun" w:cs="SimSun"/>
          <w:sz w:val="30"/>
          <w:szCs w:val="30"/>
          <w:spacing w:val="-3"/>
        </w:rPr>
        <w:t>在多领域的探索应用，为</w:t>
      </w:r>
      <w:r>
        <w:rPr>
          <w:rFonts w:ascii="SimSun" w:hAnsi="SimSun" w:eastAsia="SimSun" w:cs="SimSun"/>
          <w:sz w:val="30"/>
          <w:szCs w:val="30"/>
          <w:spacing w:val="-2"/>
        </w:rPr>
        <w:t>人工智能领域的技术研发、应用保留了一定试错空间。</w:t>
      </w:r>
    </w:p>
    <w:p>
      <w:pPr>
        <w:ind w:left="26" w:right="12" w:firstLine="599"/>
        <w:spacing w:before="272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三是区分了“面向公众”和“面向非公众”，对面向非公</w:t>
      </w:r>
      <w:r>
        <w:rPr>
          <w:rFonts w:ascii="SimSun" w:hAnsi="SimSun" w:eastAsia="SimSun" w:cs="SimSun"/>
          <w:sz w:val="30"/>
          <w:szCs w:val="30"/>
          <w:spacing w:val="-16"/>
        </w:rPr>
        <w:t>众留</w:t>
      </w:r>
      <w:r>
        <w:rPr>
          <w:rFonts w:ascii="SimSun" w:hAnsi="SimSun" w:eastAsia="SimSun" w:cs="SimSun"/>
          <w:sz w:val="30"/>
          <w:szCs w:val="30"/>
          <w:spacing w:val="-3"/>
        </w:rPr>
        <w:t>有了一定的政策余地，为企业端落地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AIGC </w:t>
      </w:r>
      <w:r>
        <w:rPr>
          <w:rFonts w:ascii="SimSun" w:hAnsi="SimSun" w:eastAsia="SimSun" w:cs="SimSun"/>
          <w:sz w:val="30"/>
          <w:szCs w:val="30"/>
          <w:spacing w:val="-3"/>
        </w:rPr>
        <w:t>技术、赋能企业</w:t>
      </w:r>
      <w:r>
        <w:rPr>
          <w:rFonts w:ascii="SimSun" w:hAnsi="SimSun" w:eastAsia="SimSun" w:cs="SimSun"/>
          <w:sz w:val="30"/>
          <w:szCs w:val="30"/>
          <w:spacing w:val="-4"/>
        </w:rPr>
        <w:t>生产</w:t>
      </w:r>
      <w:r>
        <w:rPr>
          <w:rFonts w:ascii="SimSun" w:hAnsi="SimSun" w:eastAsia="SimSun" w:cs="SimSun"/>
          <w:sz w:val="30"/>
          <w:szCs w:val="30"/>
          <w:spacing w:val="-4"/>
        </w:rPr>
        <w:t>运营、提升产出效率提供了有效支持。</w:t>
      </w:r>
    </w:p>
    <w:p>
      <w:pPr>
        <w:ind w:left="31" w:right="22" w:firstLine="590"/>
        <w:spacing w:before="272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．以鼓励产业创新和发展为重，明晰生成式人工智能技术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发展路径和重点方向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25" w:right="13" w:firstLine="602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《办法》体现了国家对生成式人工智能产业发展的</w:t>
      </w:r>
      <w:r>
        <w:rPr>
          <w:rFonts w:ascii="SimSun" w:hAnsi="SimSun" w:eastAsia="SimSun" w:cs="SimSun"/>
          <w:sz w:val="30"/>
          <w:szCs w:val="30"/>
          <w:spacing w:val="-5"/>
        </w:rPr>
        <w:t>鼓励和支</w:t>
      </w:r>
      <w:r>
        <w:rPr>
          <w:rFonts w:ascii="SimSun" w:hAnsi="SimSun" w:eastAsia="SimSun" w:cs="SimSun"/>
          <w:sz w:val="30"/>
          <w:szCs w:val="30"/>
          <w:spacing w:val="-4"/>
        </w:rPr>
        <w:t>持，既为产业创新提供了政策导向和法律保障，又为产业监管提</w:t>
      </w:r>
      <w:r>
        <w:rPr>
          <w:rFonts w:ascii="SimSun" w:hAnsi="SimSun" w:eastAsia="SimSun" w:cs="SimSun"/>
          <w:sz w:val="30"/>
          <w:szCs w:val="30"/>
          <w:spacing w:val="-4"/>
        </w:rPr>
        <w:t>供了科学合理和平衡适度的框架。《办法》深入聚焦人工智能基</w:t>
      </w:r>
      <w:r>
        <w:rPr>
          <w:rFonts w:ascii="SimSun" w:hAnsi="SimSun" w:eastAsia="SimSun" w:cs="SimSun"/>
          <w:sz w:val="30"/>
          <w:szCs w:val="30"/>
          <w:spacing w:val="-4"/>
        </w:rPr>
        <w:t>础设施建设、理论和技术创新、重大应用场景、人才发展、产业</w:t>
      </w:r>
      <w:r>
        <w:rPr>
          <w:rFonts w:ascii="SimSun" w:hAnsi="SimSun" w:eastAsia="SimSun" w:cs="SimSun"/>
          <w:sz w:val="30"/>
          <w:szCs w:val="30"/>
          <w:spacing w:val="-4"/>
        </w:rPr>
        <w:t>链供应链生态体系等领域，服务人工智能产业的高质量发展。具</w:t>
      </w:r>
      <w:r>
        <w:rPr>
          <w:rFonts w:ascii="SimSun" w:hAnsi="SimSun" w:eastAsia="SimSun" w:cs="SimSun"/>
          <w:sz w:val="30"/>
          <w:szCs w:val="30"/>
          <w:spacing w:val="-15"/>
        </w:rPr>
        <w:t>体包括：</w:t>
      </w:r>
    </w:p>
    <w:p>
      <w:pPr>
        <w:ind w:left="28" w:right="13" w:firstLine="596"/>
        <w:spacing w:before="26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①算力基础设施：推动生成式人工智能基础设施和公共</w:t>
      </w:r>
      <w:r>
        <w:rPr>
          <w:rFonts w:ascii="SimSun" w:hAnsi="SimSun" w:eastAsia="SimSun" w:cs="SimSun"/>
          <w:sz w:val="30"/>
          <w:szCs w:val="30"/>
          <w:spacing w:val="-5"/>
        </w:rPr>
        <w:t>训练</w:t>
      </w:r>
      <w:r>
        <w:rPr>
          <w:rFonts w:ascii="SimSun" w:hAnsi="SimSun" w:eastAsia="SimSun" w:cs="SimSun"/>
          <w:sz w:val="30"/>
          <w:szCs w:val="30"/>
          <w:spacing w:val="-8"/>
        </w:rPr>
        <w:t>数据资源平台建设。促进算力资源协同共享，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提升算力资源利用</w:t>
      </w:r>
      <w:r>
        <w:rPr>
          <w:rFonts w:ascii="SimSun" w:hAnsi="SimSun" w:eastAsia="SimSun" w:cs="SimSun"/>
          <w:sz w:val="30"/>
          <w:szCs w:val="30"/>
          <w:spacing w:val="-8"/>
        </w:rPr>
        <w:t>效能。推动公共数据分类分级有序开放，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扩展高质量的公共训练</w:t>
      </w:r>
    </w:p>
    <w:p>
      <w:pPr>
        <w:spacing w:line="397" w:lineRule="auto"/>
        <w:rPr>
          <w:rFonts w:ascii="Arial"/>
          <w:sz w:val="21"/>
        </w:rPr>
      </w:pPr>
      <w:r>
        <w:pict>
          <v:shape id="_x0000_s14" style="position:absolute;margin-left:0.72599pt;margin-top:16.6235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/>
    </w:p>
    <w:p>
      <w:pPr>
        <w:ind w:left="26" w:right="10" w:hanging="4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0"/>
        </w:rPr>
        <w:t>1    </w:t>
      </w:r>
      <w:r>
        <w:rPr>
          <w:rFonts w:ascii="DengXian" w:hAnsi="DengXian" w:eastAsia="DengXian" w:cs="DengXian"/>
          <w:sz w:val="21"/>
          <w:szCs w:val="21"/>
          <w:spacing w:val="-3"/>
        </w:rPr>
        <w:t>引自原文“行业组织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、企业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、教育和</w:t>
      </w:r>
      <w:r>
        <w:rPr>
          <w:rFonts w:ascii="DengXian" w:hAnsi="DengXian" w:eastAsia="DengXian" w:cs="DengXian"/>
          <w:sz w:val="21"/>
          <w:szCs w:val="21"/>
          <w:spacing w:val="-4"/>
        </w:rPr>
        <w:t>科研机构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、公共文化机构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、有关专业机构等研发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、应</w:t>
      </w:r>
      <w:r>
        <w:rPr>
          <w:rFonts w:ascii="DengXian" w:hAnsi="DengXian" w:eastAsia="DengXian" w:cs="DengXian"/>
          <w:sz w:val="21"/>
          <w:szCs w:val="21"/>
          <w:spacing w:val="-1"/>
        </w:rPr>
        <w:t>用生成式人工智能技术</w:t>
      </w:r>
      <w:r>
        <w:rPr>
          <w:rFonts w:ascii="DengXian" w:hAnsi="DengXian" w:eastAsia="DengXian" w:cs="DengXian"/>
          <w:sz w:val="21"/>
          <w:szCs w:val="21"/>
          <w:spacing w:val="-2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，未向境内公众提供生成式人工智能服务的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，不适用本办法的规定</w:t>
      </w:r>
      <w:r>
        <w:rPr>
          <w:rFonts w:ascii="DengXian" w:hAnsi="DengXian" w:eastAsia="DengXian" w:cs="DengXian"/>
          <w:sz w:val="21"/>
          <w:szCs w:val="21"/>
          <w:spacing w:val="-4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”</w:t>
      </w:r>
    </w:p>
    <w:p>
      <w:pPr>
        <w:spacing w:line="243" w:lineRule="auto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8"/>
        <w:spacing w:before="18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数据资源；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5" w:right="13" w:firstLine="598"/>
        <w:spacing w:before="98" w:line="27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②理论和技术创新：鼓励生成式人工智能算法、框架、芯片</w:t>
      </w:r>
      <w:r>
        <w:rPr>
          <w:rFonts w:ascii="SimSun" w:hAnsi="SimSun" w:eastAsia="SimSun" w:cs="SimSun"/>
          <w:sz w:val="30"/>
          <w:szCs w:val="30"/>
          <w:spacing w:val="-5"/>
        </w:rPr>
        <w:t>及配套软件平台等基础技术的自主创新；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26" w:right="15" w:firstLine="597"/>
        <w:spacing w:before="98" w:line="27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③应用场景：鼓励生成式人工智能技术在各行业、各领</w:t>
      </w:r>
      <w:r>
        <w:rPr>
          <w:rFonts w:ascii="SimSun" w:hAnsi="SimSun" w:eastAsia="SimSun" w:cs="SimSun"/>
          <w:sz w:val="30"/>
          <w:szCs w:val="30"/>
          <w:spacing w:val="-5"/>
        </w:rPr>
        <w:t>域的</w:t>
      </w:r>
      <w:r>
        <w:rPr>
          <w:rFonts w:ascii="SimSun" w:hAnsi="SimSun" w:eastAsia="SimSun" w:cs="SimSun"/>
          <w:sz w:val="30"/>
          <w:szCs w:val="30"/>
          <w:spacing w:val="-4"/>
        </w:rPr>
        <w:t>创新应用，探索优化应用场景，构建应用生态体系；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5" w:right="15" w:firstLine="598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④生态体系：支持行业组织、企业、教育和科研机构</w:t>
      </w:r>
      <w:r>
        <w:rPr>
          <w:rFonts w:ascii="SimSun" w:hAnsi="SimSun" w:eastAsia="SimSun" w:cs="SimSun"/>
          <w:sz w:val="30"/>
          <w:szCs w:val="30"/>
          <w:spacing w:val="-5"/>
        </w:rPr>
        <w:t>、公共</w:t>
      </w:r>
      <w:r>
        <w:rPr>
          <w:rFonts w:ascii="SimSun" w:hAnsi="SimSun" w:eastAsia="SimSun" w:cs="SimSun"/>
          <w:sz w:val="30"/>
          <w:szCs w:val="30"/>
          <w:spacing w:val="-4"/>
        </w:rPr>
        <w:t>文化机构、有关专业机构等在生成式人工智能技术创新、数据资</w:t>
      </w:r>
      <w:r>
        <w:rPr>
          <w:rFonts w:ascii="SimSun" w:hAnsi="SimSun" w:eastAsia="SimSun" w:cs="SimSun"/>
          <w:sz w:val="30"/>
          <w:szCs w:val="30"/>
          <w:spacing w:val="-3"/>
        </w:rPr>
        <w:t>源建设、转化应用、风险防范等方面开展协作。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8" w:right="22" w:firstLine="595"/>
        <w:spacing w:before="98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．搭建人工智能全生命周期监管体系，对数据、算法等业</w:t>
      </w:r>
      <w:r>
        <w:rPr>
          <w:rFonts w:ascii="SimSun" w:hAnsi="SimSun" w:eastAsia="SimSun" w:cs="SimSun"/>
          <w:sz w:val="30"/>
          <w:szCs w:val="30"/>
          <w:b/>
          <w:bCs/>
          <w:spacing w:val="17"/>
        </w:rPr>
        <w:t>务适度“松绑”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26" w:right="13" w:firstLine="604"/>
        <w:spacing w:before="98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一是放宽了对于训练数据质量的要求。《办法》在《征求意</w:t>
      </w:r>
      <w:r>
        <w:rPr>
          <w:rFonts w:ascii="SimSun" w:hAnsi="SimSun" w:eastAsia="SimSun" w:cs="SimSun"/>
          <w:sz w:val="30"/>
          <w:szCs w:val="30"/>
          <w:spacing w:val="-4"/>
        </w:rPr>
        <w:t>见稿》提出的训练数据“真实性、准确性、客观性、多样性”的</w:t>
      </w:r>
      <w:r>
        <w:rPr>
          <w:rFonts w:ascii="SimSun" w:hAnsi="SimSun" w:eastAsia="SimSun" w:cs="SimSun"/>
          <w:sz w:val="30"/>
          <w:szCs w:val="30"/>
          <w:spacing w:val="-4"/>
        </w:rPr>
        <w:t>基础上，从“能够保证”训练数据质量减轻至“提高”训练数据</w:t>
      </w:r>
      <w:r>
        <w:rPr>
          <w:rFonts w:ascii="SimSun" w:hAnsi="SimSun" w:eastAsia="SimSun" w:cs="SimSun"/>
          <w:sz w:val="30"/>
          <w:szCs w:val="30"/>
          <w:spacing w:val="-16"/>
        </w:rPr>
        <w:t>质量、“增强”训练数据的真实性、准确性、客观性以及多样性。</w:t>
      </w:r>
      <w:r>
        <w:rPr>
          <w:rFonts w:ascii="SimSun" w:hAnsi="SimSun" w:eastAsia="SimSun" w:cs="SimSun"/>
          <w:sz w:val="30"/>
          <w:szCs w:val="30"/>
          <w:spacing w:val="-4"/>
        </w:rPr>
        <w:t>这种变化在一定程度上打消了提供者对使用训练数据、扩大训练</w:t>
      </w:r>
      <w:r>
        <w:rPr>
          <w:rFonts w:ascii="SimSun" w:hAnsi="SimSun" w:eastAsia="SimSun" w:cs="SimSun"/>
          <w:sz w:val="30"/>
          <w:szCs w:val="30"/>
          <w:spacing w:val="-2"/>
        </w:rPr>
        <w:t>数据范围的顾虑，有助于其积极开展相关的数据训练活动。</w:t>
      </w:r>
    </w:p>
    <w:p>
      <w:pPr>
        <w:ind w:left="25" w:right="13" w:firstLine="605"/>
        <w:spacing w:before="27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二是平衡“算法透明”与“商业秘密”间的关系</w:t>
      </w:r>
      <w:r>
        <w:rPr>
          <w:rFonts w:ascii="SimSun" w:hAnsi="SimSun" w:eastAsia="SimSun" w:cs="SimSun"/>
          <w:sz w:val="30"/>
          <w:szCs w:val="30"/>
          <w:spacing w:val="-16"/>
        </w:rPr>
        <w:t>。《办法》明</w:t>
      </w:r>
      <w:r>
        <w:rPr>
          <w:rFonts w:ascii="SimSun" w:hAnsi="SimSun" w:eastAsia="SimSun" w:cs="SimSun"/>
          <w:sz w:val="30"/>
          <w:szCs w:val="30"/>
          <w:spacing w:val="-7"/>
        </w:rPr>
        <w:t>确“算法机制机理”披露要求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7"/>
        </w:rPr>
        <w:t>，有效回避算法的源代码披露对于</w:t>
      </w:r>
      <w:r>
        <w:rPr>
          <w:rFonts w:ascii="SimSun" w:hAnsi="SimSun" w:eastAsia="SimSun" w:cs="SimSun"/>
          <w:sz w:val="30"/>
          <w:szCs w:val="30"/>
          <w:spacing w:val="-9"/>
        </w:rPr>
        <w:t>企业知识产权、商业秘密的影响， 同时也明确了监管的职责，审</w:t>
      </w:r>
      <w:r>
        <w:rPr>
          <w:rFonts w:ascii="SimSun" w:hAnsi="SimSun" w:eastAsia="SimSun" w:cs="SimSun"/>
          <w:sz w:val="30"/>
          <w:szCs w:val="30"/>
          <w:spacing w:val="-5"/>
        </w:rPr>
        <w:t>慎的考量算法透明问题。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>
        <w:pict>
          <v:shape id="_x0000_s16" style="position:absolute;margin-left:0.72599pt;margin-top:13.1543pt;mso-position-vertical-relative:text;mso-position-horizontal-relative:text;width:144.05pt;height:0.5pt;z-index:251664384;" fillcolor="#000000" filled="true" stroked="false" coordsize="2881,10" coordorigin="0,0" path="m0,9l2880,9l2880,0l0,0l0,9xe"/>
        </w:pict>
      </w:r>
      <w:r/>
    </w:p>
    <w:p>
      <w:pPr>
        <w:ind w:left="20" w:right="189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spacing w:val="12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</w:rPr>
        <w:t>摒弃了《征求意见稿》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中“以影响用户信任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、选择的必要信息</w:t>
      </w:r>
      <w:r>
        <w:rPr>
          <w:rFonts w:ascii="DengXian" w:hAnsi="DengXian" w:eastAsia="DengXian" w:cs="DengXian"/>
          <w:sz w:val="21"/>
          <w:szCs w:val="21"/>
          <w:spacing w:val="-4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”</w:t>
      </w:r>
      <w:r>
        <w:rPr>
          <w:rFonts w:ascii="DengXian" w:hAnsi="DengXian" w:eastAsia="DengXian" w:cs="DengXian"/>
          <w:sz w:val="21"/>
          <w:szCs w:val="21"/>
          <w:spacing w:val="33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“基础算法和技术体系”等</w:t>
      </w:r>
      <w:r>
        <w:rPr>
          <w:rFonts w:ascii="DengXian" w:hAnsi="DengXian" w:eastAsia="DengXian" w:cs="DengXian"/>
          <w:sz w:val="21"/>
          <w:szCs w:val="21"/>
          <w:spacing w:val="-1"/>
        </w:rPr>
        <w:t>相对模糊不清的表述</w:t>
      </w:r>
    </w:p>
    <w:p>
      <w:pPr>
        <w:spacing w:line="243" w:lineRule="auto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675"/>
        <w:spacing w:before="167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二、中国电信启示建议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．加快完善内部人工智能合规制度体系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5" w:right="234" w:firstLine="602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搭建集团层面的人工智能合规体系，做好企业</w:t>
      </w:r>
      <w:r>
        <w:rPr>
          <w:rFonts w:ascii="SimSun" w:hAnsi="SimSun" w:eastAsia="SimSun" w:cs="SimSun"/>
          <w:sz w:val="30"/>
          <w:szCs w:val="30"/>
          <w:spacing w:val="-5"/>
        </w:rPr>
        <w:t>内部治理，打</w:t>
      </w:r>
      <w:r>
        <w:rPr>
          <w:rFonts w:ascii="SimSun" w:hAnsi="SimSun" w:eastAsia="SimSun" w:cs="SimSun"/>
          <w:sz w:val="30"/>
          <w:szCs w:val="30"/>
          <w:spacing w:val="-4"/>
        </w:rPr>
        <w:t>好制度管理基础。建议在集团层面成立人工智能风险管理组织机</w:t>
      </w:r>
      <w:r>
        <w:rPr>
          <w:rFonts w:ascii="SimSun" w:hAnsi="SimSun" w:eastAsia="SimSun" w:cs="SimSun"/>
          <w:sz w:val="30"/>
          <w:szCs w:val="30"/>
          <w:spacing w:val="-3"/>
        </w:rPr>
        <w:t>构，落实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AIGC </w:t>
      </w:r>
      <w:r>
        <w:rPr>
          <w:rFonts w:ascii="SimSun" w:hAnsi="SimSun" w:eastAsia="SimSun" w:cs="SimSun"/>
          <w:sz w:val="30"/>
          <w:szCs w:val="30"/>
          <w:spacing w:val="-3"/>
        </w:rPr>
        <w:t>治理与运营统筹职责，牵头制定集团层面相关制</w:t>
      </w:r>
      <w:r>
        <w:rPr>
          <w:rFonts w:ascii="SimSun" w:hAnsi="SimSun" w:eastAsia="SimSun" w:cs="SimSun"/>
          <w:sz w:val="30"/>
          <w:szCs w:val="30"/>
          <w:spacing w:val="-4"/>
        </w:rPr>
        <w:t>度规范，如人工智能开发管理制度、技术和服务监测制度、数据</w:t>
      </w:r>
      <w:r>
        <w:rPr>
          <w:rFonts w:ascii="SimSun" w:hAnsi="SimSun" w:eastAsia="SimSun" w:cs="SimSun"/>
          <w:sz w:val="30"/>
          <w:szCs w:val="30"/>
          <w:spacing w:val="-9"/>
        </w:rPr>
        <w:t>安全与合规管理规范、科技伦理审查制度等， 以应对未来可能到</w:t>
      </w:r>
      <w:r>
        <w:rPr>
          <w:rFonts w:ascii="SimSun" w:hAnsi="SimSun" w:eastAsia="SimSun" w:cs="SimSun"/>
          <w:sz w:val="30"/>
          <w:szCs w:val="30"/>
          <w:spacing w:val="-6"/>
        </w:rPr>
        <w:t>来的各种监管举措。</w:t>
      </w:r>
    </w:p>
    <w:p>
      <w:pPr>
        <w:ind w:left="26" w:right="243" w:firstLine="597"/>
        <w:spacing w:before="271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．搭建涵盖人工智能算法、数据、模型的全生命周期审核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体系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25" w:right="233" w:firstLine="605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一是建立全生命周期的人工智能审核管理体</w:t>
      </w:r>
      <w:r>
        <w:rPr>
          <w:rFonts w:ascii="SimSun" w:hAnsi="SimSun" w:eastAsia="SimSun" w:cs="SimSun"/>
          <w:sz w:val="30"/>
          <w:szCs w:val="30"/>
          <w:spacing w:val="-5"/>
        </w:rPr>
        <w:t>系。在大模型的</w:t>
      </w:r>
      <w:r>
        <w:rPr>
          <w:rFonts w:ascii="SimSun" w:hAnsi="SimSun" w:eastAsia="SimSun" w:cs="SimSun"/>
          <w:sz w:val="30"/>
          <w:szCs w:val="30"/>
          <w:spacing w:val="-8"/>
        </w:rPr>
        <w:t>研发、生产和应用过程中，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对生成式内容主动进行合理标记并在</w:t>
      </w:r>
      <w:r>
        <w:rPr>
          <w:rFonts w:ascii="SimSun" w:hAnsi="SimSun" w:eastAsia="SimSun" w:cs="SimSun"/>
          <w:sz w:val="30"/>
          <w:szCs w:val="30"/>
          <w:spacing w:val="-4"/>
        </w:rPr>
        <w:t>模型训练和预训练、提供服务等各个环节进行有效的合规管理和</w:t>
      </w:r>
      <w:r>
        <w:rPr>
          <w:rFonts w:ascii="SimSun" w:hAnsi="SimSun" w:eastAsia="SimSun" w:cs="SimSun"/>
          <w:sz w:val="30"/>
          <w:szCs w:val="30"/>
          <w:spacing w:val="-3"/>
        </w:rPr>
        <w:t>落实管控。</w:t>
      </w:r>
    </w:p>
    <w:p>
      <w:pPr>
        <w:ind w:left="25" w:firstLine="605"/>
        <w:spacing w:before="270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二是建立算法安全监测制度。对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AIGC </w:t>
      </w:r>
      <w:r>
        <w:rPr>
          <w:rFonts w:ascii="SimSun" w:hAnsi="SimSun" w:eastAsia="SimSun" w:cs="SimSun"/>
          <w:sz w:val="30"/>
          <w:szCs w:val="30"/>
          <w:spacing w:val="-6"/>
        </w:rPr>
        <w:t>算法进行审查和测</w:t>
      </w:r>
      <w:r>
        <w:rPr>
          <w:rFonts w:ascii="SimSun" w:hAnsi="SimSun" w:eastAsia="SimSun" w:cs="SimSun"/>
          <w:sz w:val="30"/>
          <w:szCs w:val="30"/>
          <w:spacing w:val="-7"/>
        </w:rPr>
        <w:t>试，</w:t>
      </w:r>
      <w:r>
        <w:rPr>
          <w:rFonts w:ascii="SimSun" w:hAnsi="SimSun" w:eastAsia="SimSun" w:cs="SimSun"/>
          <w:sz w:val="30"/>
          <w:szCs w:val="30"/>
          <w:spacing w:val="-3"/>
        </w:rPr>
        <w:t>评估算法的安全性和合规性。建立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AIGC </w:t>
      </w:r>
      <w:r>
        <w:rPr>
          <w:rFonts w:ascii="SimSun" w:hAnsi="SimSun" w:eastAsia="SimSun" w:cs="SimSun"/>
          <w:sz w:val="30"/>
          <w:szCs w:val="30"/>
          <w:spacing w:val="-3"/>
        </w:rPr>
        <w:t>算法安全监测的机制和</w:t>
      </w:r>
      <w:r>
        <w:rPr>
          <w:rFonts w:ascii="SimSun" w:hAnsi="SimSun" w:eastAsia="SimSun" w:cs="SimSun"/>
          <w:sz w:val="30"/>
          <w:szCs w:val="30"/>
          <w:spacing w:val="1"/>
        </w:rPr>
        <w:t>流程，防止人工智能算法产生歧视、侵权、不正当竞争等行为，</w:t>
      </w:r>
      <w:r>
        <w:rPr>
          <w:rFonts w:ascii="SimSun" w:hAnsi="SimSun" w:eastAsia="SimSun" w:cs="SimSun"/>
          <w:sz w:val="30"/>
          <w:szCs w:val="30"/>
          <w:spacing w:val="-5"/>
        </w:rPr>
        <w:t>并确保服务的公正性。</w:t>
      </w:r>
    </w:p>
    <w:p>
      <w:pPr>
        <w:ind w:left="25" w:firstLine="601"/>
        <w:spacing w:before="272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三是强化模型训练和数据安全。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OpenAI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日前受到美国联邦</w:t>
      </w:r>
      <w:r>
        <w:rPr>
          <w:rFonts w:ascii="SimSun" w:hAnsi="SimSun" w:eastAsia="SimSun" w:cs="SimSun"/>
          <w:sz w:val="30"/>
          <w:szCs w:val="30"/>
          <w:spacing w:val="3"/>
        </w:rPr>
        <w:t>贸易委员会（</w:t>
      </w:r>
      <w:r>
        <w:rPr>
          <w:rFonts w:ascii="Times New Roman" w:hAnsi="Times New Roman" w:eastAsia="Times New Roman" w:cs="Times New Roman"/>
          <w:sz w:val="30"/>
          <w:szCs w:val="30"/>
        </w:rPr>
        <w:t>FTC</w:t>
      </w:r>
      <w:r>
        <w:rPr>
          <w:rFonts w:ascii="SimSun" w:hAnsi="SimSun" w:eastAsia="SimSun" w:cs="SimSun"/>
          <w:sz w:val="30"/>
          <w:szCs w:val="30"/>
          <w:spacing w:val="3"/>
        </w:rPr>
        <w:t>）的调查，涉及不正当处理个人数据等问题，</w:t>
      </w:r>
      <w:r>
        <w:rPr>
          <w:rFonts w:ascii="SimSun" w:hAnsi="SimSun" w:eastAsia="SimSun" w:cs="SimSun"/>
          <w:sz w:val="30"/>
          <w:szCs w:val="30"/>
          <w:spacing w:val="-4"/>
        </w:rPr>
        <w:t>面临潜在的法律威胁。这次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FTC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的调查也凸显了正当处理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 </w:t>
      </w:r>
      <w:r>
        <w:rPr>
          <w:rFonts w:ascii="SimSun" w:hAnsi="SimSun" w:eastAsia="SimSun" w:cs="SimSun"/>
          <w:sz w:val="30"/>
          <w:szCs w:val="30"/>
          <w:spacing w:val="-4"/>
        </w:rPr>
        <w:t>数</w:t>
      </w:r>
      <w:r>
        <w:rPr>
          <w:rFonts w:ascii="SimSun" w:hAnsi="SimSun" w:eastAsia="SimSun" w:cs="SimSun"/>
          <w:sz w:val="30"/>
          <w:szCs w:val="30"/>
          <w:spacing w:val="-6"/>
        </w:rPr>
        <w:t>据和安全的重要性。中国电信在进行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AIG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的模型训练和应用时，</w:t>
      </w:r>
    </w:p>
    <w:p>
      <w:pPr>
        <w:spacing w:line="332" w:lineRule="auto"/>
        <w:sectPr>
          <w:pgSz w:w="11907" w:h="16839"/>
          <w:pgMar w:top="1431" w:right="156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3" w:firstLine="2"/>
        <w:spacing w:before="18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应确保训练数据的合规性和安全性，保障数据来源的合法性，特</w:t>
      </w:r>
      <w:r>
        <w:rPr>
          <w:rFonts w:ascii="SimSun" w:hAnsi="SimSun" w:eastAsia="SimSun" w:cs="SimSun"/>
          <w:sz w:val="30"/>
          <w:szCs w:val="30"/>
          <w:spacing w:val="-1"/>
        </w:rPr>
        <w:t>别是强化对于外部数据提供方的审查；提升训练数据的多样性，</w:t>
      </w:r>
      <w:r>
        <w:rPr>
          <w:rFonts w:ascii="SimSun" w:hAnsi="SimSun" w:eastAsia="SimSun" w:cs="SimSun"/>
          <w:sz w:val="30"/>
          <w:szCs w:val="30"/>
          <w:spacing w:val="-4"/>
        </w:rPr>
        <w:t>避免从单一范围训练数据。</w:t>
      </w:r>
    </w:p>
    <w:p>
      <w:pPr>
        <w:ind w:left="25" w:right="84" w:firstLine="629"/>
        <w:spacing w:before="26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四是建立内部记录机制。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AIGC </w:t>
      </w:r>
      <w:r>
        <w:rPr>
          <w:rFonts w:ascii="SimSun" w:hAnsi="SimSun" w:eastAsia="SimSun" w:cs="SimSun"/>
          <w:sz w:val="30"/>
          <w:szCs w:val="30"/>
          <w:spacing w:val="-2"/>
        </w:rPr>
        <w:t>算法需要进行持续的监测和</w:t>
      </w:r>
      <w:r>
        <w:rPr>
          <w:rFonts w:ascii="SimSun" w:hAnsi="SimSun" w:eastAsia="SimSun" w:cs="SimSun"/>
          <w:sz w:val="30"/>
          <w:szCs w:val="30"/>
          <w:spacing w:val="-4"/>
        </w:rPr>
        <w:t>更新，及时发现和修复可能存在的安全漏洞和问题。建立完善的</w:t>
      </w:r>
      <w:r>
        <w:rPr>
          <w:rFonts w:ascii="SimSun" w:hAnsi="SimSun" w:eastAsia="SimSun" w:cs="SimSun"/>
          <w:sz w:val="30"/>
          <w:szCs w:val="30"/>
          <w:spacing w:val="-4"/>
        </w:rPr>
        <w:t>漏洞报告和漏洞修复机制，及时响应用户反馈和安全问题。以实</w:t>
      </w:r>
      <w:r>
        <w:rPr>
          <w:rFonts w:ascii="SimSun" w:hAnsi="SimSun" w:eastAsia="SimSun" w:cs="SimSun"/>
          <w:sz w:val="30"/>
          <w:szCs w:val="30"/>
          <w:spacing w:val="-4"/>
        </w:rPr>
        <w:t>现对人工智能开发和使用的信息记录，以满足算法透明性义务和</w:t>
      </w:r>
      <w:r>
        <w:rPr>
          <w:rFonts w:ascii="SimSun" w:hAnsi="SimSun" w:eastAsia="SimSun" w:cs="SimSun"/>
          <w:sz w:val="30"/>
          <w:szCs w:val="30"/>
          <w:spacing w:val="-3"/>
        </w:rPr>
        <w:t>及时响应监管的要求，有助于企业进行合规自证。</w:t>
      </w:r>
    </w:p>
    <w:p>
      <w:pPr>
        <w:ind w:left="28" w:right="84" w:firstLine="593"/>
        <w:spacing w:before="270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．围绕《办法》提出的布局方向，推进自身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AIG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C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业务发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展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25" w:right="1" w:firstLine="599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在算力基础设施领域，要结合自身算网融合禀赋，</w:t>
      </w:r>
      <w:r>
        <w:rPr>
          <w:rFonts w:ascii="SimSun" w:hAnsi="SimSun" w:eastAsia="SimSun" w:cs="SimSun"/>
          <w:sz w:val="30"/>
          <w:szCs w:val="30"/>
          <w:spacing w:val="-5"/>
        </w:rPr>
        <w:t>发展大模</w:t>
      </w:r>
      <w:r>
        <w:rPr>
          <w:rFonts w:ascii="SimSun" w:hAnsi="SimSun" w:eastAsia="SimSun" w:cs="SimSun"/>
          <w:sz w:val="30"/>
          <w:szCs w:val="30"/>
          <w:spacing w:val="-4"/>
        </w:rPr>
        <w:t>型基础设施，提供大规模智算和大模型开发平台</w:t>
      </w:r>
      <w:r>
        <w:rPr>
          <w:rFonts w:ascii="SimSun" w:hAnsi="SimSun" w:eastAsia="SimSun" w:cs="SimSun"/>
          <w:sz w:val="30"/>
          <w:szCs w:val="30"/>
          <w:spacing w:val="-5"/>
        </w:rPr>
        <w:t>服务；依据《规</w:t>
      </w:r>
      <w:r>
        <w:rPr>
          <w:rFonts w:ascii="SimSun" w:hAnsi="SimSun" w:eastAsia="SimSun" w:cs="SimSun"/>
          <w:sz w:val="30"/>
          <w:szCs w:val="30"/>
          <w:spacing w:val="-1"/>
        </w:rPr>
        <w:t>划》主动推进算力资源协同共享，并与产业合作伙伴联合攻关，</w:t>
      </w:r>
      <w:r>
        <w:rPr>
          <w:rFonts w:ascii="SimSun" w:hAnsi="SimSun" w:eastAsia="SimSun" w:cs="SimSun"/>
          <w:sz w:val="30"/>
          <w:szCs w:val="30"/>
          <w:spacing w:val="-5"/>
        </w:rPr>
        <w:t>提升算力资源利用效能。</w:t>
      </w:r>
    </w:p>
    <w:p>
      <w:pPr>
        <w:ind w:left="27" w:right="85" w:firstLine="597"/>
        <w:spacing w:before="27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在理论和技术创新领域，成立中国电信大模型创新中</w:t>
      </w:r>
      <w:r>
        <w:rPr>
          <w:rFonts w:ascii="SimSun" w:hAnsi="SimSun" w:eastAsia="SimSun" w:cs="SimSun"/>
          <w:sz w:val="30"/>
          <w:szCs w:val="30"/>
          <w:spacing w:val="-5"/>
        </w:rPr>
        <w:t>心，联</w:t>
      </w:r>
      <w:r>
        <w:rPr>
          <w:rFonts w:ascii="SimSun" w:hAnsi="SimSun" w:eastAsia="SimSun" w:cs="SimSun"/>
          <w:sz w:val="30"/>
          <w:szCs w:val="30"/>
          <w:spacing w:val="-4"/>
        </w:rPr>
        <w:t>合高校与科研院所聚焦下一代人工智能技术研发，助力实现大模</w:t>
      </w:r>
      <w:r>
        <w:rPr>
          <w:rFonts w:ascii="SimSun" w:hAnsi="SimSun" w:eastAsia="SimSun" w:cs="SimSun"/>
          <w:sz w:val="30"/>
          <w:szCs w:val="30"/>
          <w:spacing w:val="-4"/>
        </w:rPr>
        <w:t>型高水平自立自强；提升人工智能垂直领域技术研发，满足各垂</w:t>
      </w:r>
      <w:r>
        <w:rPr>
          <w:rFonts w:ascii="SimSun" w:hAnsi="SimSun" w:eastAsia="SimSun" w:cs="SimSun"/>
          <w:sz w:val="30"/>
          <w:szCs w:val="30"/>
          <w:spacing w:val="-4"/>
        </w:rPr>
        <w:t>直领域差异化的大模型服务需求。</w:t>
      </w:r>
    </w:p>
    <w:p>
      <w:pPr>
        <w:ind w:left="27" w:right="3" w:firstLine="597"/>
        <w:spacing w:before="271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在应用场景领域，围绕中国电信自身优势构建行业大模</w:t>
      </w:r>
      <w:r>
        <w:rPr>
          <w:rFonts w:ascii="SimSun" w:hAnsi="SimSun" w:eastAsia="SimSun" w:cs="SimSun"/>
          <w:sz w:val="30"/>
          <w:szCs w:val="30"/>
          <w:spacing w:val="-5"/>
        </w:rPr>
        <w:t>型能</w:t>
      </w:r>
      <w:r>
        <w:rPr>
          <w:rFonts w:ascii="SimSun" w:hAnsi="SimSun" w:eastAsia="SimSun" w:cs="SimSun"/>
          <w:sz w:val="30"/>
          <w:szCs w:val="30"/>
          <w:spacing w:val="-2"/>
        </w:rPr>
        <w:t>力，重点从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To-B</w:t>
      </w:r>
      <w:r>
        <w:rPr>
          <w:rFonts w:ascii="Times New Roman" w:hAnsi="Times New Roman" w:eastAsia="Times New Roman" w:cs="Times New Roman"/>
          <w:sz w:val="30"/>
          <w:szCs w:val="3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端切入行业大模型领域，助力政企行业客户提</w:t>
      </w:r>
      <w:r>
        <w:rPr>
          <w:rFonts w:ascii="SimSun" w:hAnsi="SimSun" w:eastAsia="SimSun" w:cs="SimSun"/>
          <w:sz w:val="30"/>
          <w:szCs w:val="30"/>
          <w:spacing w:val="-7"/>
        </w:rPr>
        <w:t>质增效。目前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To-B </w:t>
      </w:r>
      <w:r>
        <w:rPr>
          <w:rFonts w:ascii="SimSun" w:hAnsi="SimSun" w:eastAsia="SimSun" w:cs="SimSun"/>
          <w:sz w:val="30"/>
          <w:szCs w:val="30"/>
          <w:spacing w:val="-7"/>
        </w:rPr>
        <w:t>端在垂直行业具备更清晰的盈利路径和潜力，</w:t>
      </w:r>
      <w:r>
        <w:rPr>
          <w:rFonts w:ascii="SimSun" w:hAnsi="SimSun" w:eastAsia="SimSun" w:cs="SimSun"/>
          <w:sz w:val="30"/>
          <w:szCs w:val="30"/>
          <w:spacing w:val="-3"/>
        </w:rPr>
        <w:t>而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T0-C </w:t>
      </w:r>
      <w:r>
        <w:rPr>
          <w:rFonts w:ascii="SimSun" w:hAnsi="SimSun" w:eastAsia="SimSun" w:cs="SimSun"/>
          <w:sz w:val="30"/>
          <w:szCs w:val="30"/>
          <w:spacing w:val="-3"/>
        </w:rPr>
        <w:t>场景下的商业模式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</w:t>
      </w:r>
      <w:r>
        <w:rPr>
          <w:rFonts w:ascii="SimSun" w:hAnsi="SimSun" w:eastAsia="SimSun" w:cs="SimSun"/>
          <w:sz w:val="30"/>
          <w:szCs w:val="30"/>
          <w:spacing w:val="-3"/>
        </w:rPr>
        <w:t>盈利方法尚未完全跑通，且面向公众</w:t>
      </w:r>
      <w:r>
        <w:rPr>
          <w:rFonts w:ascii="SimSun" w:hAnsi="SimSun" w:eastAsia="SimSun" w:cs="SimSun"/>
          <w:sz w:val="30"/>
          <w:szCs w:val="30"/>
          <w:spacing w:val="-3"/>
        </w:rPr>
        <w:t>的大模型应用将面临更加严格的监管审核。</w:t>
      </w:r>
    </w:p>
    <w:p>
      <w:pPr>
        <w:spacing w:line="332" w:lineRule="auto"/>
        <w:sectPr>
          <w:pgSz w:w="11907" w:h="16839"/>
          <w:pgMar w:top="1431" w:right="171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3" w:firstLine="598"/>
        <w:spacing w:before="183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在生态领域，践行央企担当，构建产学研相结合的大</w:t>
      </w:r>
      <w:r>
        <w:rPr>
          <w:rFonts w:ascii="SimSun" w:hAnsi="SimSun" w:eastAsia="SimSun" w:cs="SimSun"/>
          <w:sz w:val="30"/>
          <w:szCs w:val="30"/>
          <w:spacing w:val="-5"/>
        </w:rPr>
        <w:t>模型生</w:t>
      </w:r>
      <w:r>
        <w:rPr>
          <w:rFonts w:ascii="SimSun" w:hAnsi="SimSun" w:eastAsia="SimSun" w:cs="SimSun"/>
          <w:sz w:val="30"/>
          <w:szCs w:val="30"/>
          <w:spacing w:val="-9"/>
        </w:rPr>
        <w:t>态，积极参与协调大模型领域国家标准、行业标准的制定， 并协</w:t>
      </w:r>
      <w:r>
        <w:rPr>
          <w:rFonts w:ascii="SimSun" w:hAnsi="SimSun" w:eastAsia="SimSun" w:cs="SimSun"/>
          <w:sz w:val="30"/>
          <w:szCs w:val="30"/>
          <w:spacing w:val="-3"/>
        </w:rPr>
        <w:t>同参与制定相关国际标准，助力数字中国建设。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132359</wp:posOffset>
            </wp:positionH>
            <wp:positionV relativeFrom="paragraph">
              <wp:posOffset>76450</wp:posOffset>
            </wp:positionV>
            <wp:extent cx="900683" cy="124053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0683" cy="12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151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樊启明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【17319098625】</w:t>
      </w:r>
    </w:p>
    <w:p>
      <w:pPr>
        <w:ind w:left="2155" w:right="311" w:firstLine="277"/>
        <w:spacing w:before="108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硕士，中级工程师，主要从事宏观经济与政策</w:t>
      </w:r>
      <w:r>
        <w:rPr>
          <w:rFonts w:ascii="KaiTi" w:hAnsi="KaiTi" w:eastAsia="KaiTi" w:cs="KaiTi"/>
          <w:sz w:val="28"/>
          <w:szCs w:val="28"/>
          <w:spacing w:val="-2"/>
        </w:rPr>
        <w:t>分析、科技创新和资本运营等相关研究。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2023-09-20T13:56:08Z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2025-11-04T15:54:50</vt:filetime>
  </property>
</Properties>
</file>