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71"/>
        <w:spacing w:before="211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电信“新主业”怎样选择估值方法？</w:t>
      </w:r>
    </w:p>
    <w:p>
      <w:pPr>
        <w:ind w:left="3457"/>
        <w:spacing w:before="332" w:line="208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0"/>
        </w:rPr>
        <w:t>文/</w:t>
      </w:r>
      <w:r>
        <w:rPr>
          <w:rFonts w:ascii="STKaiti" w:hAnsi="STKaiti" w:eastAsia="STKaiti" w:cs="STKaiti"/>
          <w:sz w:val="30"/>
          <w:szCs w:val="30"/>
          <w:spacing w:val="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0"/>
        </w:rPr>
        <w:t>姚群峰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ind w:left="52" w:right="105" w:firstLine="590"/>
        <w:spacing w:before="98" w:line="25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注册制下，科创板上市的最大门槛是市值指标，预计市值不</w:t>
      </w:r>
      <w:r>
        <w:rPr>
          <w:rFonts w:ascii="FangSong" w:hAnsi="FangSong" w:eastAsia="FangSong" w:cs="FangSong"/>
          <w:sz w:val="30"/>
          <w:szCs w:val="30"/>
          <w:spacing w:val="-14"/>
        </w:rPr>
        <w:t>能低于</w:t>
      </w:r>
      <w:r>
        <w:rPr>
          <w:rFonts w:ascii="FangSong" w:hAnsi="FangSong" w:eastAsia="FangSong" w:cs="FangSong"/>
          <w:sz w:val="30"/>
          <w:szCs w:val="30"/>
          <w:spacing w:val="-4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4"/>
        </w:rPr>
        <w:t>10</w:t>
      </w:r>
      <w:r>
        <w:rPr>
          <w:rFonts w:ascii="FangSong" w:hAnsi="FangSong" w:eastAsia="FangSong" w:cs="FangSong"/>
          <w:sz w:val="30"/>
          <w:szCs w:val="30"/>
          <w:spacing w:val="-5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4"/>
        </w:rPr>
        <w:t>亿元。</w:t>
      </w:r>
    </w:p>
    <w:p>
      <w:pPr>
        <w:ind w:left="33" w:firstLine="639"/>
        <w:spacing w:before="275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7"/>
        </w:rPr>
        <w:t>中国电信要利用资本市场加快培育“第二增长曲线”，“新主</w:t>
      </w:r>
      <w:r>
        <w:rPr>
          <w:rFonts w:ascii="FangSong" w:hAnsi="FangSong" w:eastAsia="FangSong" w:cs="FangSong"/>
          <w:sz w:val="30"/>
          <w:szCs w:val="30"/>
          <w:spacing w:val="-11"/>
        </w:rPr>
        <w:t>业”各板块要定位为科创板拟上市公司；要根据自己所处的行业、</w:t>
      </w:r>
      <w:r>
        <w:rPr>
          <w:rFonts w:ascii="FangSong" w:hAnsi="FangSong" w:eastAsia="FangSong" w:cs="FangSong"/>
          <w:sz w:val="30"/>
          <w:szCs w:val="30"/>
          <w:spacing w:val="-4"/>
        </w:rPr>
        <w:t>生命周期阶段的不同，量体裁衣，选择合适自己的估值指标；根</w:t>
      </w:r>
      <w:r>
        <w:rPr>
          <w:rFonts w:ascii="FangSong" w:hAnsi="FangSong" w:eastAsia="FangSong" w:cs="FangSong"/>
          <w:sz w:val="30"/>
          <w:szCs w:val="30"/>
          <w:spacing w:val="-4"/>
        </w:rPr>
        <w:t>据指标特点对公司提前进行战略布局，未雨绸缪，努力提升</w:t>
      </w:r>
      <w:r>
        <w:rPr>
          <w:rFonts w:ascii="FangSong" w:hAnsi="FangSong" w:eastAsia="FangSong" w:cs="FangSong"/>
          <w:sz w:val="30"/>
          <w:szCs w:val="30"/>
          <w:spacing w:val="-5"/>
        </w:rPr>
        <w:t>估值</w:t>
      </w:r>
      <w:r>
        <w:rPr>
          <w:rFonts w:ascii="FangSong" w:hAnsi="FangSong" w:eastAsia="FangSong" w:cs="FangSong"/>
          <w:sz w:val="30"/>
          <w:szCs w:val="30"/>
          <w:spacing w:val="-5"/>
        </w:rPr>
        <w:t>水平，早日实现</w:t>
      </w:r>
      <w:r>
        <w:rPr>
          <w:rFonts w:ascii="FangSong" w:hAnsi="FangSong" w:eastAsia="FangSong" w:cs="FangSong"/>
          <w:sz w:val="30"/>
          <w:szCs w:val="30"/>
          <w:spacing w:val="-3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IPO。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一、科创企业重视估值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6" w:right="102" w:firstLine="599"/>
        <w:spacing w:before="97" w:line="262" w:lineRule="auto"/>
        <w:jc w:val="both"/>
        <w:rPr/>
      </w:pPr>
      <w:r>
        <w:rPr>
          <w:spacing w:val="-4"/>
        </w:rPr>
        <w:t>根据上交所发布的科创板企业上市推荐指引，科创板</w:t>
      </w:r>
      <w:r>
        <w:rPr>
          <w:spacing w:val="-5"/>
        </w:rPr>
        <w:t>将重点</w:t>
      </w:r>
      <w:r>
        <w:rPr>
          <w:spacing w:val="-4"/>
        </w:rPr>
        <w:t>推荐信息技术、高端装备、新材料、新能源、节能环保和生物医</w:t>
      </w:r>
      <w:r>
        <w:rPr>
          <w:spacing w:val="-4"/>
        </w:rPr>
        <w:t>药六大高新科技领域；科创板关注拟上市企业的预计市值、净利</w:t>
      </w:r>
      <w:r>
        <w:rPr>
          <w:spacing w:val="-4"/>
        </w:rPr>
        <w:t>润、营收、研发投入、现金流、产品等指标，其中，预计市值是</w:t>
      </w:r>
      <w:r>
        <w:rPr>
          <w:spacing w:val="-5"/>
        </w:rPr>
        <w:t>必要指标，且不低于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 </w:t>
      </w:r>
      <w:r>
        <w:rPr>
          <w:spacing w:val="-5"/>
        </w:rPr>
        <w:t>亿元。</w:t>
      </w:r>
    </w:p>
    <w:p>
      <w:pPr>
        <w:pStyle w:val="BodyText"/>
        <w:ind w:left="628"/>
        <w:spacing w:before="247" w:line="218" w:lineRule="auto"/>
        <w:rPr/>
      </w:pPr>
      <w:r>
        <w:rPr>
          <w:spacing w:val="-4"/>
        </w:rPr>
        <w:t>可见，科创企业的估值非常重要。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2" w:right="102" w:firstLine="632"/>
        <w:spacing w:before="98" w:line="260" w:lineRule="auto"/>
        <w:jc w:val="both"/>
        <w:rPr/>
      </w:pPr>
      <w:r>
        <w:rPr>
          <w:spacing w:val="-5"/>
        </w:rPr>
        <w:t>中国电信“新主业”各板块要定位为科创板拟上</w:t>
      </w:r>
      <w:r>
        <w:rPr>
          <w:spacing w:val="-6"/>
        </w:rPr>
        <w:t>市公司，以</w:t>
      </w:r>
      <w:r>
        <w:rPr>
          <w:rFonts w:ascii="Times New Roman" w:hAnsi="Times New Roman" w:eastAsia="Times New Roman" w:cs="Times New Roman"/>
          <w:spacing w:val="-9"/>
        </w:rPr>
        <w:t>IPO </w:t>
      </w:r>
      <w:r>
        <w:rPr>
          <w:spacing w:val="-9"/>
        </w:rPr>
        <w:t>为目标；各专业公司要根据所在的行业、生命周期阶</w:t>
      </w:r>
      <w:r>
        <w:rPr>
          <w:spacing w:val="-10"/>
        </w:rPr>
        <w:t>段，</w:t>
      </w:r>
      <w:r>
        <w:rPr>
          <w:spacing w:val="62"/>
        </w:rPr>
        <w:t xml:space="preserve"> </w:t>
      </w:r>
      <w:r>
        <w:rPr>
          <w:spacing w:val="-10"/>
        </w:rPr>
        <w:t>量</w:t>
      </w:r>
      <w:r>
        <w:rPr>
          <w:spacing w:val="-4"/>
        </w:rPr>
        <w:t>体裁衣，选择合适自己的估值方法；将估值方法的考核重点作为</w:t>
      </w:r>
      <w:r>
        <w:rPr>
          <w:spacing w:val="-4"/>
        </w:rPr>
        <w:t>公司经营发展的战略指南，提前布局相关工作，努力提高估值水</w:t>
      </w:r>
      <w:r>
        <w:rPr>
          <w:spacing w:val="-13"/>
        </w:rPr>
        <w:t>平。</w:t>
      </w:r>
    </w:p>
    <w:p>
      <w:pPr>
        <w:spacing w:line="260" w:lineRule="auto"/>
        <w:sectPr>
          <w:pgSz w:w="11907" w:h="16839"/>
          <w:pgMar w:top="1431" w:right="1696" w:bottom="0" w:left="1785" w:header="0" w:footer="0" w:gutter="0"/>
        </w:sectPr>
        <w:rPr/>
      </w:pPr>
    </w:p>
    <w:p>
      <w:pPr>
        <w:ind w:left="2824"/>
        <w:spacing w:before="70" w:line="209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科创板具体上市标准</w:t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30"/>
        <w:gridCol w:w="5729"/>
        <w:gridCol w:w="1643"/>
      </w:tblGrid>
      <w:tr>
        <w:trPr>
          <w:trHeight w:val="367" w:hRule="atLeast"/>
        </w:trPr>
        <w:tc>
          <w:tcPr>
            <w:tcW w:w="9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29" w:type="dxa"/>
            <w:vAlign w:val="top"/>
          </w:tcPr>
          <w:p>
            <w:pPr>
              <w:pStyle w:val="TableText"/>
              <w:ind w:left="2630"/>
              <w:spacing w:before="6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标准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588"/>
              <w:spacing w:before="6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要素</w:t>
            </w:r>
          </w:p>
        </w:tc>
      </w:tr>
      <w:tr>
        <w:trPr>
          <w:trHeight w:val="903" w:hRule="atLeast"/>
        </w:trPr>
        <w:tc>
          <w:tcPr>
            <w:tcW w:w="930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2" w:line="228" w:lineRule="auto"/>
              <w:rPr/>
            </w:pPr>
            <w:r>
              <w:rPr>
                <w:spacing w:val="6"/>
              </w:rPr>
              <w:t>第一类</w:t>
            </w:r>
          </w:p>
        </w:tc>
        <w:tc>
          <w:tcPr>
            <w:tcW w:w="5729" w:type="dxa"/>
            <w:vAlign w:val="top"/>
          </w:tcPr>
          <w:p>
            <w:pPr>
              <w:pStyle w:val="TableText"/>
              <w:ind w:left="111" w:right="122"/>
              <w:spacing w:before="68" w:line="267" w:lineRule="auto"/>
              <w:jc w:val="both"/>
              <w:rPr/>
            </w:pPr>
            <w:r>
              <w:rPr>
                <w:spacing w:val="8"/>
              </w:rPr>
              <w:t>预计市值不低于</w:t>
            </w:r>
            <w:r>
              <w:rPr>
                <w:spacing w:val="-22"/>
              </w:rPr>
              <w:t xml:space="preserve"> </w:t>
            </w:r>
            <w:r>
              <w:rPr>
                <w:spacing w:val="8"/>
              </w:rPr>
              <w:t>10</w:t>
            </w:r>
            <w:r>
              <w:rPr>
                <w:spacing w:val="-34"/>
              </w:rPr>
              <w:t xml:space="preserve"> </w:t>
            </w:r>
            <w:r>
              <w:rPr>
                <w:spacing w:val="8"/>
              </w:rPr>
              <w:t>亿元，最近两年净利润均为正且累计净</w:t>
            </w:r>
            <w:r>
              <w:rPr>
                <w:spacing w:val="7"/>
              </w:rPr>
              <w:t>利润</w:t>
            </w:r>
            <w:r>
              <w:rPr>
                <w:spacing w:val="7"/>
              </w:rPr>
              <w:t>不低于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5000</w:t>
            </w:r>
            <w:r>
              <w:rPr>
                <w:spacing w:val="-30"/>
              </w:rPr>
              <w:t xml:space="preserve"> </w:t>
            </w:r>
            <w:r>
              <w:rPr>
                <w:spacing w:val="7"/>
              </w:rPr>
              <w:t>万元或者最近一年净润为正</w:t>
            </w:r>
            <w:r>
              <w:rPr>
                <w:spacing w:val="6"/>
              </w:rPr>
              <w:t>且营业收入不低于</w:t>
            </w:r>
            <w:r>
              <w:rPr>
                <w:spacing w:val="-22"/>
              </w:rPr>
              <w:t xml:space="preserve"> </w:t>
            </w:r>
            <w:r>
              <w:rPr>
                <w:spacing w:val="6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spacing w:val="6"/>
              </w:rPr>
              <w:t>亿</w:t>
            </w:r>
            <w:r>
              <w:rPr/>
              <w:t>元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116" w:right="148"/>
              <w:spacing w:before="219" w:line="293" w:lineRule="auto"/>
              <w:rPr/>
            </w:pPr>
            <w:r>
              <w:rPr>
                <w:spacing w:val="6"/>
              </w:rPr>
              <w:t>预计市值，净利</w:t>
            </w:r>
            <w:r>
              <w:rPr>
                <w:spacing w:val="7"/>
              </w:rPr>
              <w:t>润，营收</w:t>
            </w:r>
          </w:p>
        </w:tc>
      </w:tr>
      <w:tr>
        <w:trPr>
          <w:trHeight w:val="906" w:hRule="atLeast"/>
        </w:trPr>
        <w:tc>
          <w:tcPr>
            <w:tcW w:w="930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1" w:line="228" w:lineRule="auto"/>
              <w:rPr/>
            </w:pPr>
            <w:r>
              <w:rPr>
                <w:spacing w:val="6"/>
              </w:rPr>
              <w:t>第二类</w:t>
            </w:r>
          </w:p>
        </w:tc>
        <w:tc>
          <w:tcPr>
            <w:tcW w:w="5729" w:type="dxa"/>
            <w:vAlign w:val="top"/>
          </w:tcPr>
          <w:p>
            <w:pPr>
              <w:pStyle w:val="TableText"/>
              <w:ind w:left="111" w:right="125"/>
              <w:spacing w:before="71" w:line="267" w:lineRule="auto"/>
              <w:rPr/>
            </w:pPr>
            <w:r>
              <w:rPr>
                <w:spacing w:val="7"/>
              </w:rPr>
              <w:t>预计市值不低于</w:t>
            </w:r>
            <w:r>
              <w:rPr>
                <w:spacing w:val="-22"/>
              </w:rPr>
              <w:t xml:space="preserve"> </w:t>
            </w:r>
            <w:r>
              <w:rPr>
                <w:spacing w:val="7"/>
              </w:rPr>
              <w:t>15</w:t>
            </w:r>
            <w:r>
              <w:rPr>
                <w:spacing w:val="-35"/>
              </w:rPr>
              <w:t xml:space="preserve"> </w:t>
            </w:r>
            <w:r>
              <w:rPr>
                <w:spacing w:val="7"/>
              </w:rPr>
              <w:t>亿元，最近一年营业收入不低于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spacing w:val="7"/>
              </w:rPr>
              <w:t>亿元，且</w:t>
            </w:r>
            <w:r>
              <w:rPr>
                <w:spacing w:val="9"/>
              </w:rPr>
              <w:t>最近三年累计研发投入占最近三年累计营业收入的比例不低于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15%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121" w:right="332" w:hanging="5"/>
              <w:spacing w:before="221" w:line="293" w:lineRule="auto"/>
              <w:rPr/>
            </w:pPr>
            <w:r>
              <w:rPr>
                <w:spacing w:val="8"/>
              </w:rPr>
              <w:t>预计市值，营</w:t>
            </w:r>
            <w:r>
              <w:rPr>
                <w:spacing w:val="7"/>
              </w:rPr>
              <w:t>收，研发投入</w:t>
            </w:r>
          </w:p>
        </w:tc>
      </w:tr>
      <w:tr>
        <w:trPr>
          <w:trHeight w:val="604" w:hRule="atLeast"/>
        </w:trPr>
        <w:tc>
          <w:tcPr>
            <w:tcW w:w="930" w:type="dxa"/>
            <w:vAlign w:val="top"/>
          </w:tcPr>
          <w:p>
            <w:pPr>
              <w:pStyle w:val="TableText"/>
              <w:ind w:left="115"/>
              <w:spacing w:before="201" w:line="228" w:lineRule="auto"/>
              <w:rPr/>
            </w:pPr>
            <w:r>
              <w:rPr>
                <w:spacing w:val="6"/>
              </w:rPr>
              <w:t>第三类</w:t>
            </w:r>
          </w:p>
        </w:tc>
        <w:tc>
          <w:tcPr>
            <w:tcW w:w="5729" w:type="dxa"/>
            <w:vAlign w:val="top"/>
          </w:tcPr>
          <w:p>
            <w:pPr>
              <w:pStyle w:val="TableText"/>
              <w:ind w:left="111" w:right="134"/>
              <w:spacing w:before="71" w:line="254" w:lineRule="auto"/>
              <w:rPr/>
            </w:pPr>
            <w:r>
              <w:rPr>
                <w:spacing w:val="7"/>
              </w:rPr>
              <w:t>预计市值不低于</w:t>
            </w:r>
            <w:r>
              <w:rPr>
                <w:spacing w:val="-33"/>
              </w:rPr>
              <w:t xml:space="preserve"> </w:t>
            </w:r>
            <w:r>
              <w:rPr>
                <w:spacing w:val="7"/>
              </w:rPr>
              <w:t>20</w:t>
            </w:r>
            <w:r>
              <w:rPr>
                <w:spacing w:val="-35"/>
              </w:rPr>
              <w:t xml:space="preserve"> </w:t>
            </w:r>
            <w:r>
              <w:rPr>
                <w:spacing w:val="7"/>
              </w:rPr>
              <w:t>亿元，最近一年营业收入不低于</w:t>
            </w:r>
            <w:r>
              <w:rPr>
                <w:spacing w:val="-31"/>
              </w:rPr>
              <w:t xml:space="preserve"> </w:t>
            </w:r>
            <w:r>
              <w:rPr>
                <w:spacing w:val="7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spacing w:val="7"/>
              </w:rPr>
              <w:t>亿元，且</w:t>
            </w:r>
            <w:r>
              <w:rPr>
                <w:spacing w:val="8"/>
              </w:rPr>
              <w:t>最近三年经营活动产生的现金流量净额累计不低于</w:t>
            </w:r>
            <w:r>
              <w:rPr>
                <w:spacing w:val="-20"/>
              </w:rPr>
              <w:t xml:space="preserve"> </w:t>
            </w:r>
            <w:r>
              <w:rPr>
                <w:spacing w:val="8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spacing w:val="7"/>
              </w:rPr>
              <w:t>亿元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121" w:right="332" w:hanging="5"/>
              <w:spacing w:before="71" w:line="254" w:lineRule="auto"/>
              <w:rPr/>
            </w:pPr>
            <w:r>
              <w:rPr>
                <w:spacing w:val="8"/>
              </w:rPr>
              <w:t>预计市值，营</w:t>
            </w:r>
            <w:r>
              <w:rPr>
                <w:spacing w:val="6"/>
              </w:rPr>
              <w:t>收，现金流</w:t>
            </w:r>
          </w:p>
        </w:tc>
      </w:tr>
      <w:tr>
        <w:trPr>
          <w:trHeight w:val="362" w:hRule="atLeast"/>
        </w:trPr>
        <w:tc>
          <w:tcPr>
            <w:tcW w:w="930" w:type="dxa"/>
            <w:vAlign w:val="top"/>
          </w:tcPr>
          <w:p>
            <w:pPr>
              <w:pStyle w:val="TableText"/>
              <w:ind w:left="115"/>
              <w:spacing w:before="82" w:line="228" w:lineRule="auto"/>
              <w:rPr/>
            </w:pPr>
            <w:r>
              <w:rPr>
                <w:spacing w:val="6"/>
              </w:rPr>
              <w:t>第四类</w:t>
            </w:r>
          </w:p>
        </w:tc>
        <w:tc>
          <w:tcPr>
            <w:tcW w:w="5729" w:type="dxa"/>
            <w:vAlign w:val="top"/>
          </w:tcPr>
          <w:p>
            <w:pPr>
              <w:pStyle w:val="TableText"/>
              <w:ind w:left="111"/>
              <w:spacing w:before="72" w:line="228" w:lineRule="auto"/>
              <w:rPr/>
            </w:pPr>
            <w:r>
              <w:rPr>
                <w:spacing w:val="7"/>
              </w:rPr>
              <w:t>预计市值不低于</w:t>
            </w:r>
            <w:r>
              <w:rPr>
                <w:spacing w:val="-26"/>
              </w:rPr>
              <w:t xml:space="preserve"> </w:t>
            </w:r>
            <w:r>
              <w:rPr>
                <w:spacing w:val="7"/>
              </w:rPr>
              <w:t>30</w:t>
            </w:r>
            <w:r>
              <w:rPr>
                <w:spacing w:val="-35"/>
              </w:rPr>
              <w:t xml:space="preserve"> </w:t>
            </w:r>
            <w:r>
              <w:rPr>
                <w:spacing w:val="7"/>
              </w:rPr>
              <w:t>亿元，且最近一年营业收入不低于</w:t>
            </w:r>
            <w:r>
              <w:rPr>
                <w:spacing w:val="-29"/>
              </w:rPr>
              <w:t xml:space="preserve"> </w:t>
            </w:r>
            <w:r>
              <w:rPr>
                <w:spacing w:val="7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spacing w:val="7"/>
              </w:rPr>
              <w:t>亿元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116"/>
              <w:spacing w:before="101" w:line="228" w:lineRule="auto"/>
              <w:rPr/>
            </w:pPr>
            <w:r>
              <w:rPr>
                <w:spacing w:val="8"/>
              </w:rPr>
              <w:t>预计市值，营收</w:t>
            </w:r>
          </w:p>
        </w:tc>
      </w:tr>
      <w:tr>
        <w:trPr>
          <w:trHeight w:val="1210" w:hRule="atLeast"/>
        </w:trPr>
        <w:tc>
          <w:tcPr>
            <w:tcW w:w="930" w:type="dxa"/>
            <w:vAlign w:val="top"/>
          </w:tcPr>
          <w:p>
            <w:pPr>
              <w:spacing w:line="4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2" w:line="228" w:lineRule="auto"/>
              <w:rPr/>
            </w:pPr>
            <w:r>
              <w:rPr>
                <w:spacing w:val="6"/>
              </w:rPr>
              <w:t>第五类</w:t>
            </w:r>
          </w:p>
        </w:tc>
        <w:tc>
          <w:tcPr>
            <w:tcW w:w="5729" w:type="dxa"/>
            <w:vAlign w:val="top"/>
          </w:tcPr>
          <w:p>
            <w:pPr>
              <w:pStyle w:val="TableText"/>
              <w:ind w:left="110" w:right="126"/>
              <w:spacing w:before="76" w:line="273" w:lineRule="auto"/>
              <w:rPr/>
            </w:pPr>
            <w:r>
              <w:rPr>
                <w:spacing w:val="8"/>
              </w:rPr>
              <w:t>预计市值不低于</w:t>
            </w:r>
            <w:r>
              <w:rPr>
                <w:spacing w:val="-24"/>
              </w:rPr>
              <w:t xml:space="preserve"> </w:t>
            </w:r>
            <w:r>
              <w:rPr>
                <w:spacing w:val="8"/>
              </w:rPr>
              <w:t>40</w:t>
            </w:r>
            <w:r>
              <w:rPr>
                <w:spacing w:val="-35"/>
              </w:rPr>
              <w:t xml:space="preserve"> </w:t>
            </w:r>
            <w:r>
              <w:rPr>
                <w:spacing w:val="8"/>
              </w:rPr>
              <w:t>亿元，主要业务或产品需经国家有关部门批</w:t>
            </w:r>
            <w:r>
              <w:rPr>
                <w:spacing w:val="9"/>
              </w:rPr>
              <w:t>准，市场空间大，目前已取得阶段性成果。医药企业需至少有</w:t>
            </w:r>
            <w:r>
              <w:rPr>
                <w:spacing w:val="9"/>
              </w:rPr>
              <w:t>一项核心产品获准开展二期临床试验，其他企业需具备明显的</w:t>
            </w:r>
            <w:r>
              <w:rPr>
                <w:spacing w:val="9"/>
              </w:rPr>
              <w:t>技术优势并满足相应条件</w:t>
            </w:r>
          </w:p>
        </w:tc>
        <w:tc>
          <w:tcPr>
            <w:tcW w:w="1643" w:type="dxa"/>
            <w:vAlign w:val="top"/>
          </w:tcPr>
          <w:p>
            <w:pPr>
              <w:spacing w:line="4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62" w:line="228" w:lineRule="auto"/>
              <w:rPr/>
            </w:pPr>
            <w:r>
              <w:rPr>
                <w:spacing w:val="8"/>
              </w:rPr>
              <w:t>预计市值，产品</w:t>
            </w:r>
          </w:p>
        </w:tc>
      </w:tr>
    </w:tbl>
    <w:p>
      <w:pPr>
        <w:spacing w:line="42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二、科创企业估值方法比较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3" w:firstLine="596"/>
        <w:spacing w:before="97" w:line="260" w:lineRule="auto"/>
        <w:rPr/>
      </w:pPr>
      <w:r>
        <w:rPr>
          <w:spacing w:val="-6"/>
        </w:rPr>
        <w:t>各种估值方法看似复杂多变，其本质都是未来现金流的折现。</w:t>
      </w:r>
      <w:r>
        <w:rPr>
          <w:spacing w:val="-5"/>
        </w:rPr>
        <w:t>常见估值方法的优缺点如下表。</w:t>
      </w:r>
    </w:p>
    <w:p>
      <w:pPr>
        <w:ind w:left="2704"/>
        <w:spacing w:before="259" w:line="20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常用估值方法的优缺点</w:t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1699"/>
        <w:gridCol w:w="2835"/>
        <w:gridCol w:w="2917"/>
      </w:tblGrid>
      <w:tr>
        <w:trPr>
          <w:trHeight w:val="369" w:hRule="atLeast"/>
        </w:trPr>
        <w:tc>
          <w:tcPr>
            <w:tcW w:w="851" w:type="dxa"/>
            <w:vAlign w:val="top"/>
          </w:tcPr>
          <w:p>
            <w:pPr>
              <w:pStyle w:val="TableText"/>
              <w:ind w:left="230"/>
              <w:spacing w:before="83" w:line="228" w:lineRule="auto"/>
              <w:rPr/>
            </w:pPr>
            <w:r>
              <w:rPr>
                <w:b/>
                <w:bCs/>
                <w:spacing w:val="4"/>
              </w:rPr>
              <w:t>类型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656"/>
              <w:spacing w:before="82" w:line="231" w:lineRule="auto"/>
              <w:rPr/>
            </w:pPr>
            <w:r>
              <w:rPr>
                <w:b/>
                <w:bCs/>
                <w:spacing w:val="3"/>
              </w:rPr>
              <w:t>名称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1220"/>
              <w:spacing w:before="83" w:line="228" w:lineRule="auto"/>
              <w:rPr/>
            </w:pPr>
            <w:r>
              <w:rPr>
                <w:b/>
                <w:bCs/>
                <w:spacing w:val="4"/>
              </w:rPr>
              <w:t>优点</w:t>
            </w:r>
          </w:p>
        </w:tc>
        <w:tc>
          <w:tcPr>
            <w:tcW w:w="2917" w:type="dxa"/>
            <w:vAlign w:val="top"/>
          </w:tcPr>
          <w:p>
            <w:pPr>
              <w:pStyle w:val="TableText"/>
              <w:ind w:left="1261"/>
              <w:spacing w:before="83" w:line="229" w:lineRule="auto"/>
              <w:rPr/>
            </w:pPr>
            <w:r>
              <w:rPr>
                <w:b/>
                <w:bCs/>
                <w:spacing w:val="4"/>
              </w:rPr>
              <w:t>缺点</w:t>
            </w:r>
          </w:p>
        </w:tc>
      </w:tr>
      <w:tr>
        <w:trPr>
          <w:trHeight w:val="1204" w:hRule="atLeast"/>
        </w:trPr>
        <w:tc>
          <w:tcPr>
            <w:tcW w:w="851" w:type="dxa"/>
            <w:vAlign w:val="top"/>
            <w:vMerge w:val="restart"/>
            <w:tcBorders>
              <w:bottom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 w:right="126" w:hanging="100"/>
              <w:spacing w:before="61" w:line="349" w:lineRule="auto"/>
              <w:rPr/>
            </w:pPr>
            <w:r>
              <w:rPr>
                <w:spacing w:val="6"/>
              </w:rPr>
              <w:t>相对估</w:t>
            </w:r>
            <w:r>
              <w:rPr>
                <w:spacing w:val="5"/>
              </w:rPr>
              <w:t>值法</w:t>
            </w:r>
          </w:p>
        </w:tc>
        <w:tc>
          <w:tcPr>
            <w:tcW w:w="1699" w:type="dxa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 w:right="263" w:firstLine="96"/>
              <w:spacing w:before="61" w:line="295" w:lineRule="auto"/>
              <w:rPr/>
            </w:pPr>
            <w:r>
              <w:rPr>
                <w:spacing w:val="7"/>
              </w:rPr>
              <w:t>市盈率模型</w:t>
            </w:r>
            <w:r>
              <w:rPr>
                <w:spacing w:val="5"/>
              </w:rPr>
              <w:t>（</w:t>
            </w:r>
            <w:r>
              <w:rPr/>
              <w:t>PE</w:t>
            </w:r>
            <w:r>
              <w:rPr>
                <w:spacing w:val="5"/>
              </w:rPr>
              <w:t>=P/</w:t>
            </w:r>
            <w:r>
              <w:rPr/>
              <w:t>EPS</w:t>
            </w:r>
            <w:r>
              <w:rPr>
                <w:spacing w:val="5"/>
              </w:rPr>
              <w:t>）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111"/>
              <w:spacing w:before="68" w:line="228" w:lineRule="auto"/>
              <w:rPr/>
            </w:pPr>
            <w:r>
              <w:rPr>
                <w:spacing w:val="9"/>
              </w:rPr>
              <w:t>近期盈利容易预测，计算简</w:t>
            </w:r>
          </w:p>
          <w:p>
            <w:pPr>
              <w:pStyle w:val="TableText"/>
              <w:ind w:left="113" w:right="126"/>
              <w:spacing w:before="66" w:line="267" w:lineRule="auto"/>
              <w:rPr/>
            </w:pPr>
            <w:r>
              <w:rPr>
                <w:spacing w:val="9"/>
              </w:rPr>
              <w:t>便，直接反映市场对公司收益</w:t>
            </w:r>
            <w:r>
              <w:rPr>
                <w:spacing w:val="9"/>
              </w:rPr>
              <w:t>的预期，考虑了公司及行业的</w:t>
            </w:r>
            <w:r>
              <w:rPr>
                <w:spacing w:val="6"/>
              </w:rPr>
              <w:t>成长性</w:t>
            </w:r>
          </w:p>
        </w:tc>
        <w:tc>
          <w:tcPr>
            <w:tcW w:w="2917" w:type="dxa"/>
            <w:vAlign w:val="top"/>
          </w:tcPr>
          <w:p>
            <w:pPr>
              <w:pStyle w:val="TableText"/>
              <w:ind w:left="113" w:right="206" w:hanging="1"/>
              <w:spacing w:before="70" w:line="292" w:lineRule="auto"/>
              <w:jc w:val="both"/>
              <w:rPr/>
            </w:pPr>
            <w:r>
              <w:rPr/>
              <w:t>EPS</w:t>
            </w:r>
            <w:r>
              <w:rPr>
                <w:spacing w:val="-27"/>
              </w:rPr>
              <w:t xml:space="preserve"> </w:t>
            </w:r>
            <w:r>
              <w:rPr>
                <w:spacing w:val="9"/>
              </w:rPr>
              <w:t>受会计会计政策和企业生</w:t>
            </w:r>
            <w:r>
              <w:rPr>
                <w:spacing w:val="9"/>
              </w:rPr>
              <w:t>命周期变化的影响较大，亏损</w:t>
            </w:r>
            <w:r>
              <w:rPr>
                <w:spacing w:val="8"/>
              </w:rPr>
              <w:t>企业无法使用</w:t>
            </w:r>
          </w:p>
        </w:tc>
      </w:tr>
      <w:tr>
        <w:trPr>
          <w:trHeight w:val="1204" w:hRule="atLeast"/>
        </w:trPr>
        <w:tc>
          <w:tcPr>
            <w:tcW w:w="8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 w:right="263" w:firstLine="96"/>
              <w:spacing w:before="62" w:line="296" w:lineRule="auto"/>
              <w:rPr/>
            </w:pPr>
            <w:r>
              <w:rPr>
                <w:spacing w:val="7"/>
              </w:rPr>
              <w:t>市净率模型</w:t>
            </w:r>
            <w:r>
              <w:rPr>
                <w:spacing w:val="5"/>
              </w:rPr>
              <w:t>（</w:t>
            </w:r>
            <w:r>
              <w:rPr/>
              <w:t>PB</w:t>
            </w:r>
            <w:r>
              <w:rPr>
                <w:spacing w:val="5"/>
              </w:rPr>
              <w:t>=P/</w:t>
            </w:r>
            <w:r>
              <w:rPr/>
              <w:t>BPS</w:t>
            </w:r>
            <w:r>
              <w:rPr>
                <w:spacing w:val="5"/>
              </w:rPr>
              <w:t>）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112" w:right="125"/>
              <w:spacing w:before="70" w:line="273" w:lineRule="auto"/>
              <w:jc w:val="both"/>
              <w:rPr/>
            </w:pPr>
            <w:r>
              <w:rPr>
                <w:spacing w:val="5"/>
              </w:rPr>
              <w:t>基于净资产进行估值，</w:t>
            </w:r>
            <w:r>
              <w:rPr>
                <w:spacing w:val="-41"/>
              </w:rPr>
              <w:t xml:space="preserve"> </w:t>
            </w:r>
            <w:r>
              <w:rPr>
                <w:spacing w:val="5"/>
              </w:rPr>
              <w:t>浅显易</w:t>
            </w:r>
            <w:r>
              <w:rPr>
                <w:spacing w:val="9"/>
              </w:rPr>
              <w:t>懂，人为操控的难度大；每股</w:t>
            </w:r>
            <w:r>
              <w:rPr>
                <w:spacing w:val="9"/>
              </w:rPr>
              <w:t>净资产通常为正且相对每股收</w:t>
            </w:r>
            <w:r>
              <w:rPr>
                <w:spacing w:val="7"/>
              </w:rPr>
              <w:t>益更稳定</w:t>
            </w:r>
          </w:p>
        </w:tc>
        <w:tc>
          <w:tcPr>
            <w:tcW w:w="2917" w:type="dxa"/>
            <w:vAlign w:val="top"/>
          </w:tcPr>
          <w:p>
            <w:pPr>
              <w:pStyle w:val="TableText"/>
              <w:ind w:left="116"/>
              <w:spacing w:before="69" w:line="227" w:lineRule="auto"/>
              <w:rPr/>
            </w:pPr>
            <w:r>
              <w:rPr>
                <w:spacing w:val="8"/>
              </w:rPr>
              <w:t>无法准确衡量无形资产的价</w:t>
            </w:r>
          </w:p>
          <w:p>
            <w:pPr>
              <w:pStyle w:val="TableText"/>
              <w:ind w:left="117" w:right="206" w:hanging="3"/>
              <w:spacing w:before="65" w:line="294" w:lineRule="auto"/>
              <w:rPr/>
            </w:pPr>
            <w:r>
              <w:rPr>
                <w:spacing w:val="9"/>
              </w:rPr>
              <w:t>值，不适用于净资产规模小的</w:t>
            </w:r>
            <w:r>
              <w:rPr>
                <w:spacing w:val="8"/>
              </w:rPr>
              <w:t>企业，无法反映公司成长性</w:t>
            </w:r>
          </w:p>
        </w:tc>
      </w:tr>
      <w:tr>
        <w:trPr>
          <w:trHeight w:val="1203" w:hRule="atLeast"/>
        </w:trPr>
        <w:tc>
          <w:tcPr>
            <w:tcW w:w="8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3" w:right="263" w:firstLine="96"/>
              <w:spacing w:before="62" w:line="295" w:lineRule="auto"/>
              <w:rPr/>
            </w:pPr>
            <w:r>
              <w:rPr>
                <w:spacing w:val="7"/>
              </w:rPr>
              <w:t>市销率模型</w:t>
            </w:r>
            <w:r>
              <w:rPr>
                <w:spacing w:val="5"/>
              </w:rPr>
              <w:t>（</w:t>
            </w:r>
            <w:r>
              <w:rPr/>
              <w:t>PS</w:t>
            </w:r>
            <w:r>
              <w:rPr>
                <w:spacing w:val="5"/>
              </w:rPr>
              <w:t>=P/</w:t>
            </w:r>
            <w:r>
              <w:rPr/>
              <w:t>SPS</w:t>
            </w:r>
            <w:r>
              <w:rPr>
                <w:spacing w:val="5"/>
              </w:rPr>
              <w:t>）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116" w:right="126" w:firstLine="2"/>
              <w:spacing w:before="69" w:line="273" w:lineRule="auto"/>
              <w:jc w:val="both"/>
              <w:rPr/>
            </w:pPr>
            <w:r>
              <w:rPr>
                <w:spacing w:val="8"/>
              </w:rPr>
              <w:t>收入不会出现负值，亏损企业</w:t>
            </w:r>
            <w:r>
              <w:rPr>
                <w:spacing w:val="8"/>
              </w:rPr>
              <w:t>也可使用，适用范围广；营业</w:t>
            </w:r>
            <w:r>
              <w:rPr>
                <w:spacing w:val="8"/>
              </w:rPr>
              <w:t>收入稳定、波动小，不像利润</w:t>
            </w:r>
            <w:r>
              <w:rPr>
                <w:spacing w:val="6"/>
              </w:rPr>
              <w:t>易被操控</w:t>
            </w:r>
          </w:p>
        </w:tc>
        <w:tc>
          <w:tcPr>
            <w:tcW w:w="2917" w:type="dxa"/>
            <w:vAlign w:val="top"/>
          </w:tcPr>
          <w:p>
            <w:pPr>
              <w:pStyle w:val="TableText"/>
              <w:ind w:left="114" w:right="206" w:firstLine="6"/>
              <w:spacing w:before="71" w:line="292" w:lineRule="auto"/>
              <w:jc w:val="both"/>
              <w:rPr/>
            </w:pPr>
            <w:r>
              <w:rPr>
                <w:spacing w:val="8"/>
              </w:rPr>
              <w:t>营收不能直观反映企业创造价</w:t>
            </w:r>
            <w:r>
              <w:rPr>
                <w:spacing w:val="6"/>
              </w:rPr>
              <w:t>值能力，</w:t>
            </w:r>
            <w:r>
              <w:rPr>
                <w:spacing w:val="-54"/>
              </w:rPr>
              <w:t xml:space="preserve"> </w:t>
            </w:r>
            <w:r>
              <w:rPr>
                <w:spacing w:val="6"/>
              </w:rPr>
              <w:t>成本、利润波动较大</w:t>
            </w:r>
            <w:r>
              <w:rPr>
                <w:spacing w:val="8"/>
              </w:rPr>
              <w:t>企业的预测精度较低</w:t>
            </w:r>
          </w:p>
        </w:tc>
      </w:tr>
      <w:tr>
        <w:trPr>
          <w:trHeight w:val="904" w:hRule="atLeast"/>
        </w:trPr>
        <w:tc>
          <w:tcPr>
            <w:tcW w:w="85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pStyle w:val="TableText"/>
              <w:ind w:left="263" w:right="263" w:firstLine="212"/>
              <w:spacing w:before="224" w:line="295" w:lineRule="auto"/>
              <w:rPr/>
            </w:pPr>
            <w:r>
              <w:rPr/>
              <w:t>PEG</w:t>
            </w:r>
            <w:r>
              <w:rPr>
                <w:spacing w:val="-37"/>
              </w:rPr>
              <w:t xml:space="preserve"> </w:t>
            </w:r>
            <w:r>
              <w:rPr>
                <w:spacing w:val="11"/>
              </w:rPr>
              <w:t>模型</w:t>
            </w:r>
            <w:r>
              <w:rPr/>
              <w:t xml:space="preserve"> </w:t>
            </w:r>
            <w:r>
              <w:rPr>
                <w:spacing w:val="5"/>
              </w:rPr>
              <w:t>（</w:t>
            </w:r>
            <w:r>
              <w:rPr/>
              <w:t>PEG</w:t>
            </w:r>
            <w:r>
              <w:rPr>
                <w:spacing w:val="5"/>
              </w:rPr>
              <w:t>=</w:t>
            </w:r>
            <w:r>
              <w:rPr/>
              <w:t>PE</w:t>
            </w:r>
            <w:r>
              <w:rPr>
                <w:spacing w:val="5"/>
              </w:rPr>
              <w:t>/G）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112" w:right="126" w:firstLine="2"/>
              <w:spacing w:before="72" w:line="266" w:lineRule="auto"/>
              <w:rPr/>
            </w:pPr>
            <w:r>
              <w:rPr>
                <w:spacing w:val="9"/>
              </w:rPr>
              <w:t>更好的考虑了企业业绩的成长</w:t>
            </w:r>
            <w:r>
              <w:rPr>
                <w:spacing w:val="8"/>
              </w:rPr>
              <w:t>性，优化了对高</w:t>
            </w:r>
            <w:r>
              <w:rPr>
                <w:spacing w:val="-40"/>
              </w:rPr>
              <w:t xml:space="preserve"> </w:t>
            </w:r>
            <w:r>
              <w:rPr/>
              <w:t>PE</w:t>
            </w:r>
            <w:r>
              <w:rPr>
                <w:spacing w:val="-29"/>
              </w:rPr>
              <w:t xml:space="preserve"> </w:t>
            </w:r>
            <w:r>
              <w:rPr>
                <w:spacing w:val="8"/>
              </w:rPr>
              <w:t>公司的估</w:t>
            </w:r>
            <w:r>
              <w:rPr>
                <w:spacing w:val="1"/>
              </w:rPr>
              <w:t>值</w:t>
            </w:r>
          </w:p>
        </w:tc>
        <w:tc>
          <w:tcPr>
            <w:tcW w:w="2917" w:type="dxa"/>
            <w:vAlign w:val="top"/>
          </w:tcPr>
          <w:p>
            <w:pPr>
              <w:pStyle w:val="TableText"/>
              <w:ind w:left="114" w:right="206" w:firstLine="6"/>
              <w:spacing w:before="72" w:line="266" w:lineRule="auto"/>
              <w:jc w:val="both"/>
              <w:rPr/>
            </w:pPr>
            <w:r>
              <w:rPr>
                <w:spacing w:val="8"/>
              </w:rPr>
              <w:t>忽视当前盈利能力，不能对亏</w:t>
            </w:r>
            <w:r>
              <w:rPr>
                <w:spacing w:val="9"/>
              </w:rPr>
              <w:t>损企业估值，未来增长率难以</w:t>
            </w:r>
            <w:r>
              <w:rPr>
                <w:spacing w:val="7"/>
              </w:rPr>
              <w:t>准确估计</w:t>
            </w:r>
          </w:p>
        </w:tc>
      </w:tr>
      <w:tr>
        <w:trPr>
          <w:trHeight w:val="911" w:hRule="atLeast"/>
        </w:trPr>
        <w:tc>
          <w:tcPr>
            <w:tcW w:w="85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pStyle w:val="TableText"/>
              <w:ind w:left="212" w:right="215" w:firstLine="43"/>
              <w:spacing w:before="223" w:line="296" w:lineRule="auto"/>
              <w:rPr/>
            </w:pPr>
            <w:r>
              <w:rPr>
                <w:spacing w:val="7"/>
              </w:rPr>
              <w:t>企业价值倍数</w:t>
            </w:r>
            <w:r>
              <w:rPr>
                <w:spacing w:val="10"/>
              </w:rPr>
              <w:t>（</w:t>
            </w:r>
            <w:r>
              <w:rPr/>
              <w:t>EV</w:t>
            </w:r>
            <w:r>
              <w:rPr>
                <w:spacing w:val="10"/>
              </w:rPr>
              <w:t>/</w:t>
            </w:r>
            <w:r>
              <w:rPr/>
              <w:t>EBITDA</w:t>
            </w:r>
            <w:r>
              <w:rPr>
                <w:spacing w:val="10"/>
              </w:rPr>
              <w:t>）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112" w:right="126"/>
              <w:spacing w:before="76" w:line="267" w:lineRule="auto"/>
              <w:jc w:val="both"/>
              <w:rPr/>
            </w:pPr>
            <w:r>
              <w:rPr>
                <w:spacing w:val="9"/>
              </w:rPr>
              <w:t>排除了折旧摊销、所得税和资</w:t>
            </w:r>
            <w:r>
              <w:rPr>
                <w:spacing w:val="5"/>
              </w:rPr>
              <w:t>本结构的影响，</w:t>
            </w:r>
            <w:r>
              <w:rPr>
                <w:spacing w:val="-42"/>
              </w:rPr>
              <w:t xml:space="preserve"> </w:t>
            </w:r>
            <w:r>
              <w:rPr>
                <w:spacing w:val="5"/>
              </w:rPr>
              <w:t>更注重主营业</w:t>
            </w:r>
            <w:r>
              <w:rPr>
                <w:spacing w:val="6"/>
              </w:rPr>
              <w:t>务收入</w:t>
            </w:r>
          </w:p>
        </w:tc>
        <w:tc>
          <w:tcPr>
            <w:tcW w:w="2917" w:type="dxa"/>
            <w:vAlign w:val="top"/>
          </w:tcPr>
          <w:p>
            <w:pPr>
              <w:pStyle w:val="TableText"/>
              <w:ind w:left="118" w:right="205" w:hanging="4"/>
              <w:spacing w:before="76" w:line="267" w:lineRule="auto"/>
              <w:jc w:val="both"/>
              <w:rPr/>
            </w:pPr>
            <w:r>
              <w:rPr>
                <w:spacing w:val="6"/>
              </w:rPr>
              <w:t>计算比较复杂，</w:t>
            </w:r>
            <w:r>
              <w:rPr>
                <w:spacing w:val="-52"/>
              </w:rPr>
              <w:t xml:space="preserve"> </w:t>
            </w:r>
            <w:r>
              <w:rPr>
                <w:spacing w:val="6"/>
              </w:rPr>
              <w:t>不适用于控股</w:t>
            </w:r>
            <w:r>
              <w:rPr>
                <w:spacing w:val="8"/>
              </w:rPr>
              <w:t>结构复杂或者固定资产变化快</w:t>
            </w:r>
            <w:r>
              <w:rPr>
                <w:spacing w:val="5"/>
              </w:rPr>
              <w:t>的企业，</w:t>
            </w:r>
            <w:r>
              <w:rPr>
                <w:spacing w:val="-46"/>
              </w:rPr>
              <w:t xml:space="preserve"> </w:t>
            </w:r>
            <w:r>
              <w:rPr>
                <w:spacing w:val="5"/>
              </w:rPr>
              <w:t>忽略了企业的成长性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1431" w:right="1543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1699"/>
        <w:gridCol w:w="2835"/>
        <w:gridCol w:w="2917"/>
      </w:tblGrid>
      <w:tr>
        <w:trPr>
          <w:trHeight w:val="907" w:hRule="atLeast"/>
        </w:trPr>
        <w:tc>
          <w:tcPr>
            <w:tcW w:w="851" w:type="dxa"/>
            <w:vAlign w:val="top"/>
            <w:vMerge w:val="restart"/>
            <w:tcBorders>
              <w:bottom w:val="nil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0" w:right="126" w:hanging="99"/>
              <w:spacing w:before="62" w:line="351" w:lineRule="auto"/>
              <w:rPr/>
            </w:pPr>
            <w:r>
              <w:rPr>
                <w:spacing w:val="6"/>
              </w:rPr>
              <w:t>绝对估</w:t>
            </w:r>
            <w:r>
              <w:rPr>
                <w:spacing w:val="5"/>
              </w:rPr>
              <w:t>值法</w:t>
            </w:r>
          </w:p>
        </w:tc>
        <w:tc>
          <w:tcPr>
            <w:tcW w:w="1699" w:type="dxa"/>
            <w:vAlign w:val="top"/>
          </w:tcPr>
          <w:p>
            <w:pPr>
              <w:pStyle w:val="TableText"/>
              <w:ind w:left="156"/>
              <w:spacing w:before="225" w:line="228" w:lineRule="auto"/>
              <w:rPr/>
            </w:pPr>
            <w:r>
              <w:rPr>
                <w:spacing w:val="8"/>
              </w:rPr>
              <w:t>现金流贴现模型</w:t>
            </w:r>
          </w:p>
          <w:p>
            <w:pPr>
              <w:pStyle w:val="TableText"/>
              <w:ind w:left="512"/>
              <w:spacing w:before="64" w:line="241" w:lineRule="auto"/>
              <w:rPr/>
            </w:pPr>
            <w:r>
              <w:rPr>
                <w:spacing w:val="3"/>
              </w:rPr>
              <w:t>（</w:t>
            </w:r>
            <w:r>
              <w:rPr/>
              <w:t>DCF</w:t>
            </w:r>
            <w:r>
              <w:rPr>
                <w:spacing w:val="3"/>
              </w:rPr>
              <w:t>）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112" w:right="126"/>
              <w:spacing w:before="72" w:line="267" w:lineRule="auto"/>
              <w:jc w:val="both"/>
              <w:rPr/>
            </w:pPr>
            <w:r>
              <w:rPr>
                <w:spacing w:val="9"/>
              </w:rPr>
              <w:t>测算企业内在价值，避免相对</w:t>
            </w:r>
            <w:r>
              <w:rPr>
                <w:spacing w:val="9"/>
              </w:rPr>
              <w:t>估值法选取可比企业带来的比</w:t>
            </w:r>
            <w:r>
              <w:rPr>
                <w:spacing w:val="6"/>
              </w:rPr>
              <w:t>较偏差</w:t>
            </w:r>
          </w:p>
        </w:tc>
        <w:tc>
          <w:tcPr>
            <w:tcW w:w="2917" w:type="dxa"/>
            <w:vAlign w:val="top"/>
          </w:tcPr>
          <w:p>
            <w:pPr>
              <w:pStyle w:val="TableText"/>
              <w:ind w:left="116"/>
              <w:spacing w:before="73" w:line="228" w:lineRule="auto"/>
              <w:rPr/>
            </w:pPr>
            <w:r>
              <w:rPr>
                <w:spacing w:val="8"/>
              </w:rPr>
              <w:t>现金流和加权平均资本成本</w:t>
            </w:r>
          </w:p>
          <w:p>
            <w:pPr>
              <w:pStyle w:val="TableText"/>
              <w:ind w:left="117" w:right="216" w:firstLine="7"/>
              <w:spacing w:before="65" w:line="254" w:lineRule="auto"/>
              <w:rPr/>
            </w:pPr>
            <w:r>
              <w:rPr>
                <w:spacing w:val="7"/>
              </w:rPr>
              <w:t>（即贴现率）都是预测的，误</w:t>
            </w:r>
            <w:r>
              <w:rPr>
                <w:spacing w:val="7"/>
              </w:rPr>
              <w:t>差会影响估值</w:t>
            </w:r>
          </w:p>
        </w:tc>
      </w:tr>
      <w:tr>
        <w:trPr>
          <w:trHeight w:val="1209" w:hRule="atLeast"/>
        </w:trPr>
        <w:tc>
          <w:tcPr>
            <w:tcW w:w="85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99" w:type="dxa"/>
            <w:vAlign w:val="top"/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3"/>
              <w:spacing w:before="62" w:line="228" w:lineRule="auto"/>
              <w:rPr/>
            </w:pPr>
            <w:r>
              <w:rPr>
                <w:spacing w:val="8"/>
              </w:rPr>
              <w:t>股利贴现模型</w:t>
            </w:r>
          </w:p>
          <w:p>
            <w:pPr>
              <w:pStyle w:val="TableText"/>
              <w:ind w:left="512"/>
              <w:spacing w:before="64" w:line="241" w:lineRule="auto"/>
              <w:rPr/>
            </w:pPr>
            <w:r>
              <w:rPr>
                <w:spacing w:val="3"/>
              </w:rPr>
              <w:t>（</w:t>
            </w:r>
            <w:r>
              <w:rPr/>
              <w:t>DDM</w:t>
            </w:r>
            <w:r>
              <w:rPr>
                <w:spacing w:val="3"/>
              </w:rPr>
              <w:t>）</w:t>
            </w:r>
          </w:p>
        </w:tc>
        <w:tc>
          <w:tcPr>
            <w:tcW w:w="2835" w:type="dxa"/>
            <w:vAlign w:val="top"/>
          </w:tcPr>
          <w:p>
            <w:pPr>
              <w:pStyle w:val="TableText"/>
              <w:ind w:left="112"/>
              <w:spacing w:before="71" w:line="227" w:lineRule="auto"/>
              <w:rPr/>
            </w:pPr>
            <w:r>
              <w:rPr>
                <w:spacing w:val="9"/>
              </w:rPr>
              <w:t>研究股票内在价值的经典模</w:t>
            </w:r>
          </w:p>
          <w:p>
            <w:pPr>
              <w:pStyle w:val="TableText"/>
              <w:ind w:left="118"/>
              <w:spacing w:before="66" w:line="228" w:lineRule="auto"/>
              <w:rPr/>
            </w:pPr>
            <w:r>
              <w:rPr>
                <w:spacing w:val="5"/>
              </w:rPr>
              <w:t>型，理论完善，</w:t>
            </w:r>
            <w:r>
              <w:rPr>
                <w:spacing w:val="-53"/>
              </w:rPr>
              <w:t xml:space="preserve"> </w:t>
            </w:r>
            <w:r>
              <w:rPr>
                <w:spacing w:val="5"/>
              </w:rPr>
              <w:t>模型设定简</w:t>
            </w:r>
          </w:p>
          <w:p>
            <w:pPr>
              <w:pStyle w:val="TableText"/>
              <w:ind w:left="113" w:right="126"/>
              <w:spacing w:before="66" w:line="256" w:lineRule="auto"/>
              <w:rPr/>
            </w:pPr>
            <w:r>
              <w:rPr>
                <w:spacing w:val="9"/>
              </w:rPr>
              <w:t>便，在数据精确时模型解释力</w:t>
            </w:r>
            <w:r>
              <w:rPr>
                <w:spacing w:val="4"/>
              </w:rPr>
              <w:t>很强</w:t>
            </w:r>
          </w:p>
        </w:tc>
        <w:tc>
          <w:tcPr>
            <w:tcW w:w="2917" w:type="dxa"/>
            <w:vAlign w:val="top"/>
          </w:tcPr>
          <w:p>
            <w:pPr>
              <w:pStyle w:val="TableText"/>
              <w:ind w:left="115" w:right="206"/>
              <w:spacing w:before="71" w:line="274" w:lineRule="auto"/>
              <w:jc w:val="both"/>
              <w:rPr/>
            </w:pPr>
            <w:r>
              <w:rPr>
                <w:spacing w:val="9"/>
              </w:rPr>
              <w:t>现实中股利和公司内在价值关</w:t>
            </w:r>
            <w:r>
              <w:rPr>
                <w:spacing w:val="9"/>
              </w:rPr>
              <w:t>联性不确定，部分公司经常不</w:t>
            </w:r>
            <w:r>
              <w:rPr>
                <w:spacing w:val="9"/>
              </w:rPr>
              <w:t>发放股利，或者减少股利增加</w:t>
            </w:r>
            <w:r>
              <w:rPr>
                <w:spacing w:val="8"/>
              </w:rPr>
              <w:t>留存收益用于扩大投资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7" w:right="12" w:firstLine="597"/>
        <w:spacing w:before="97" w:line="260" w:lineRule="auto"/>
        <w:jc w:val="both"/>
        <w:rPr/>
      </w:pPr>
      <w:r>
        <w:rPr>
          <w:spacing w:val="-1"/>
        </w:rPr>
        <w:t>在业绩稳定的情况下，市盈率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PE </w:t>
      </w:r>
      <w:r>
        <w:rPr>
          <w:spacing w:val="-1"/>
        </w:rPr>
        <w:t>最为直观便捷。当业绩波</w:t>
      </w:r>
      <w:r>
        <w:rPr>
          <w:spacing w:val="-4"/>
        </w:rPr>
        <w:t>动大、净利润失真时，市场会运用 </w:t>
      </w:r>
      <w:r>
        <w:rPr>
          <w:rFonts w:ascii="Times New Roman" w:hAnsi="Times New Roman" w:eastAsia="Times New Roman" w:cs="Times New Roman"/>
          <w:spacing w:val="-4"/>
        </w:rPr>
        <w:t>PS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P/FCF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EV/EB</w:t>
      </w:r>
      <w:r>
        <w:rPr>
          <w:rFonts w:ascii="Times New Roman" w:hAnsi="Times New Roman" w:eastAsia="Times New Roman" w:cs="Times New Roman"/>
          <w:spacing w:val="-5"/>
        </w:rPr>
        <w:t>ITDA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5"/>
        </w:rPr>
        <w:t>等</w:t>
      </w:r>
      <w:r>
        <w:rPr>
          <w:spacing w:val="-1"/>
        </w:rPr>
        <w:t>方法，基于未来现金流进行估值。</w:t>
      </w:r>
    </w:p>
    <w:p>
      <w:pPr>
        <w:pStyle w:val="BodyText"/>
        <w:ind w:left="31" w:right="16" w:firstLine="595"/>
        <w:spacing w:before="274" w:line="261" w:lineRule="auto"/>
        <w:rPr/>
      </w:pPr>
      <w:r>
        <w:rPr>
          <w:spacing w:val="-9"/>
        </w:rPr>
        <w:t>针对不同生命周期阶段、不同行业特征的科创企业，</w:t>
      </w:r>
      <w:r>
        <w:rPr>
          <w:spacing w:val="-25"/>
        </w:rPr>
        <w:t xml:space="preserve"> </w:t>
      </w:r>
      <w:r>
        <w:rPr>
          <w:spacing w:val="-9"/>
        </w:rPr>
        <w:t>应适用</w:t>
      </w:r>
      <w:r>
        <w:rPr>
          <w:spacing w:val="-7"/>
        </w:rPr>
        <w:t>不同的估值方法。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三、不同生命周期公司估值方法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9" w:right="13" w:firstLine="606"/>
        <w:spacing w:before="98" w:line="259" w:lineRule="auto"/>
        <w:rPr/>
      </w:pPr>
      <w:r>
        <w:rPr>
          <w:spacing w:val="-4"/>
        </w:rPr>
        <w:t>科创企业在生命周期不同阶段具有不同特征，适用不</w:t>
      </w:r>
      <w:r>
        <w:rPr>
          <w:spacing w:val="-5"/>
        </w:rPr>
        <w:t>同的估</w:t>
      </w:r>
      <w:r>
        <w:rPr>
          <w:spacing w:val="-9"/>
        </w:rPr>
        <w:t>值方法。在初创期， 科创企业大量投入，业绩波动大且多处于亏</w:t>
      </w:r>
      <w:r>
        <w:rPr>
          <w:spacing w:val="-4"/>
        </w:rPr>
        <w:t>损状态，尚未形成清晰的盈利模式，财务指标无法客观反映企业</w:t>
      </w:r>
      <w:r>
        <w:rPr>
          <w:spacing w:val="-14"/>
        </w:rPr>
        <w:t>价值，资本市场通常使用用户数、销量、交易流水</w:t>
      </w:r>
      <w:r>
        <w:rPr>
          <w:spacing w:val="-15"/>
        </w:rPr>
        <w:t>等经营指标（非</w:t>
      </w:r>
      <w:r>
        <w:rPr>
          <w:spacing w:val="-1"/>
        </w:rPr>
        <w:t>财务指标）衡量企业价值，主要估值方法有 </w:t>
      </w:r>
      <w:r>
        <w:rPr>
          <w:rFonts w:ascii="Times New Roman" w:hAnsi="Times New Roman" w:eastAsia="Times New Roman" w:cs="Times New Roman"/>
          <w:spacing w:val="-1"/>
        </w:rPr>
        <w:t>P/MAU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P/</w:t>
      </w:r>
      <w:r>
        <w:rPr>
          <w:spacing w:val="-1"/>
        </w:rPr>
        <w:t>销量、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P/GMV </w:t>
      </w:r>
      <w:r>
        <w:rPr>
          <w:spacing w:val="-2"/>
        </w:rPr>
        <w:t>等，海外成熟市场还有历史交易法、可比交易法等。</w:t>
      </w:r>
    </w:p>
    <w:p>
      <w:pPr>
        <w:pStyle w:val="BodyText"/>
        <w:ind w:left="25" w:right="12" w:firstLine="599"/>
        <w:spacing w:before="274" w:line="259" w:lineRule="auto"/>
        <w:jc w:val="both"/>
        <w:rPr/>
      </w:pPr>
      <w:r>
        <w:rPr>
          <w:spacing w:val="-4"/>
        </w:rPr>
        <w:t>在成长期，科创企业的创新产品逐渐得到市场认可</w:t>
      </w:r>
      <w:r>
        <w:rPr>
          <w:spacing w:val="-5"/>
        </w:rPr>
        <w:t>，经营现</w:t>
      </w:r>
      <w:r>
        <w:rPr>
          <w:spacing w:val="-4"/>
        </w:rPr>
        <w:t>金流由负转正，营收快速增长并扭亏为盈，资本市场通常使用相</w:t>
      </w:r>
      <w:r>
        <w:rPr>
          <w:spacing w:val="-4"/>
        </w:rPr>
        <w:t>对稳定、可预测的财务指标进行估值。当科创企业尚未达到盈亏</w:t>
      </w:r>
      <w:r>
        <w:rPr>
          <w:spacing w:val="-7"/>
        </w:rPr>
        <w:t>平衡点时，采用基于收入的估值方法（</w:t>
      </w:r>
      <w:r>
        <w:rPr>
          <w:rFonts w:ascii="Times New Roman" w:hAnsi="Times New Roman" w:eastAsia="Times New Roman" w:cs="Times New Roman"/>
          <w:spacing w:val="-7"/>
        </w:rPr>
        <w:t>PS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EV/S</w:t>
      </w:r>
      <w:r>
        <w:rPr>
          <w:spacing w:val="-7"/>
        </w:rPr>
        <w:t>）、</w:t>
      </w:r>
      <w:r>
        <w:rPr>
          <w:spacing w:val="-8"/>
        </w:rPr>
        <w:t>基于自由现</w:t>
      </w:r>
      <w:r>
        <w:rPr>
          <w:spacing w:val="-4"/>
        </w:rPr>
        <w:t>金流的估值方法（</w:t>
      </w:r>
      <w:r>
        <w:rPr>
          <w:rFonts w:ascii="Times New Roman" w:hAnsi="Times New Roman" w:eastAsia="Times New Roman" w:cs="Times New Roman"/>
          <w:spacing w:val="-4"/>
        </w:rPr>
        <w:t>P/FCF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EV/FCF</w:t>
      </w:r>
      <w:r>
        <w:rPr>
          <w:spacing w:val="-4"/>
        </w:rPr>
        <w:t>）、基</w:t>
      </w:r>
      <w:r>
        <w:rPr>
          <w:spacing w:val="-5"/>
        </w:rPr>
        <w:t>于经营现金流的估值方</w:t>
      </w:r>
      <w:r>
        <w:rPr>
          <w:spacing w:val="-2"/>
        </w:rPr>
        <w:t>法（</w:t>
      </w:r>
      <w:r>
        <w:rPr>
          <w:rFonts w:ascii="Times New Roman" w:hAnsi="Times New Roman" w:eastAsia="Times New Roman" w:cs="Times New Roman"/>
          <w:spacing w:val="-2"/>
        </w:rPr>
        <w:t>EV/EBITDA</w:t>
      </w:r>
      <w:r>
        <w:rPr>
          <w:spacing w:val="-64"/>
        </w:rPr>
        <w:t>）；</w:t>
      </w:r>
      <w:r>
        <w:rPr>
          <w:spacing w:val="-2"/>
        </w:rPr>
        <w:t>当科创企业跨越盈亏平衡点、仍保持较</w:t>
      </w:r>
      <w:r>
        <w:rPr>
          <w:spacing w:val="-3"/>
        </w:rPr>
        <w:t>高增</w:t>
      </w:r>
      <w:r>
        <w:rPr>
          <w:spacing w:val="-8"/>
        </w:rPr>
        <w:t>速时，通常使用基于盈利及其增长率的估值方法（</w:t>
      </w:r>
      <w:r>
        <w:rPr>
          <w:rFonts w:ascii="Times New Roman" w:hAnsi="Times New Roman" w:eastAsia="Times New Roman" w:cs="Times New Roman"/>
          <w:spacing w:val="-8"/>
        </w:rPr>
        <w:t>PE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-8"/>
        </w:rPr>
        <w:t>、</w:t>
      </w:r>
      <w:r>
        <w:rPr>
          <w:rFonts w:ascii="Times New Roman" w:hAnsi="Times New Roman" w:eastAsia="Times New Roman" w:cs="Times New Roman"/>
          <w:spacing w:val="-8"/>
        </w:rPr>
        <w:t>PEG</w:t>
      </w:r>
      <w:r>
        <w:rPr>
          <w:spacing w:val="-8"/>
        </w:rPr>
        <w:t>）。</w:t>
      </w:r>
    </w:p>
    <w:p>
      <w:pPr>
        <w:pStyle w:val="BodyText"/>
        <w:ind w:left="25" w:right="12" w:firstLine="601"/>
        <w:spacing w:before="270" w:line="260" w:lineRule="auto"/>
        <w:jc w:val="both"/>
        <w:rPr/>
      </w:pPr>
      <w:r>
        <w:rPr>
          <w:spacing w:val="-4"/>
        </w:rPr>
        <w:t>根据资本市场的实践，如果公司具备一定盈利规</w:t>
      </w:r>
      <w:r>
        <w:rPr>
          <w:spacing w:val="-5"/>
        </w:rPr>
        <w:t>模，但短期</w:t>
      </w:r>
      <w:r>
        <w:rPr>
          <w:spacing w:val="-4"/>
        </w:rPr>
        <w:t>处于规模快速扩张阶段，研发费用与销售费用投入较大，销售收</w:t>
      </w:r>
      <w:r>
        <w:rPr>
          <w:spacing w:val="-3"/>
        </w:rPr>
        <w:t>入增长能较好反映公司价值，通常综合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PE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PS </w:t>
      </w:r>
      <w:r>
        <w:rPr>
          <w:spacing w:val="-3"/>
        </w:rPr>
        <w:t>两种方法进行估</w:t>
      </w:r>
      <w:r>
        <w:rPr>
          <w:spacing w:val="-2"/>
        </w:rPr>
        <w:t>值，相互补充。</w:t>
      </w:r>
    </w:p>
    <w:p>
      <w:pPr>
        <w:spacing w:line="260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7" w:right="232" w:firstLine="617"/>
        <w:spacing w:before="85" w:line="260" w:lineRule="auto"/>
        <w:jc w:val="both"/>
        <w:rPr/>
      </w:pPr>
      <w:r>
        <w:rPr>
          <w:spacing w:val="-10"/>
        </w:rPr>
        <w:t>当科创企业进入成熟期，营收、现金流和利润趋</w:t>
      </w:r>
      <w:r>
        <w:rPr>
          <w:spacing w:val="-11"/>
        </w:rPr>
        <w:t>于稳定， 已</w:t>
      </w:r>
      <w:r>
        <w:rPr>
          <w:spacing w:val="-6"/>
        </w:rPr>
        <w:t>有稳定指标可与同行业进行对比，市盈率（</w:t>
      </w:r>
      <w:r>
        <w:rPr>
          <w:rFonts w:ascii="Times New Roman" w:hAnsi="Times New Roman" w:eastAsia="Times New Roman" w:cs="Times New Roman"/>
          <w:spacing w:val="-6"/>
        </w:rPr>
        <w:t>PE</w:t>
      </w:r>
      <w:r>
        <w:rPr>
          <w:spacing w:val="-6"/>
        </w:rPr>
        <w:t>）、现金流贴现模</w:t>
      </w:r>
      <w:r>
        <w:rPr>
          <w:spacing w:val="-4"/>
        </w:rPr>
        <w:t>型（</w:t>
      </w:r>
      <w:r>
        <w:rPr>
          <w:rFonts w:ascii="Times New Roman" w:hAnsi="Times New Roman" w:eastAsia="Times New Roman" w:cs="Times New Roman"/>
          <w:spacing w:val="-4"/>
        </w:rPr>
        <w:t>DCF</w:t>
      </w:r>
      <w:r>
        <w:rPr>
          <w:spacing w:val="-4"/>
        </w:rPr>
        <w:t>）等成为主流估值方法。</w:t>
      </w:r>
    </w:p>
    <w:p>
      <w:pPr>
        <w:pStyle w:val="BodyText"/>
        <w:ind w:left="27" w:right="146" w:firstLine="617"/>
        <w:spacing w:before="273" w:line="261" w:lineRule="auto"/>
        <w:jc w:val="both"/>
        <w:rPr/>
      </w:pPr>
      <w:r>
        <w:rPr>
          <w:spacing w:val="-2"/>
        </w:rPr>
        <w:t>当企业进入衰退期，收入及利润出现下滑，财务状况恶化，</w:t>
      </w:r>
      <w:r>
        <w:rPr>
          <w:spacing w:val="-4"/>
        </w:rPr>
        <w:t>现金流急剧萎缩，企业的清算价值或账面价值是较为可靠的估值</w:t>
      </w:r>
      <w:r>
        <w:rPr>
          <w:spacing w:val="-13"/>
        </w:rPr>
        <w:t>方法。</w:t>
      </w:r>
    </w:p>
    <w:p>
      <w:pPr>
        <w:ind w:left="1923"/>
        <w:spacing w:before="254" w:line="20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科创企业生命周期与主要估值方法</w:t>
      </w:r>
    </w:p>
    <w:tbl>
      <w:tblPr>
        <w:tblStyle w:val="TableNormal"/>
        <w:tblW w:w="7918" w:type="dxa"/>
        <w:tblInd w:w="20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478"/>
        <w:gridCol w:w="849"/>
        <w:gridCol w:w="849"/>
        <w:gridCol w:w="849"/>
        <w:gridCol w:w="851"/>
        <w:gridCol w:w="2042"/>
      </w:tblGrid>
      <w:tr>
        <w:trPr>
          <w:trHeight w:val="369" w:hRule="atLeast"/>
        </w:trPr>
        <w:tc>
          <w:tcPr>
            <w:tcW w:w="2478" w:type="dxa"/>
            <w:vAlign w:val="top"/>
          </w:tcPr>
          <w:p>
            <w:pPr>
              <w:pStyle w:val="TableText"/>
              <w:ind w:left="840"/>
              <w:spacing w:before="83" w:line="227" w:lineRule="auto"/>
              <w:rPr/>
            </w:pPr>
            <w:r>
              <w:rPr>
                <w:b/>
                <w:bCs/>
                <w:spacing w:val="7"/>
              </w:rPr>
              <w:t>估值方法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23"/>
              <w:spacing w:before="83" w:line="229" w:lineRule="auto"/>
              <w:rPr/>
            </w:pPr>
            <w:r>
              <w:rPr>
                <w:b/>
                <w:bCs/>
                <w:spacing w:val="6"/>
              </w:rPr>
              <w:t>初创期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29"/>
              <w:spacing w:before="83" w:line="229" w:lineRule="auto"/>
              <w:rPr/>
            </w:pPr>
            <w:r>
              <w:rPr>
                <w:b/>
                <w:bCs/>
                <w:spacing w:val="5"/>
              </w:rPr>
              <w:t>成长期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0"/>
              <w:spacing w:before="83" w:line="229" w:lineRule="auto"/>
              <w:rPr/>
            </w:pPr>
            <w:r>
              <w:rPr>
                <w:b/>
                <w:bCs/>
                <w:spacing w:val="5"/>
              </w:rPr>
              <w:t>成熟期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32"/>
              <w:spacing w:before="83" w:line="229" w:lineRule="auto"/>
              <w:rPr/>
            </w:pPr>
            <w:r>
              <w:rPr>
                <w:b/>
                <w:bCs/>
                <w:spacing w:val="5"/>
              </w:rPr>
              <w:t>衰退期</w:t>
            </w:r>
          </w:p>
        </w:tc>
        <w:tc>
          <w:tcPr>
            <w:tcW w:w="2042" w:type="dxa"/>
            <w:vAlign w:val="top"/>
          </w:tcPr>
          <w:p>
            <w:pPr>
              <w:pStyle w:val="TableText"/>
              <w:ind w:left="828"/>
              <w:spacing w:before="82" w:line="230" w:lineRule="auto"/>
              <w:rPr/>
            </w:pPr>
            <w:r>
              <w:rPr>
                <w:b/>
                <w:bCs/>
                <w:spacing w:val="3"/>
              </w:rPr>
              <w:t>备注</w:t>
            </w:r>
          </w:p>
        </w:tc>
      </w:tr>
      <w:tr>
        <w:trPr>
          <w:trHeight w:val="362" w:hRule="atLeast"/>
        </w:trPr>
        <w:tc>
          <w:tcPr>
            <w:tcW w:w="2478" w:type="dxa"/>
            <w:vAlign w:val="top"/>
          </w:tcPr>
          <w:p>
            <w:pPr>
              <w:pStyle w:val="TableText"/>
              <w:ind w:left="239"/>
              <w:spacing w:before="78" w:line="230" w:lineRule="auto"/>
              <w:rPr/>
            </w:pPr>
            <w:r>
              <w:rPr>
                <w:spacing w:val="9"/>
              </w:rPr>
              <w:t>P/</w:t>
            </w:r>
            <w:r>
              <w:rPr/>
              <w:t>MAU</w:t>
            </w:r>
            <w:r>
              <w:rPr>
                <w:spacing w:val="9"/>
              </w:rPr>
              <w:t>、P/销量、P/</w:t>
            </w:r>
            <w:r>
              <w:rPr/>
              <w:t>GMV</w:t>
            </w:r>
          </w:p>
        </w:tc>
        <w:tc>
          <w:tcPr>
            <w:tcW w:w="849" w:type="dxa"/>
            <w:vAlign w:val="top"/>
          </w:tcPr>
          <w:p>
            <w:pPr>
              <w:ind w:left="340"/>
              <w:spacing w:before="78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4" w:hRule="atLeast"/>
        </w:trPr>
        <w:tc>
          <w:tcPr>
            <w:tcW w:w="2478" w:type="dxa"/>
            <w:vAlign w:val="top"/>
          </w:tcPr>
          <w:p>
            <w:pPr>
              <w:pStyle w:val="TableText"/>
              <w:ind w:left="839"/>
              <w:spacing w:before="78" w:line="234" w:lineRule="auto"/>
              <w:rPr/>
            </w:pPr>
            <w:r>
              <w:rPr/>
              <w:t>PS</w:t>
            </w:r>
            <w:r>
              <w:rPr>
                <w:spacing w:val="11"/>
              </w:rPr>
              <w:t>、</w:t>
            </w:r>
            <w:r>
              <w:rPr/>
              <w:t>EV</w:t>
            </w:r>
            <w:r>
              <w:rPr>
                <w:spacing w:val="11"/>
              </w:rPr>
              <w:t>/S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ind w:left="343"/>
              <w:spacing w:before="79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4" w:hRule="atLeast"/>
        </w:trPr>
        <w:tc>
          <w:tcPr>
            <w:tcW w:w="2478" w:type="dxa"/>
            <w:vAlign w:val="top"/>
          </w:tcPr>
          <w:p>
            <w:pPr>
              <w:pStyle w:val="TableText"/>
              <w:ind w:left="1139"/>
              <w:spacing w:before="114" w:line="186" w:lineRule="auto"/>
              <w:rPr/>
            </w:pPr>
            <w:r>
              <w:rPr>
                <w:spacing w:val="2"/>
              </w:rPr>
              <w:t>PE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ind w:left="344"/>
              <w:spacing w:before="79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1" w:hRule="atLeast"/>
        </w:trPr>
        <w:tc>
          <w:tcPr>
            <w:tcW w:w="2478" w:type="dxa"/>
            <w:vAlign w:val="top"/>
          </w:tcPr>
          <w:p>
            <w:pPr>
              <w:pStyle w:val="TableText"/>
              <w:ind w:left="1089"/>
              <w:spacing w:before="113" w:line="187" w:lineRule="auto"/>
              <w:rPr/>
            </w:pPr>
            <w:r>
              <w:rPr>
                <w:spacing w:val="3"/>
              </w:rPr>
              <w:t>PEG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ind w:left="343"/>
              <w:spacing w:before="80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2" w:type="dxa"/>
            <w:vAlign w:val="top"/>
          </w:tcPr>
          <w:p>
            <w:pPr>
              <w:pStyle w:val="TableText"/>
              <w:ind w:left="226"/>
              <w:spacing w:before="80" w:line="228" w:lineRule="auto"/>
              <w:rPr/>
            </w:pPr>
            <w:r>
              <w:rPr>
                <w:spacing w:val="8"/>
              </w:rPr>
              <w:t>盈利高速增长阶段</w:t>
            </w:r>
          </w:p>
        </w:tc>
      </w:tr>
      <w:tr>
        <w:trPr>
          <w:trHeight w:val="364" w:hRule="atLeast"/>
        </w:trPr>
        <w:tc>
          <w:tcPr>
            <w:tcW w:w="2478" w:type="dxa"/>
            <w:vAlign w:val="top"/>
          </w:tcPr>
          <w:p>
            <w:pPr>
              <w:pStyle w:val="TableText"/>
              <w:ind w:left="789"/>
              <w:spacing w:before="80" w:line="234" w:lineRule="auto"/>
              <w:rPr/>
            </w:pPr>
            <w:r>
              <w:rPr>
                <w:spacing w:val="4"/>
              </w:rPr>
              <w:t>EV/EBITDA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ind w:left="343"/>
              <w:spacing w:before="81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49" w:type="dxa"/>
            <w:vAlign w:val="top"/>
          </w:tcPr>
          <w:p>
            <w:pPr>
              <w:ind w:left="344"/>
              <w:spacing w:before="81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2" w:type="dxa"/>
            <w:vAlign w:val="top"/>
          </w:tcPr>
          <w:p>
            <w:pPr>
              <w:pStyle w:val="TableText"/>
              <w:ind w:left="398"/>
              <w:spacing w:before="81" w:line="229" w:lineRule="auto"/>
              <w:rPr/>
            </w:pPr>
            <w:r>
              <w:rPr/>
              <w:t>EBITDA</w:t>
            </w:r>
            <w:r>
              <w:rPr>
                <w:spacing w:val="-24"/>
              </w:rPr>
              <w:t xml:space="preserve"> </w:t>
            </w:r>
            <w:r>
              <w:rPr>
                <w:spacing w:val="11"/>
              </w:rPr>
              <w:t>需为正</w:t>
            </w:r>
          </w:p>
        </w:tc>
      </w:tr>
      <w:tr>
        <w:trPr>
          <w:trHeight w:val="364" w:hRule="atLeast"/>
        </w:trPr>
        <w:tc>
          <w:tcPr>
            <w:tcW w:w="2478" w:type="dxa"/>
            <w:vAlign w:val="top"/>
          </w:tcPr>
          <w:p>
            <w:pPr>
              <w:pStyle w:val="TableText"/>
              <w:ind w:left="1139"/>
              <w:spacing w:before="116" w:line="186" w:lineRule="auto"/>
              <w:rPr/>
            </w:pPr>
            <w:r>
              <w:rPr>
                <w:spacing w:val="2"/>
              </w:rPr>
              <w:t>PB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ind w:left="344"/>
              <w:spacing w:before="82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51" w:type="dxa"/>
            <w:vAlign w:val="top"/>
          </w:tcPr>
          <w:p>
            <w:pPr>
              <w:ind w:left="347"/>
              <w:spacing w:before="82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20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2" w:hRule="atLeast"/>
        </w:trPr>
        <w:tc>
          <w:tcPr>
            <w:tcW w:w="2478" w:type="dxa"/>
            <w:vAlign w:val="top"/>
          </w:tcPr>
          <w:p>
            <w:pPr>
              <w:pStyle w:val="TableText"/>
              <w:ind w:left="589"/>
              <w:spacing w:before="81" w:line="234" w:lineRule="auto"/>
              <w:rPr/>
            </w:pPr>
            <w:r>
              <w:rPr>
                <w:spacing w:val="15"/>
              </w:rPr>
              <w:t>P/</w:t>
            </w:r>
            <w:r>
              <w:rPr/>
              <w:t>FCF</w:t>
            </w:r>
            <w:r>
              <w:rPr>
                <w:spacing w:val="15"/>
              </w:rPr>
              <w:t>、</w:t>
            </w:r>
            <w:r>
              <w:rPr/>
              <w:t>EV</w:t>
            </w:r>
            <w:r>
              <w:rPr>
                <w:spacing w:val="15"/>
              </w:rPr>
              <w:t>/</w:t>
            </w:r>
            <w:r>
              <w:rPr/>
              <w:t>FCF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ind w:left="343"/>
              <w:spacing w:before="82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49" w:type="dxa"/>
            <w:vAlign w:val="top"/>
          </w:tcPr>
          <w:p>
            <w:pPr>
              <w:ind w:left="344"/>
              <w:spacing w:before="82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2" w:type="dxa"/>
            <w:vAlign w:val="top"/>
          </w:tcPr>
          <w:p>
            <w:pPr>
              <w:pStyle w:val="TableText"/>
              <w:ind w:left="527"/>
              <w:spacing w:before="82" w:line="228" w:lineRule="auto"/>
              <w:rPr/>
            </w:pPr>
            <w:r>
              <w:rPr>
                <w:spacing w:val="7"/>
              </w:rPr>
              <w:t>现金流平稳</w:t>
            </w:r>
          </w:p>
        </w:tc>
      </w:tr>
      <w:tr>
        <w:trPr>
          <w:trHeight w:val="364" w:hRule="atLeast"/>
        </w:trPr>
        <w:tc>
          <w:tcPr>
            <w:tcW w:w="2478" w:type="dxa"/>
            <w:vAlign w:val="top"/>
          </w:tcPr>
          <w:p>
            <w:pPr>
              <w:pStyle w:val="TableText"/>
              <w:ind w:left="1088"/>
              <w:spacing w:before="116" w:line="187" w:lineRule="auto"/>
              <w:rPr/>
            </w:pPr>
            <w:r>
              <w:rPr>
                <w:spacing w:val="4"/>
              </w:rPr>
              <w:t>DCF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ind w:left="343"/>
              <w:spacing w:before="83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49" w:type="dxa"/>
            <w:vAlign w:val="top"/>
          </w:tcPr>
          <w:p>
            <w:pPr>
              <w:ind w:left="344"/>
              <w:spacing w:before="83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9" w:hRule="atLeast"/>
        </w:trPr>
        <w:tc>
          <w:tcPr>
            <w:tcW w:w="2478" w:type="dxa"/>
            <w:vAlign w:val="top"/>
          </w:tcPr>
          <w:p>
            <w:pPr>
              <w:pStyle w:val="TableText"/>
              <w:ind w:left="1088"/>
              <w:spacing w:before="118" w:line="186" w:lineRule="auto"/>
              <w:rPr/>
            </w:pPr>
            <w:r>
              <w:rPr>
                <w:spacing w:val="4"/>
              </w:rPr>
              <w:t>DDM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</w:tcPr>
          <w:p>
            <w:pPr>
              <w:ind w:left="344"/>
              <w:spacing w:before="83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25" w:lineRule="auto"/>
        <w:rPr>
          <w:rFonts w:ascii="Arial"/>
          <w:sz w:val="21"/>
        </w:rPr>
      </w:pPr>
      <w:r/>
    </w:p>
    <w:p>
      <w:pPr>
        <w:ind w:left="688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四、不同行业公司估值方法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26"/>
        <w:spacing w:before="97" w:line="218" w:lineRule="auto"/>
        <w:rPr/>
      </w:pPr>
      <w:r>
        <w:rPr>
          <w:spacing w:val="-3"/>
        </w:rPr>
        <w:t>估值方法的选择要结合公司所在行业的特征。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9" w:firstLine="608"/>
        <w:spacing w:before="98" w:line="259" w:lineRule="auto"/>
        <w:jc w:val="both"/>
        <w:rPr/>
      </w:pPr>
      <w:r>
        <w:rPr>
          <w:spacing w:val="-7"/>
        </w:rPr>
        <w:t>按资产属性来看，重资产公司净利润容易因折旧摊销而失真，</w:t>
      </w:r>
      <w:r>
        <w:rPr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PE </w:t>
      </w:r>
      <w:r>
        <w:rPr>
          <w:spacing w:val="-2"/>
        </w:rPr>
        <w:t>不适合，</w:t>
      </w:r>
      <w:r>
        <w:rPr>
          <w:rFonts w:ascii="Times New Roman" w:hAnsi="Times New Roman" w:eastAsia="Times New Roman" w:cs="Times New Roman"/>
          <w:spacing w:val="-2"/>
        </w:rPr>
        <w:t>EV/EBITDA </w:t>
      </w:r>
      <w:r>
        <w:rPr>
          <w:spacing w:val="-2"/>
        </w:rPr>
        <w:t>更为可</w:t>
      </w:r>
      <w:r>
        <w:rPr>
          <w:spacing w:val="-3"/>
        </w:rPr>
        <w:t>靠。如果公司有大量固定资产且</w:t>
      </w:r>
      <w:r>
        <w:rPr>
          <w:spacing w:val="-4"/>
        </w:rPr>
        <w:t>账面价值相对稳定，也可用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PB </w:t>
      </w:r>
      <w:r>
        <w:rPr>
          <w:spacing w:val="-4"/>
        </w:rPr>
        <w:t>估值。轻资产公司适合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PE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PEG</w:t>
      </w:r>
      <w:r>
        <w:rPr>
          <w:spacing w:val="-7"/>
        </w:rPr>
        <w:t>等估值方法。</w:t>
      </w:r>
    </w:p>
    <w:p>
      <w:pPr>
        <w:pStyle w:val="BodyText"/>
        <w:ind w:left="27" w:right="231" w:firstLine="601"/>
        <w:spacing w:before="277" w:line="261" w:lineRule="auto"/>
        <w:jc w:val="both"/>
        <w:rPr/>
      </w:pPr>
      <w:r>
        <w:rPr>
          <w:spacing w:val="-5"/>
        </w:rPr>
        <w:t>按行业周期性来看，强周期行业由于盈利、现金流在周期不</w:t>
      </w:r>
      <w:r>
        <w:rPr>
          <w:spacing w:val="-5"/>
        </w:rPr>
        <w:t>同阶段波动较大，不适合采用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PE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P/F</w:t>
      </w:r>
      <w:r>
        <w:rPr>
          <w:rFonts w:ascii="Times New Roman" w:hAnsi="Times New Roman" w:eastAsia="Times New Roman" w:cs="Times New Roman"/>
          <w:spacing w:val="-6"/>
        </w:rPr>
        <w:t>CF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DCF </w:t>
      </w:r>
      <w:r>
        <w:rPr>
          <w:spacing w:val="-6"/>
        </w:rPr>
        <w:t>等估值方法，适</w:t>
      </w:r>
      <w:r>
        <w:rPr>
          <w:spacing w:val="-1"/>
        </w:rPr>
        <w:t>合采用波动较小的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PB </w:t>
      </w:r>
      <w:r>
        <w:rPr>
          <w:spacing w:val="-1"/>
        </w:rPr>
        <w:t>指标；弱周期行业可以采用大部分估值方</w:t>
      </w:r>
      <w:r>
        <w:rPr>
          <w:spacing w:val="-7"/>
        </w:rPr>
        <w:t>法。</w:t>
      </w:r>
    </w:p>
    <w:p>
      <w:pPr>
        <w:pStyle w:val="BodyText"/>
        <w:ind w:left="29" w:right="232" w:firstLine="598"/>
        <w:spacing w:before="262" w:line="262" w:lineRule="auto"/>
        <w:rPr/>
      </w:pPr>
      <w:r>
        <w:rPr>
          <w:spacing w:val="-1"/>
        </w:rPr>
        <w:t>按行业资产结构来看，</w:t>
      </w:r>
      <w:r>
        <w:rPr>
          <w:rFonts w:ascii="Times New Roman" w:hAnsi="Times New Roman" w:eastAsia="Times New Roman" w:cs="Times New Roman"/>
          <w:spacing w:val="-1"/>
        </w:rPr>
        <w:t>EV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1"/>
        </w:rPr>
        <w:t>系列指标考虑了企</w:t>
      </w:r>
      <w:r>
        <w:rPr>
          <w:spacing w:val="-2"/>
        </w:rPr>
        <w:t>业资本结构的</w:t>
      </w:r>
      <w:r>
        <w:rPr>
          <w:spacing w:val="-1"/>
        </w:rPr>
        <w:t>差异，适用于可比企业负债率差异较大的情况。</w:t>
      </w:r>
    </w:p>
    <w:p>
      <w:pPr>
        <w:spacing w:line="262" w:lineRule="auto"/>
        <w:sectPr>
          <w:pgSz w:w="11907" w:h="16839"/>
          <w:pgMar w:top="1431" w:right="1566" w:bottom="0" w:left="1785" w:header="0" w:footer="0" w:gutter="0"/>
        </w:sectPr>
        <w:rPr/>
      </w:pPr>
    </w:p>
    <w:p>
      <w:pPr>
        <w:ind w:left="1923"/>
        <w:spacing w:before="70" w:line="209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科创企业行业特征与主要估值方法</w:t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42"/>
        <w:gridCol w:w="991"/>
        <w:gridCol w:w="993"/>
        <w:gridCol w:w="849"/>
        <w:gridCol w:w="851"/>
        <w:gridCol w:w="2776"/>
      </w:tblGrid>
      <w:tr>
        <w:trPr>
          <w:trHeight w:val="366" w:hRule="atLeast"/>
        </w:trPr>
        <w:tc>
          <w:tcPr>
            <w:tcW w:w="18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23"/>
              <w:spacing w:before="267" w:line="227" w:lineRule="auto"/>
              <w:rPr/>
            </w:pPr>
            <w:r>
              <w:rPr>
                <w:b/>
                <w:bCs/>
                <w:spacing w:val="7"/>
              </w:rPr>
              <w:t>估值方法</w:t>
            </w:r>
          </w:p>
        </w:tc>
        <w:tc>
          <w:tcPr>
            <w:tcW w:w="1984" w:type="dxa"/>
            <w:vAlign w:val="top"/>
            <w:gridSpan w:val="2"/>
          </w:tcPr>
          <w:p>
            <w:pPr>
              <w:pStyle w:val="TableText"/>
              <w:ind w:left="603"/>
              <w:spacing w:before="83" w:line="228" w:lineRule="auto"/>
              <w:rPr/>
            </w:pPr>
            <w:r>
              <w:rPr>
                <w:b/>
                <w:bCs/>
                <w:spacing w:val="4"/>
              </w:rPr>
              <w:t>资产属性</w:t>
            </w:r>
          </w:p>
        </w:tc>
        <w:tc>
          <w:tcPr>
            <w:tcW w:w="1700" w:type="dxa"/>
            <w:vAlign w:val="top"/>
            <w:gridSpan w:val="2"/>
          </w:tcPr>
          <w:p>
            <w:pPr>
              <w:pStyle w:val="TableText"/>
              <w:ind w:left="356"/>
              <w:spacing w:before="83" w:line="229" w:lineRule="auto"/>
              <w:rPr/>
            </w:pPr>
            <w:r>
              <w:rPr>
                <w:b/>
                <w:bCs/>
                <w:spacing w:val="6"/>
              </w:rPr>
              <w:t>行业周期性</w:t>
            </w:r>
          </w:p>
        </w:tc>
        <w:tc>
          <w:tcPr>
            <w:tcW w:w="277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5"/>
              <w:spacing w:before="267" w:line="230" w:lineRule="auto"/>
              <w:rPr/>
            </w:pPr>
            <w:r>
              <w:rPr>
                <w:b/>
                <w:bCs/>
                <w:spacing w:val="3"/>
              </w:rPr>
              <w:t>备注</w:t>
            </w:r>
          </w:p>
        </w:tc>
      </w:tr>
      <w:tr>
        <w:trPr>
          <w:trHeight w:val="364" w:hRule="atLeast"/>
        </w:trPr>
        <w:tc>
          <w:tcPr>
            <w:tcW w:w="184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ind w:left="199"/>
              <w:spacing w:before="79" w:line="228" w:lineRule="auto"/>
              <w:rPr/>
            </w:pPr>
            <w:r>
              <w:rPr>
                <w:b/>
                <w:bCs/>
                <w:spacing w:val="5"/>
              </w:rPr>
              <w:t>重资产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99"/>
              <w:spacing w:before="79" w:line="228" w:lineRule="auto"/>
              <w:rPr/>
            </w:pPr>
            <w:r>
              <w:rPr>
                <w:b/>
                <w:bCs/>
                <w:spacing w:val="5"/>
              </w:rPr>
              <w:t>轻资产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32"/>
              <w:spacing w:before="79" w:line="229" w:lineRule="auto"/>
              <w:rPr/>
            </w:pPr>
            <w:r>
              <w:rPr>
                <w:b/>
                <w:bCs/>
                <w:spacing w:val="4"/>
              </w:rPr>
              <w:t>强周期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34"/>
              <w:spacing w:before="79" w:line="229" w:lineRule="auto"/>
              <w:rPr/>
            </w:pPr>
            <w:r>
              <w:rPr>
                <w:b/>
                <w:bCs/>
                <w:spacing w:val="5"/>
              </w:rPr>
              <w:t>弱周期</w:t>
            </w:r>
          </w:p>
        </w:tc>
        <w:tc>
          <w:tcPr>
            <w:tcW w:w="277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4" w:hRule="atLeast"/>
        </w:trPr>
        <w:tc>
          <w:tcPr>
            <w:tcW w:w="1842" w:type="dxa"/>
            <w:vAlign w:val="top"/>
          </w:tcPr>
          <w:p>
            <w:pPr>
              <w:pStyle w:val="TableText"/>
              <w:ind w:left="822"/>
              <w:spacing w:before="233" w:line="187" w:lineRule="auto"/>
              <w:rPr/>
            </w:pPr>
            <w:r>
              <w:rPr>
                <w:spacing w:val="2"/>
              </w:rPr>
              <w:t>PS</w:t>
            </w:r>
          </w:p>
        </w:tc>
        <w:tc>
          <w:tcPr>
            <w:tcW w:w="991" w:type="dxa"/>
            <w:vAlign w:val="top"/>
          </w:tcPr>
          <w:p>
            <w:pPr>
              <w:ind w:left="414"/>
              <w:spacing w:before="200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200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49" w:type="dxa"/>
            <w:vAlign w:val="top"/>
          </w:tcPr>
          <w:p>
            <w:pPr>
              <w:ind w:left="343"/>
              <w:spacing w:before="200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51" w:type="dxa"/>
            <w:vAlign w:val="top"/>
          </w:tcPr>
          <w:p>
            <w:pPr>
              <w:ind w:left="346"/>
              <w:spacing w:before="200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2776" w:type="dxa"/>
            <w:vAlign w:val="top"/>
          </w:tcPr>
          <w:p>
            <w:pPr>
              <w:pStyle w:val="TableText"/>
              <w:ind w:left="695" w:right="136" w:hanging="552"/>
              <w:spacing w:before="71" w:line="254" w:lineRule="auto"/>
              <w:rPr/>
            </w:pPr>
            <w:r>
              <w:rPr>
                <w:spacing w:val="2"/>
              </w:rPr>
              <w:t>在</w:t>
            </w:r>
            <w:r>
              <w:rPr>
                <w:spacing w:val="-34"/>
              </w:rPr>
              <w:t xml:space="preserve"> </w:t>
            </w:r>
            <w:r>
              <w:rPr/>
              <w:t>PE</w:t>
            </w:r>
            <w:r>
              <w:rPr>
                <w:spacing w:val="2"/>
              </w:rPr>
              <w:t>、</w:t>
            </w:r>
            <w:r>
              <w:rPr/>
              <w:t>PB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适用的情况下，</w:t>
            </w:r>
            <w:r>
              <w:rPr>
                <w:spacing w:val="-25"/>
              </w:rPr>
              <w:t xml:space="preserve"> </w:t>
            </w:r>
            <w:r>
              <w:rPr>
                <w:spacing w:val="2"/>
              </w:rPr>
              <w:t>该</w:t>
            </w:r>
            <w:r>
              <w:rPr>
                <w:spacing w:val="8"/>
              </w:rPr>
              <w:t>指标准确度较低</w:t>
            </w:r>
          </w:p>
        </w:tc>
      </w:tr>
      <w:tr>
        <w:trPr>
          <w:trHeight w:val="604" w:hRule="atLeast"/>
        </w:trPr>
        <w:tc>
          <w:tcPr>
            <w:tcW w:w="1842" w:type="dxa"/>
            <w:vAlign w:val="top"/>
          </w:tcPr>
          <w:p>
            <w:pPr>
              <w:pStyle w:val="TableText"/>
              <w:ind w:left="722"/>
              <w:spacing w:before="202" w:line="234" w:lineRule="auto"/>
              <w:rPr/>
            </w:pPr>
            <w:r>
              <w:rPr/>
              <w:t>EV</w:t>
            </w:r>
            <w:r>
              <w:rPr>
                <w:spacing w:val="8"/>
              </w:rPr>
              <w:t>/S</w:t>
            </w:r>
          </w:p>
        </w:tc>
        <w:tc>
          <w:tcPr>
            <w:tcW w:w="991" w:type="dxa"/>
            <w:vAlign w:val="top"/>
          </w:tcPr>
          <w:p>
            <w:pPr>
              <w:ind w:left="414"/>
              <w:spacing w:before="203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203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49" w:type="dxa"/>
            <w:vAlign w:val="top"/>
          </w:tcPr>
          <w:p>
            <w:pPr>
              <w:ind w:left="343"/>
              <w:spacing w:before="203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51" w:type="dxa"/>
            <w:vAlign w:val="top"/>
          </w:tcPr>
          <w:p>
            <w:pPr>
              <w:ind w:left="346"/>
              <w:spacing w:before="203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2776" w:type="dxa"/>
            <w:vAlign w:val="top"/>
          </w:tcPr>
          <w:p>
            <w:pPr>
              <w:pStyle w:val="TableText"/>
              <w:ind w:left="193"/>
              <w:spacing w:before="70" w:line="228" w:lineRule="auto"/>
              <w:rPr/>
            </w:pPr>
            <w:r>
              <w:rPr>
                <w:spacing w:val="8"/>
              </w:rPr>
              <w:t>可比公司资本结构差异较大</w:t>
            </w:r>
          </w:p>
          <w:p>
            <w:pPr>
              <w:pStyle w:val="TableText"/>
              <w:ind w:left="1108"/>
              <w:spacing w:before="65" w:line="217" w:lineRule="auto"/>
              <w:rPr/>
            </w:pPr>
            <w:r>
              <w:rPr>
                <w:spacing w:val="1"/>
              </w:rPr>
              <w:t>的公司</w:t>
            </w:r>
          </w:p>
        </w:tc>
      </w:tr>
      <w:tr>
        <w:trPr>
          <w:trHeight w:val="364" w:hRule="atLeast"/>
        </w:trPr>
        <w:tc>
          <w:tcPr>
            <w:tcW w:w="1842" w:type="dxa"/>
            <w:vAlign w:val="top"/>
          </w:tcPr>
          <w:p>
            <w:pPr>
              <w:pStyle w:val="TableText"/>
              <w:ind w:left="573"/>
              <w:spacing w:before="114" w:line="187" w:lineRule="auto"/>
              <w:rPr/>
            </w:pPr>
            <w:r>
              <w:rPr/>
              <w:t>PE</w:t>
            </w:r>
            <w:r>
              <w:rPr>
                <w:spacing w:val="32"/>
              </w:rPr>
              <w:t>、</w:t>
            </w:r>
            <w:r>
              <w:rPr/>
              <w:t>PEG</w:t>
            </w:r>
          </w:p>
        </w:tc>
        <w:tc>
          <w:tcPr>
            <w:tcW w:w="9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3" w:type="dxa"/>
            <w:vAlign w:val="top"/>
          </w:tcPr>
          <w:p>
            <w:pPr>
              <w:ind w:left="414"/>
              <w:spacing w:before="81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ind w:left="346"/>
              <w:spacing w:before="81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27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4" w:hRule="atLeast"/>
        </w:trPr>
        <w:tc>
          <w:tcPr>
            <w:tcW w:w="184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73"/>
              <w:spacing w:before="201" w:line="234" w:lineRule="auto"/>
              <w:rPr/>
            </w:pPr>
            <w:r>
              <w:rPr>
                <w:spacing w:val="4"/>
              </w:rPr>
              <w:t>EV/EBITDA</w:t>
            </w:r>
          </w:p>
        </w:tc>
        <w:tc>
          <w:tcPr>
            <w:tcW w:w="991" w:type="dxa"/>
            <w:vAlign w:val="top"/>
            <w:tcBorders>
              <w:bottom w:val="single" w:color="000000" w:sz="4" w:space="0"/>
            </w:tcBorders>
          </w:tcPr>
          <w:p>
            <w:pPr>
              <w:ind w:left="414"/>
              <w:spacing w:before="201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993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  <w:tcBorders>
              <w:bottom w:val="single" w:color="000000" w:sz="4" w:space="0"/>
            </w:tcBorders>
          </w:tcPr>
          <w:p>
            <w:pPr>
              <w:ind w:left="346"/>
              <w:spacing w:before="201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277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93"/>
              <w:spacing w:before="71" w:line="228" w:lineRule="auto"/>
              <w:rPr/>
            </w:pPr>
            <w:r>
              <w:rPr>
                <w:spacing w:val="8"/>
              </w:rPr>
              <w:t>可比公司资本结构差异较大</w:t>
            </w:r>
          </w:p>
          <w:p>
            <w:pPr>
              <w:pStyle w:val="TableText"/>
              <w:ind w:left="1108"/>
              <w:spacing w:before="65" w:line="216" w:lineRule="auto"/>
              <w:rPr/>
            </w:pPr>
            <w:r>
              <w:rPr>
                <w:spacing w:val="1"/>
              </w:rPr>
              <w:t>的公司</w:t>
            </w:r>
          </w:p>
        </w:tc>
      </w:tr>
      <w:tr>
        <w:trPr>
          <w:trHeight w:val="359" w:hRule="atLeast"/>
        </w:trPr>
        <w:tc>
          <w:tcPr>
            <w:tcW w:w="184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22"/>
              <w:spacing w:before="112" w:line="186" w:lineRule="auto"/>
              <w:rPr/>
            </w:pPr>
            <w:r>
              <w:rPr>
                <w:spacing w:val="2"/>
              </w:rPr>
              <w:t>PB</w:t>
            </w:r>
          </w:p>
        </w:tc>
        <w:tc>
          <w:tcPr>
            <w:tcW w:w="991" w:type="dxa"/>
            <w:vAlign w:val="top"/>
            <w:tcBorders>
              <w:top w:val="single" w:color="000000" w:sz="4" w:space="0"/>
            </w:tcBorders>
          </w:tcPr>
          <w:p>
            <w:pPr>
              <w:ind w:left="414"/>
              <w:spacing w:before="78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993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9" w:type="dxa"/>
            <w:vAlign w:val="top"/>
            <w:tcBorders>
              <w:top w:val="single" w:color="000000" w:sz="4" w:space="0"/>
            </w:tcBorders>
          </w:tcPr>
          <w:p>
            <w:pPr>
              <w:ind w:left="343"/>
              <w:spacing w:before="78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51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76" w:type="dxa"/>
            <w:vAlign w:val="top"/>
            <w:tcBorders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2" w:hRule="atLeast"/>
        </w:trPr>
        <w:tc>
          <w:tcPr>
            <w:tcW w:w="1842" w:type="dxa"/>
            <w:vAlign w:val="top"/>
          </w:tcPr>
          <w:p>
            <w:pPr>
              <w:pStyle w:val="TableText"/>
              <w:ind w:left="273"/>
              <w:spacing w:before="82" w:line="234" w:lineRule="auto"/>
              <w:rPr/>
            </w:pPr>
            <w:r>
              <w:rPr>
                <w:spacing w:val="15"/>
              </w:rPr>
              <w:t>P/</w:t>
            </w:r>
            <w:r>
              <w:rPr/>
              <w:t>FCF</w:t>
            </w:r>
            <w:r>
              <w:rPr>
                <w:spacing w:val="15"/>
              </w:rPr>
              <w:t>、</w:t>
            </w:r>
            <w:r>
              <w:rPr/>
              <w:t>EV</w:t>
            </w:r>
            <w:r>
              <w:rPr>
                <w:spacing w:val="15"/>
              </w:rPr>
              <w:t>/</w:t>
            </w:r>
            <w:r>
              <w:rPr/>
              <w:t>FCF</w:t>
            </w:r>
          </w:p>
        </w:tc>
        <w:tc>
          <w:tcPr>
            <w:tcW w:w="991" w:type="dxa"/>
            <w:vAlign w:val="top"/>
          </w:tcPr>
          <w:p>
            <w:pPr>
              <w:ind w:left="414"/>
              <w:spacing w:before="83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83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ind w:left="346"/>
              <w:spacing w:before="83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27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9" w:hRule="atLeast"/>
        </w:trPr>
        <w:tc>
          <w:tcPr>
            <w:tcW w:w="1842" w:type="dxa"/>
            <w:vAlign w:val="top"/>
          </w:tcPr>
          <w:p>
            <w:pPr>
              <w:pStyle w:val="TableText"/>
              <w:ind w:left="522"/>
              <w:spacing w:before="119" w:line="187" w:lineRule="auto"/>
              <w:rPr/>
            </w:pPr>
            <w:r>
              <w:rPr/>
              <w:t>DCF</w:t>
            </w:r>
            <w:r>
              <w:rPr>
                <w:spacing w:val="36"/>
              </w:rPr>
              <w:t>、</w:t>
            </w:r>
            <w:r>
              <w:rPr/>
              <w:t>DDM</w:t>
            </w:r>
          </w:p>
        </w:tc>
        <w:tc>
          <w:tcPr>
            <w:tcW w:w="991" w:type="dxa"/>
            <w:vAlign w:val="top"/>
          </w:tcPr>
          <w:p>
            <w:pPr>
              <w:ind w:left="414"/>
              <w:spacing w:before="86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993" w:type="dxa"/>
            <w:vAlign w:val="top"/>
          </w:tcPr>
          <w:p>
            <w:pPr>
              <w:ind w:left="414"/>
              <w:spacing w:before="86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8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ind w:left="346"/>
              <w:spacing w:before="86" w:line="226" w:lineRule="auto"/>
              <w:rPr>
                <w:rFonts w:ascii="MS Gothic" w:hAnsi="MS Gothic" w:eastAsia="MS Gothic" w:cs="MS Gothic"/>
                <w:sz w:val="19"/>
                <w:szCs w:val="19"/>
              </w:rPr>
            </w:pPr>
            <w:r>
              <w:rPr>
                <w:rFonts w:ascii="MS Gothic" w:hAnsi="MS Gothic" w:eastAsia="MS Gothic" w:cs="MS Gothic"/>
                <w:sz w:val="19"/>
                <w:szCs w:val="19"/>
              </w:rPr>
              <w:t>√</w:t>
            </w:r>
          </w:p>
        </w:tc>
        <w:tc>
          <w:tcPr>
            <w:tcW w:w="27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2023-04-17T17:36:05Z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2025-11-04T15:54:22</vt:filetime>
  </property>
</Properties>
</file>