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A6535">
      <w:pPr>
        <w:pStyle w:val="2"/>
        <w:widowControl w:val="0"/>
        <w:jc w:val="center"/>
        <w:rPr>
          <w:rFonts w:hint="eastAsia" w:ascii="Arial" w:hAnsi="Arial" w:eastAsia="黑体" w:cs="Times New Roman"/>
          <w:bCs w:val="0"/>
          <w:sz w:val="36"/>
          <w:szCs w:val="28"/>
          <w:lang w:val="en-US" w:eastAsia="zh-CN"/>
        </w:rPr>
      </w:pPr>
      <w:bookmarkStart w:id="0" w:name="_GoBack"/>
      <w:r>
        <w:rPr>
          <w:rFonts w:hint="eastAsia" w:ascii="Arial" w:hAnsi="Arial" w:eastAsia="黑体" w:cs="Times New Roman"/>
          <w:bCs w:val="0"/>
          <w:sz w:val="36"/>
          <w:szCs w:val="28"/>
          <w:lang w:val="en-US" w:eastAsia="zh-CN"/>
        </w:rPr>
        <w:t>竞速量子信息新赛道：</w:t>
      </w:r>
      <w:r>
        <w:rPr>
          <w:rFonts w:hint="eastAsia" w:ascii="Arial" w:hAnsi="Arial" w:eastAsia="黑体" w:cs="Times New Roman"/>
          <w:bCs w:val="0"/>
          <w:sz w:val="36"/>
          <w:szCs w:val="28"/>
        </w:rPr>
        <w:t>中国移动布局对标</w:t>
      </w:r>
      <w:r>
        <w:rPr>
          <w:rFonts w:hint="eastAsia" w:ascii="Arial" w:hAnsi="Arial" w:eastAsia="黑体" w:cs="Times New Roman"/>
          <w:bCs w:val="0"/>
          <w:sz w:val="36"/>
          <w:szCs w:val="28"/>
          <w:lang w:val="en-US" w:eastAsia="zh-CN"/>
        </w:rPr>
        <w:t>分析及启示</w:t>
      </w:r>
    </w:p>
    <w:bookmarkEnd w:id="0"/>
    <w:p w14:paraId="5FBCE0DB">
      <w:pPr>
        <w:keepNext w:val="0"/>
        <w:keepLines w:val="0"/>
        <w:pageBreakBefore w:val="0"/>
        <w:widowControl w:val="0"/>
        <w:kinsoku/>
        <w:wordWrap/>
        <w:overflowPunct/>
        <w:topLinePunct w:val="0"/>
        <w:autoSpaceDE/>
        <w:autoSpaceDN/>
        <w:bidi w:val="0"/>
        <w:adjustRightInd/>
        <w:snapToGrid/>
        <w:spacing w:line="240" w:lineRule="auto"/>
        <w:ind w:firstLine="600" w:firstLineChars="200"/>
        <w:jc w:val="left"/>
        <w:textAlignment w:val="auto"/>
        <w:rPr>
          <w:rFonts w:hint="eastAsia" w:asciiTheme="minorEastAsia" w:hAnsiTheme="minorEastAsia" w:eastAsiaTheme="minorEastAsia" w:cstheme="minorEastAsia"/>
          <w:b w:val="0"/>
          <w:bCs/>
          <w:sz w:val="30"/>
          <w:szCs w:val="30"/>
          <w:lang w:val="en-US" w:eastAsia="zh-CN"/>
        </w:rPr>
      </w:pPr>
      <w:r>
        <w:rPr>
          <w:rFonts w:hint="eastAsia" w:asciiTheme="minorEastAsia" w:hAnsiTheme="minorEastAsia" w:eastAsiaTheme="minorEastAsia" w:cstheme="minorEastAsia"/>
          <w:b w:val="0"/>
          <w:bCs/>
          <w:sz w:val="30"/>
          <w:szCs w:val="30"/>
          <w:lang w:val="en-US" w:eastAsia="zh-CN"/>
        </w:rPr>
        <w:t>量子信息已成为打造新质生产力的未来产业“新赛道”，运营商近年均积极布局并推动产业进入快速发展阶段。今年来中国移动高调发力量子信息领域，4月推出量子密话平台和量子密话定制手机，5月提出“四链融合”推进量子计算发展，并持续加强在顶层设计、产业布局、技术积累、商业化应用等多层面布局。为保持量子信息领域竞争优势，建议中国电信加强统筹规划及战略指引、探索多元生态合作构建产学研用联合体、以“产品+平台”为导向完善业务体系。</w:t>
      </w:r>
    </w:p>
    <w:p w14:paraId="0ED24C9F">
      <w:pPr>
        <w:widowControl w:val="0"/>
        <w:spacing w:line="360" w:lineRule="auto"/>
        <w:ind w:firstLine="643" w:firstLineChars="200"/>
        <w:jc w:val="both"/>
        <w:rPr>
          <w:rFonts w:hint="eastAsia" w:ascii="Times New Roman" w:hAnsi="Times New Roman" w:eastAsia="黑体" w:cs="Times New Roman"/>
          <w:b/>
          <w:sz w:val="32"/>
          <w:szCs w:val="22"/>
          <w:lang w:val="en-US" w:eastAsia="zh-CN"/>
        </w:rPr>
      </w:pPr>
      <w:r>
        <w:rPr>
          <w:rFonts w:hint="eastAsia" w:ascii="Times New Roman" w:hAnsi="Times New Roman" w:eastAsia="黑体" w:cs="Times New Roman"/>
          <w:b/>
          <w:sz w:val="32"/>
          <w:szCs w:val="22"/>
        </w:rPr>
        <w:t>一、</w:t>
      </w:r>
      <w:r>
        <w:rPr>
          <w:rFonts w:hint="eastAsia" w:ascii="Times New Roman" w:hAnsi="Times New Roman" w:eastAsia="黑体" w:cs="Times New Roman"/>
          <w:b/>
          <w:sz w:val="32"/>
          <w:szCs w:val="22"/>
          <w:lang w:val="en-US" w:eastAsia="zh-CN"/>
        </w:rPr>
        <w:t>对标来看，中国移动量子信息布局呈现四方面趋势</w:t>
      </w:r>
    </w:p>
    <w:p w14:paraId="7D6D161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left"/>
        <w:textAlignment w:val="auto"/>
        <w:rPr>
          <w:rFonts w:hint="eastAsia" w:asciiTheme="minorEastAsia" w:hAnsiTheme="minorEastAsia" w:eastAsiaTheme="minorEastAsia" w:cstheme="minorEastAsia"/>
          <w:b/>
          <w:bCs/>
          <w:color w:val="000000" w:themeColor="text1"/>
          <w:kern w:val="2"/>
          <w:sz w:val="30"/>
          <w:szCs w:val="30"/>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2"/>
          <w:sz w:val="30"/>
          <w:szCs w:val="30"/>
          <w:lang w:val="en-US" w:eastAsia="zh-CN" w:bidi="ar-SA"/>
          <w14:textFill>
            <w14:solidFill>
              <w14:schemeClr w14:val="tx1"/>
            </w14:solidFill>
          </w14:textFill>
        </w:rPr>
        <w:t>1.顶层设计：中国移动深耕量子计算，布局进程加速，以此作为全面布局量子信息的切入口并实现行业引领</w:t>
      </w:r>
    </w:p>
    <w:p w14:paraId="26A3D58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602" w:firstLineChars="200"/>
        <w:jc w:val="left"/>
        <w:textAlignment w:val="auto"/>
        <w:rPr>
          <w:rFonts w:hint="eastAsia" w:asciiTheme="minorEastAsia" w:hAnsiTheme="minorEastAsia" w:eastAsiaTheme="minorEastAsia" w:cstheme="minorEastAsia"/>
          <w:b w:val="0"/>
          <w:bCs w:val="0"/>
          <w:color w:val="000000" w:themeColor="text1"/>
          <w:kern w:val="2"/>
          <w:sz w:val="30"/>
          <w:szCs w:val="30"/>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2"/>
          <w:sz w:val="30"/>
          <w:szCs w:val="30"/>
          <w:lang w:val="en-US" w:eastAsia="zh-CN" w:bidi="ar-SA"/>
          <w14:textFill>
            <w14:solidFill>
              <w14:schemeClr w14:val="tx1"/>
            </w14:solidFill>
          </w14:textFill>
        </w:rPr>
        <w:t>战略布局上，</w:t>
      </w:r>
      <w:r>
        <w:rPr>
          <w:rFonts w:hint="eastAsia" w:asciiTheme="minorEastAsia" w:hAnsiTheme="minorEastAsia" w:eastAsiaTheme="minorEastAsia" w:cstheme="minorEastAsia"/>
          <w:b w:val="0"/>
          <w:bCs w:val="0"/>
          <w:color w:val="000000" w:themeColor="text1"/>
          <w:kern w:val="2"/>
          <w:sz w:val="30"/>
          <w:szCs w:val="30"/>
          <w:lang w:val="en-US" w:eastAsia="zh-CN" w:bidi="ar-SA"/>
          <w14:textFill>
            <w14:solidFill>
              <w14:schemeClr w14:val="tx1"/>
            </w14:solidFill>
          </w14:textFill>
        </w:rPr>
        <w:t>中国移动早在2019年就开始布局量子计算领域，战略步伐领先。今年以来，移动布局步伐进一步加速，不仅联合中国电科牵头承担国资委启航行动量子计算领域，还先行形成了在量子计算领域发展的创新链、产业链、资金链、人才链的“四链融合”推进模式，期望率先突破“实用先行、产业协同、异构融合”引领产业发展。中国电信则在量子通信领域重点发力，作为国资委量子通信链的主导单位，重心集中于推动量子通信技术的实用化和产业化。</w:t>
      </w:r>
    </w:p>
    <w:p w14:paraId="0E73DBA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602" w:firstLineChars="200"/>
        <w:jc w:val="left"/>
        <w:textAlignment w:val="auto"/>
        <w:rPr>
          <w:rFonts w:hint="eastAsia" w:asciiTheme="minorEastAsia" w:hAnsiTheme="minorEastAsia" w:eastAsiaTheme="minorEastAsia" w:cstheme="minorEastAsia"/>
          <w:b w:val="0"/>
          <w:bCs w:val="0"/>
          <w:color w:val="000000" w:themeColor="text1"/>
          <w:kern w:val="2"/>
          <w:sz w:val="30"/>
          <w:szCs w:val="30"/>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2"/>
          <w:sz w:val="30"/>
          <w:szCs w:val="30"/>
          <w:lang w:val="en-US" w:eastAsia="zh-CN" w:bidi="ar-SA"/>
          <w14:textFill>
            <w14:solidFill>
              <w14:schemeClr w14:val="tx1"/>
            </w14:solidFill>
          </w14:textFill>
        </w:rPr>
        <w:t>组织机制上，</w:t>
      </w:r>
      <w:r>
        <w:rPr>
          <w:rFonts w:hint="eastAsia" w:asciiTheme="minorEastAsia" w:hAnsiTheme="minorEastAsia" w:eastAsiaTheme="minorEastAsia" w:cstheme="minorEastAsia"/>
          <w:b w:val="0"/>
          <w:bCs w:val="0"/>
          <w:color w:val="000000" w:themeColor="text1"/>
          <w:kern w:val="2"/>
          <w:sz w:val="30"/>
          <w:szCs w:val="30"/>
          <w:lang w:val="en-US" w:eastAsia="zh-CN" w:bidi="ar-SA"/>
          <w14:textFill>
            <w14:solidFill>
              <w14:schemeClr w14:val="tx1"/>
            </w14:solidFill>
          </w14:textFill>
        </w:rPr>
        <w:t>中国移动各专业公司/直属单位分工明确，由研究院负责技术规范制定，苏研主攻量子计算云平台的研发与商用，信息技术中心协同做量子算力的研究与实施。中国电信则专门成立量子集团，集约统筹量子信息相关技术研发和业务拓展，同步规划量子信息科技研究院，参与量子相关大科学装置的建设。</w:t>
      </w:r>
    </w:p>
    <w:p w14:paraId="233252C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left"/>
        <w:textAlignment w:val="auto"/>
        <w:rPr>
          <w:rFonts w:hint="eastAsia" w:asciiTheme="minorEastAsia" w:hAnsiTheme="minorEastAsia" w:eastAsiaTheme="minorEastAsia" w:cstheme="minorEastAsia"/>
          <w:b/>
          <w:bCs/>
          <w:color w:val="000000" w:themeColor="text1"/>
          <w:kern w:val="2"/>
          <w:sz w:val="30"/>
          <w:szCs w:val="30"/>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2"/>
          <w:sz w:val="30"/>
          <w:szCs w:val="30"/>
          <w:lang w:val="en-US" w:eastAsia="zh-CN" w:bidi="ar-SA"/>
          <w14:textFill>
            <w14:solidFill>
              <w14:schemeClr w14:val="tx1"/>
            </w14:solidFill>
          </w14:textFill>
        </w:rPr>
        <w:t>2.产业布局：中国移动加大资本投入补齐技术及产品能力，多元产业布局构建量子信息产业“朋友圈”</w:t>
      </w:r>
    </w:p>
    <w:p w14:paraId="3B155CD6">
      <w:pPr>
        <w:keepNext w:val="0"/>
        <w:keepLines w:val="0"/>
        <w:pageBreakBefore w:val="0"/>
        <w:widowControl w:val="0"/>
        <w:kinsoku/>
        <w:wordWrap/>
        <w:overflowPunct/>
        <w:topLinePunct w:val="0"/>
        <w:autoSpaceDE/>
        <w:autoSpaceDN/>
        <w:bidi w:val="0"/>
        <w:adjustRightInd/>
        <w:snapToGrid/>
        <w:spacing w:line="240" w:lineRule="auto"/>
        <w:ind w:firstLine="600" w:firstLineChars="200"/>
        <w:jc w:val="left"/>
        <w:textAlignment w:val="auto"/>
        <w:rPr>
          <w:rFonts w:hint="eastAsia" w:asciiTheme="minorEastAsia" w:hAnsiTheme="minorEastAsia" w:eastAsiaTheme="minorEastAsia" w:cstheme="minorEastAsia"/>
          <w:b w:val="0"/>
          <w:bCs/>
          <w:sz w:val="30"/>
          <w:szCs w:val="30"/>
        </w:rPr>
      </w:pPr>
      <w:r>
        <w:rPr>
          <w:rFonts w:hint="eastAsia" w:asciiTheme="minorEastAsia" w:hAnsiTheme="minorEastAsia" w:eastAsiaTheme="minorEastAsia" w:cstheme="minorEastAsia"/>
          <w:b w:val="0"/>
          <w:bCs/>
          <w:sz w:val="30"/>
          <w:szCs w:val="30"/>
        </w:rPr>
        <w:t>中</w:t>
      </w:r>
      <w:r>
        <w:rPr>
          <w:rFonts w:hint="eastAsia" w:asciiTheme="minorEastAsia" w:hAnsiTheme="minorEastAsia" w:eastAsiaTheme="minorEastAsia" w:cstheme="minorEastAsia"/>
          <w:b w:val="0"/>
          <w:bCs/>
          <w:sz w:val="30"/>
          <w:szCs w:val="30"/>
          <w:lang w:val="en-US" w:eastAsia="zh-CN"/>
        </w:rPr>
        <w:t>国</w:t>
      </w:r>
      <w:r>
        <w:rPr>
          <w:rFonts w:hint="eastAsia" w:asciiTheme="minorEastAsia" w:hAnsiTheme="minorEastAsia" w:eastAsiaTheme="minorEastAsia" w:cstheme="minorEastAsia"/>
          <w:b w:val="0"/>
          <w:bCs/>
          <w:sz w:val="30"/>
          <w:szCs w:val="30"/>
        </w:rPr>
        <w:t>电信</w:t>
      </w:r>
      <w:r>
        <w:rPr>
          <w:rFonts w:hint="eastAsia" w:asciiTheme="minorEastAsia" w:hAnsiTheme="minorEastAsia" w:eastAsiaTheme="minorEastAsia" w:cstheme="minorEastAsia"/>
          <w:b w:val="0"/>
          <w:bCs/>
          <w:sz w:val="30"/>
          <w:szCs w:val="30"/>
          <w:lang w:val="en-US" w:eastAsia="zh-CN"/>
        </w:rPr>
        <w:t>主要</w:t>
      </w:r>
      <w:r>
        <w:rPr>
          <w:rFonts w:hint="eastAsia" w:asciiTheme="minorEastAsia" w:hAnsiTheme="minorEastAsia" w:eastAsiaTheme="minorEastAsia" w:cstheme="minorEastAsia"/>
          <w:b w:val="0"/>
          <w:bCs/>
          <w:sz w:val="30"/>
          <w:szCs w:val="30"/>
        </w:rPr>
        <w:t>聚焦与国盾量子等少数重点企业及科研院所的高水平深度合作</w:t>
      </w:r>
      <w:r>
        <w:rPr>
          <w:rFonts w:hint="eastAsia" w:asciiTheme="minorEastAsia" w:hAnsiTheme="minorEastAsia" w:eastAsiaTheme="minorEastAsia" w:cstheme="minorEastAsia"/>
          <w:b w:val="0"/>
          <w:bCs/>
          <w:sz w:val="30"/>
          <w:szCs w:val="30"/>
          <w:lang w:eastAsia="zh-CN"/>
        </w:rPr>
        <w:t>。</w:t>
      </w:r>
      <w:r>
        <w:rPr>
          <w:rFonts w:hint="eastAsia" w:asciiTheme="minorEastAsia" w:hAnsiTheme="minorEastAsia" w:eastAsiaTheme="minorEastAsia" w:cstheme="minorEastAsia"/>
          <w:b/>
          <w:sz w:val="30"/>
          <w:szCs w:val="30"/>
        </w:rPr>
        <w:t>中</w:t>
      </w:r>
      <w:r>
        <w:rPr>
          <w:rFonts w:hint="eastAsia" w:asciiTheme="minorEastAsia" w:hAnsiTheme="minorEastAsia" w:eastAsiaTheme="minorEastAsia" w:cstheme="minorEastAsia"/>
          <w:b/>
          <w:sz w:val="30"/>
          <w:szCs w:val="30"/>
          <w:lang w:val="en-US" w:eastAsia="zh-CN"/>
        </w:rPr>
        <w:t>国</w:t>
      </w:r>
      <w:r>
        <w:rPr>
          <w:rFonts w:hint="eastAsia" w:asciiTheme="minorEastAsia" w:hAnsiTheme="minorEastAsia" w:eastAsiaTheme="minorEastAsia" w:cstheme="minorEastAsia"/>
          <w:b/>
          <w:sz w:val="30"/>
          <w:szCs w:val="30"/>
        </w:rPr>
        <w:t>移动</w:t>
      </w:r>
      <w:r>
        <w:rPr>
          <w:rFonts w:hint="eastAsia" w:asciiTheme="minorEastAsia" w:hAnsiTheme="minorEastAsia" w:eastAsiaTheme="minorEastAsia" w:cstheme="minorEastAsia"/>
          <w:b/>
          <w:sz w:val="30"/>
          <w:szCs w:val="30"/>
          <w:lang w:val="en-US" w:eastAsia="zh-CN"/>
        </w:rPr>
        <w:t>则</w:t>
      </w:r>
      <w:r>
        <w:rPr>
          <w:rFonts w:hint="eastAsia" w:asciiTheme="minorEastAsia" w:hAnsiTheme="minorEastAsia" w:eastAsiaTheme="minorEastAsia" w:cstheme="minorEastAsia"/>
          <w:b/>
          <w:sz w:val="30"/>
          <w:szCs w:val="30"/>
        </w:rPr>
        <w:t>利用资本优势实现技术突破与应用创新</w:t>
      </w:r>
      <w:r>
        <w:rPr>
          <w:rFonts w:hint="eastAsia" w:asciiTheme="minorEastAsia" w:hAnsiTheme="minorEastAsia" w:eastAsiaTheme="minorEastAsia" w:cstheme="minorEastAsia"/>
          <w:b/>
          <w:sz w:val="30"/>
          <w:szCs w:val="30"/>
          <w:lang w:eastAsia="zh-CN"/>
        </w:rPr>
        <w:t>，</w:t>
      </w:r>
      <w:r>
        <w:rPr>
          <w:rFonts w:hint="eastAsia" w:asciiTheme="minorEastAsia" w:hAnsiTheme="minorEastAsia" w:eastAsiaTheme="minorEastAsia" w:cstheme="minorEastAsia"/>
          <w:b w:val="0"/>
          <w:bCs/>
          <w:sz w:val="30"/>
          <w:szCs w:val="30"/>
        </w:rPr>
        <w:t>量子通信领域2021年与国科量子合资成立信通数智量子科技有限公司，联合发布量子加密通话及“和对讲”等业务</w:t>
      </w:r>
      <w:r>
        <w:rPr>
          <w:rFonts w:hint="eastAsia" w:asciiTheme="minorEastAsia" w:hAnsiTheme="minorEastAsia" w:eastAsiaTheme="minorEastAsia" w:cstheme="minorEastAsia"/>
          <w:b w:val="0"/>
          <w:bCs/>
          <w:sz w:val="30"/>
          <w:szCs w:val="30"/>
          <w:lang w:eastAsia="zh-CN"/>
        </w:rPr>
        <w:t>；</w:t>
      </w:r>
      <w:r>
        <w:rPr>
          <w:rFonts w:hint="eastAsia" w:asciiTheme="minorEastAsia" w:hAnsiTheme="minorEastAsia" w:eastAsiaTheme="minorEastAsia" w:cstheme="minorEastAsia"/>
          <w:b w:val="0"/>
          <w:bCs/>
          <w:sz w:val="30"/>
          <w:szCs w:val="30"/>
        </w:rPr>
        <w:t>量子计算领域依托260亿的链长资金</w:t>
      </w:r>
      <w:r>
        <w:rPr>
          <w:rFonts w:hint="eastAsia" w:asciiTheme="minorEastAsia" w:hAnsiTheme="minorEastAsia" w:eastAsiaTheme="minorEastAsia" w:cstheme="minorEastAsia"/>
          <w:b w:val="0"/>
          <w:bCs/>
          <w:sz w:val="30"/>
          <w:szCs w:val="30"/>
          <w:lang w:val="en-US" w:eastAsia="zh-CN"/>
        </w:rPr>
        <w:t>加强资本投入，已</w:t>
      </w:r>
      <w:r>
        <w:rPr>
          <w:rFonts w:hint="eastAsia" w:asciiTheme="minorEastAsia" w:hAnsiTheme="minorEastAsia" w:eastAsiaTheme="minorEastAsia" w:cstheme="minorEastAsia"/>
          <w:b w:val="0"/>
          <w:bCs/>
          <w:sz w:val="30"/>
          <w:szCs w:val="30"/>
        </w:rPr>
        <w:t>投资玻色、华翊两家量子初创企业</w:t>
      </w:r>
      <w:r>
        <w:rPr>
          <w:rFonts w:hint="eastAsia" w:asciiTheme="minorEastAsia" w:hAnsiTheme="minorEastAsia" w:eastAsiaTheme="minorEastAsia" w:cstheme="minorEastAsia"/>
          <w:b w:val="0"/>
          <w:bCs/>
          <w:sz w:val="30"/>
          <w:szCs w:val="30"/>
          <w:lang w:eastAsia="zh-CN"/>
        </w:rPr>
        <w:t>。</w:t>
      </w:r>
      <w:r>
        <w:rPr>
          <w:rFonts w:hint="eastAsia" w:asciiTheme="minorEastAsia" w:hAnsiTheme="minorEastAsia" w:eastAsiaTheme="minorEastAsia" w:cstheme="minorEastAsia"/>
          <w:b w:val="0"/>
          <w:bCs/>
          <w:sz w:val="30"/>
          <w:szCs w:val="30"/>
          <w:lang w:val="en-US" w:eastAsia="zh-CN"/>
        </w:rPr>
        <w:t>2024年</w:t>
      </w:r>
      <w:r>
        <w:rPr>
          <w:rFonts w:hint="eastAsia" w:asciiTheme="minorEastAsia" w:hAnsiTheme="minorEastAsia" w:eastAsiaTheme="minorEastAsia" w:cstheme="minorEastAsia"/>
          <w:b w:val="0"/>
          <w:bCs/>
          <w:sz w:val="30"/>
          <w:szCs w:val="30"/>
          <w:lang w:eastAsia="zh-CN"/>
        </w:rPr>
        <w:t>资本列支计划投资高达50亿</w:t>
      </w:r>
      <w:r>
        <w:rPr>
          <w:rStyle w:val="15"/>
          <w:rFonts w:hint="eastAsia" w:asciiTheme="minorEastAsia" w:hAnsiTheme="minorEastAsia" w:eastAsiaTheme="minorEastAsia" w:cstheme="minorEastAsia"/>
          <w:b w:val="0"/>
          <w:bCs/>
          <w:sz w:val="30"/>
          <w:szCs w:val="30"/>
          <w:lang w:eastAsia="zh-CN"/>
        </w:rPr>
        <w:footnoteReference w:id="0"/>
      </w:r>
      <w:r>
        <w:rPr>
          <w:rFonts w:hint="eastAsia" w:asciiTheme="minorEastAsia" w:hAnsiTheme="minorEastAsia" w:eastAsiaTheme="minorEastAsia" w:cstheme="minorEastAsia"/>
          <w:b w:val="0"/>
          <w:bCs/>
          <w:sz w:val="30"/>
          <w:szCs w:val="30"/>
          <w:lang w:eastAsia="zh-CN"/>
        </w:rPr>
        <w:t>，用于量子领域的技术研发和产投协同等工作。</w:t>
      </w:r>
      <w:r>
        <w:rPr>
          <w:rFonts w:hint="eastAsia" w:asciiTheme="minorEastAsia" w:hAnsiTheme="minorEastAsia" w:eastAsiaTheme="minorEastAsia" w:cstheme="minorEastAsia"/>
          <w:b/>
          <w:sz w:val="30"/>
          <w:szCs w:val="30"/>
          <w:lang w:val="en-US" w:eastAsia="zh-CN"/>
        </w:rPr>
        <w:t>并</w:t>
      </w:r>
      <w:r>
        <w:rPr>
          <w:rFonts w:hint="eastAsia" w:asciiTheme="minorEastAsia" w:hAnsiTheme="minorEastAsia" w:eastAsiaTheme="minorEastAsia" w:cstheme="minorEastAsia"/>
          <w:b/>
          <w:sz w:val="30"/>
          <w:szCs w:val="30"/>
        </w:rPr>
        <w:t>通过产业协作、学术合作、行业联盟等多元方式广泛布局</w:t>
      </w:r>
      <w:r>
        <w:rPr>
          <w:rFonts w:hint="eastAsia" w:asciiTheme="minorEastAsia" w:hAnsiTheme="minorEastAsia" w:eastAsiaTheme="minorEastAsia" w:cstheme="minorEastAsia"/>
          <w:b/>
          <w:sz w:val="30"/>
          <w:szCs w:val="30"/>
          <w:lang w:val="en-US" w:eastAsia="zh-CN"/>
        </w:rPr>
        <w:t>产业生态，</w:t>
      </w:r>
      <w:r>
        <w:rPr>
          <w:rFonts w:hint="eastAsia" w:asciiTheme="minorEastAsia" w:hAnsiTheme="minorEastAsia" w:eastAsiaTheme="minorEastAsia" w:cstheme="minorEastAsia"/>
          <w:b w:val="0"/>
          <w:bCs/>
          <w:sz w:val="30"/>
          <w:szCs w:val="30"/>
        </w:rPr>
        <w:t>相继与本源量子、启科量子、玻色量子签订合作协议，携手中国电科发布“五岳”量子计算云平台，联合玻色</w:t>
      </w:r>
      <w:r>
        <w:rPr>
          <w:rFonts w:hint="eastAsia" w:asciiTheme="minorEastAsia" w:hAnsiTheme="minorEastAsia" w:eastAsiaTheme="minorEastAsia" w:cstheme="minorEastAsia"/>
          <w:b w:val="0"/>
          <w:bCs/>
          <w:sz w:val="30"/>
          <w:szCs w:val="30"/>
          <w:lang w:eastAsia="zh-CN"/>
        </w:rPr>
        <w:t>、</w:t>
      </w:r>
      <w:r>
        <w:rPr>
          <w:rFonts w:hint="eastAsia" w:asciiTheme="minorEastAsia" w:hAnsiTheme="minorEastAsia" w:eastAsiaTheme="minorEastAsia" w:cstheme="minorEastAsia"/>
          <w:b w:val="0"/>
          <w:bCs/>
          <w:sz w:val="30"/>
          <w:szCs w:val="30"/>
          <w:lang w:val="en-US" w:eastAsia="zh-CN"/>
        </w:rPr>
        <w:t>启科等合作伙伴</w:t>
      </w:r>
      <w:r>
        <w:rPr>
          <w:rFonts w:hint="eastAsia" w:asciiTheme="minorEastAsia" w:hAnsiTheme="minorEastAsia" w:eastAsiaTheme="minorEastAsia" w:cstheme="minorEastAsia"/>
          <w:b w:val="0"/>
          <w:bCs/>
          <w:sz w:val="30"/>
          <w:szCs w:val="30"/>
        </w:rPr>
        <w:t>发布“五岳量子云计算创新加速计划</w:t>
      </w:r>
      <w:r>
        <w:rPr>
          <w:rFonts w:hint="eastAsia" w:asciiTheme="minorEastAsia" w:hAnsiTheme="minorEastAsia" w:eastAsiaTheme="minorEastAsia" w:cstheme="minorEastAsia"/>
          <w:b w:val="0"/>
          <w:bCs/>
          <w:sz w:val="30"/>
          <w:szCs w:val="30"/>
          <w:lang w:val="en-US" w:eastAsia="zh-CN"/>
        </w:rPr>
        <w:t>2</w:t>
      </w:r>
      <w:r>
        <w:rPr>
          <w:rFonts w:hint="eastAsia" w:asciiTheme="minorEastAsia" w:hAnsiTheme="minorEastAsia" w:eastAsiaTheme="minorEastAsia" w:cstheme="minorEastAsia"/>
          <w:b w:val="0"/>
          <w:bCs/>
          <w:sz w:val="30"/>
          <w:szCs w:val="30"/>
        </w:rPr>
        <w:t>.0”，与清华大学、北京邮电大学等多家学术单位合作开展量子算法创新与可行性验证。</w:t>
      </w:r>
    </w:p>
    <w:p w14:paraId="540D4B5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left"/>
        <w:textAlignment w:val="auto"/>
        <w:rPr>
          <w:rFonts w:hint="eastAsia" w:asciiTheme="minorEastAsia" w:hAnsiTheme="minorEastAsia" w:eastAsiaTheme="minorEastAsia" w:cstheme="minorEastAsia"/>
          <w:b/>
          <w:bCs/>
          <w:color w:val="000000" w:themeColor="text1"/>
          <w:kern w:val="2"/>
          <w:sz w:val="30"/>
          <w:szCs w:val="30"/>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2"/>
          <w:sz w:val="30"/>
          <w:szCs w:val="30"/>
          <w:lang w:val="en-US" w:eastAsia="zh-CN" w:bidi="ar-SA"/>
          <w14:textFill>
            <w14:solidFill>
              <w14:schemeClr w14:val="tx1"/>
            </w14:solidFill>
          </w14:textFill>
        </w:rPr>
        <w:t>3.技术积累：中国移动持续跟进量子通信技术积累，率先开展量子计算技术创新并实现阶段性突破</w:t>
      </w:r>
    </w:p>
    <w:p w14:paraId="4886F029">
      <w:pPr>
        <w:pStyle w:val="20"/>
        <w:spacing w:line="300" w:lineRule="auto"/>
        <w:ind w:firstLine="0" w:firstLineChars="0"/>
        <w:jc w:val="center"/>
        <w:rPr>
          <w:rFonts w:hint="eastAsia" w:asciiTheme="minorEastAsia" w:hAnsiTheme="minorEastAsia" w:eastAsiaTheme="minorEastAsia" w:cstheme="minorEastAsia"/>
          <w:color w:val="000000" w:themeColor="text1"/>
          <w:sz w:val="30"/>
          <w:szCs w:val="30"/>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30"/>
          <w:szCs w:val="30"/>
          <w:lang w:val="en-US" w:eastAsia="zh-CN"/>
          <w14:textFill>
            <w14:solidFill>
              <w14:schemeClr w14:val="tx1"/>
            </w14:solidFill>
          </w14:textFill>
        </w:rPr>
        <w:t>表1</w:t>
      </w:r>
      <w:r>
        <w:rPr>
          <w:rFonts w:hint="eastAsia" w:asciiTheme="minorEastAsia" w:hAnsiTheme="minorEastAsia" w:eastAsiaTheme="minorEastAsia" w:cstheme="minorEastAsia"/>
          <w:color w:val="000000" w:themeColor="text1"/>
          <w:sz w:val="30"/>
          <w:szCs w:val="30"/>
          <w14:textFill>
            <w14:solidFill>
              <w14:schemeClr w14:val="tx1"/>
            </w14:solidFill>
          </w14:textFill>
        </w:rPr>
        <w:t>：</w:t>
      </w:r>
      <w:r>
        <w:rPr>
          <w:rFonts w:hint="eastAsia" w:asciiTheme="minorEastAsia" w:hAnsiTheme="minorEastAsia" w:eastAsiaTheme="minorEastAsia" w:cstheme="minorEastAsia"/>
          <w:color w:val="000000" w:themeColor="text1"/>
          <w:sz w:val="30"/>
          <w:szCs w:val="30"/>
          <w:lang w:val="en-US" w:eastAsia="zh-CN"/>
          <w14:textFill>
            <w14:solidFill>
              <w14:schemeClr w14:val="tx1"/>
            </w14:solidFill>
          </w14:textFill>
        </w:rPr>
        <w:t>中国电信与中国移动量子信息领域技术研究情况对比</w:t>
      </w:r>
    </w:p>
    <w:p w14:paraId="540DC224">
      <w:pPr>
        <w:pStyle w:val="20"/>
        <w:spacing w:line="300" w:lineRule="auto"/>
        <w:ind w:firstLine="0" w:firstLineChars="0"/>
        <w:jc w:val="center"/>
        <w:rPr>
          <w:rFonts w:hint="eastAsia" w:asciiTheme="minorEastAsia" w:hAnsiTheme="minorEastAsia" w:eastAsiaTheme="minorEastAsia" w:cstheme="minorEastAsia"/>
          <w:color w:val="000000" w:themeColor="text1"/>
          <w:sz w:val="30"/>
          <w:szCs w:val="30"/>
          <w:lang w:val="en-US" w:eastAsia="zh-CN"/>
          <w14:textFill>
            <w14:solidFill>
              <w14:schemeClr w14:val="tx1"/>
            </w14:solidFill>
          </w14:textFill>
        </w:rPr>
      </w:pPr>
    </w:p>
    <w:tbl>
      <w:tblPr>
        <w:tblStyle w:val="10"/>
        <w:tblW w:w="0" w:type="auto"/>
        <w:tblInd w:w="1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1"/>
        <w:gridCol w:w="1207"/>
        <w:gridCol w:w="1109"/>
        <w:gridCol w:w="846"/>
        <w:gridCol w:w="1392"/>
        <w:gridCol w:w="955"/>
        <w:gridCol w:w="1805"/>
      </w:tblGrid>
      <w:tr w14:paraId="22AFA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vAlign w:val="center"/>
          </w:tcPr>
          <w:p w14:paraId="3EA3E410">
            <w:pPr>
              <w:jc w:val="center"/>
              <w:rPr>
                <w:rFonts w:hint="eastAsia" w:asciiTheme="minorEastAsia" w:hAnsiTheme="minorEastAsia" w:eastAsiaTheme="minorEastAsia" w:cstheme="minorEastAsia"/>
                <w:b/>
                <w:sz w:val="21"/>
                <w:szCs w:val="21"/>
                <w:vertAlign w:val="baseline"/>
                <w:lang w:val="en-US" w:eastAsia="zh-CN"/>
              </w:rPr>
            </w:pPr>
          </w:p>
        </w:tc>
        <w:tc>
          <w:tcPr>
            <w:tcW w:w="1207" w:type="dxa"/>
            <w:vAlign w:val="center"/>
          </w:tcPr>
          <w:p w14:paraId="30FCF8A0">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国际标准</w:t>
            </w:r>
          </w:p>
        </w:tc>
        <w:tc>
          <w:tcPr>
            <w:tcW w:w="1109" w:type="dxa"/>
            <w:vAlign w:val="center"/>
          </w:tcPr>
          <w:p w14:paraId="29A63074">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行业标准</w:t>
            </w:r>
          </w:p>
        </w:tc>
        <w:tc>
          <w:tcPr>
            <w:tcW w:w="846" w:type="dxa"/>
            <w:vAlign w:val="center"/>
          </w:tcPr>
          <w:p w14:paraId="5CADB4AC">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专利</w:t>
            </w:r>
          </w:p>
        </w:tc>
        <w:tc>
          <w:tcPr>
            <w:tcW w:w="1392" w:type="dxa"/>
            <w:vAlign w:val="center"/>
          </w:tcPr>
          <w:p w14:paraId="3E0D9694">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论文</w:t>
            </w:r>
          </w:p>
        </w:tc>
        <w:tc>
          <w:tcPr>
            <w:tcW w:w="955" w:type="dxa"/>
            <w:vAlign w:val="center"/>
          </w:tcPr>
          <w:p w14:paraId="4B1B1F48">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软著</w:t>
            </w:r>
          </w:p>
        </w:tc>
        <w:tc>
          <w:tcPr>
            <w:tcW w:w="1805" w:type="dxa"/>
            <w:vAlign w:val="center"/>
          </w:tcPr>
          <w:p w14:paraId="65D63A17">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实验室建设</w:t>
            </w:r>
          </w:p>
        </w:tc>
      </w:tr>
      <w:tr w14:paraId="01D4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2" w:hRule="atLeast"/>
        </w:trPr>
        <w:tc>
          <w:tcPr>
            <w:tcW w:w="971" w:type="dxa"/>
            <w:vAlign w:val="center"/>
          </w:tcPr>
          <w:p w14:paraId="6488C769">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中国电信</w:t>
            </w:r>
          </w:p>
        </w:tc>
        <w:tc>
          <w:tcPr>
            <w:tcW w:w="1207" w:type="dxa"/>
            <w:vAlign w:val="center"/>
          </w:tcPr>
          <w:p w14:paraId="47F10B73">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5</w:t>
            </w:r>
          </w:p>
        </w:tc>
        <w:tc>
          <w:tcPr>
            <w:tcW w:w="1109" w:type="dxa"/>
            <w:vAlign w:val="center"/>
          </w:tcPr>
          <w:p w14:paraId="548DD8C4">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9</w:t>
            </w:r>
          </w:p>
        </w:tc>
        <w:tc>
          <w:tcPr>
            <w:tcW w:w="846" w:type="dxa"/>
            <w:vAlign w:val="center"/>
          </w:tcPr>
          <w:p w14:paraId="072AE4BB">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142</w:t>
            </w:r>
          </w:p>
        </w:tc>
        <w:tc>
          <w:tcPr>
            <w:tcW w:w="1392" w:type="dxa"/>
            <w:vAlign w:val="center"/>
          </w:tcPr>
          <w:p w14:paraId="323F8EEC">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7</w:t>
            </w:r>
          </w:p>
        </w:tc>
        <w:tc>
          <w:tcPr>
            <w:tcW w:w="955" w:type="dxa"/>
            <w:vAlign w:val="center"/>
          </w:tcPr>
          <w:p w14:paraId="3D8C1C96">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51</w:t>
            </w:r>
          </w:p>
        </w:tc>
        <w:tc>
          <w:tcPr>
            <w:tcW w:w="1805" w:type="dxa"/>
            <w:vAlign w:val="center"/>
          </w:tcPr>
          <w:p w14:paraId="296D2E7F">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1</w:t>
            </w:r>
          </w:p>
        </w:tc>
      </w:tr>
      <w:tr w14:paraId="2ACC2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2" w:hRule="atLeast"/>
        </w:trPr>
        <w:tc>
          <w:tcPr>
            <w:tcW w:w="971" w:type="dxa"/>
            <w:vAlign w:val="center"/>
          </w:tcPr>
          <w:p w14:paraId="5F7F53DB">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中国移动</w:t>
            </w:r>
          </w:p>
        </w:tc>
        <w:tc>
          <w:tcPr>
            <w:tcW w:w="1207" w:type="dxa"/>
            <w:vAlign w:val="center"/>
          </w:tcPr>
          <w:p w14:paraId="49B2572D">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w:t>
            </w:r>
          </w:p>
        </w:tc>
        <w:tc>
          <w:tcPr>
            <w:tcW w:w="1109" w:type="dxa"/>
            <w:vAlign w:val="center"/>
          </w:tcPr>
          <w:p w14:paraId="06568801">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3</w:t>
            </w:r>
          </w:p>
        </w:tc>
        <w:tc>
          <w:tcPr>
            <w:tcW w:w="846" w:type="dxa"/>
            <w:vAlign w:val="center"/>
          </w:tcPr>
          <w:p w14:paraId="527B1393">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34</w:t>
            </w:r>
          </w:p>
        </w:tc>
        <w:tc>
          <w:tcPr>
            <w:tcW w:w="1392" w:type="dxa"/>
            <w:vAlign w:val="center"/>
          </w:tcPr>
          <w:p w14:paraId="666CC6AD">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3(均为量子计算领域)</w:t>
            </w:r>
          </w:p>
        </w:tc>
        <w:tc>
          <w:tcPr>
            <w:tcW w:w="955" w:type="dxa"/>
            <w:vAlign w:val="center"/>
          </w:tcPr>
          <w:p w14:paraId="5BEC8638">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7</w:t>
            </w:r>
          </w:p>
        </w:tc>
        <w:tc>
          <w:tcPr>
            <w:tcW w:w="1805" w:type="dxa"/>
            <w:vAlign w:val="center"/>
          </w:tcPr>
          <w:p w14:paraId="24EC78EC">
            <w:pPr>
              <w:jc w:val="center"/>
              <w:rPr>
                <w:rFonts w:hint="eastAsia" w:asciiTheme="minorEastAsia" w:hAnsiTheme="minorEastAsia" w:eastAsiaTheme="minorEastAsia" w:cstheme="minorEastAsia"/>
                <w:b/>
                <w:sz w:val="21"/>
                <w:szCs w:val="21"/>
                <w:vertAlign w:val="baseline"/>
                <w:lang w:val="en-US" w:eastAsia="zh-CN"/>
              </w:rPr>
            </w:pPr>
            <w:r>
              <w:rPr>
                <w:rFonts w:hint="eastAsia" w:asciiTheme="minorEastAsia" w:hAnsiTheme="minorEastAsia" w:eastAsiaTheme="minorEastAsia" w:cstheme="minorEastAsia"/>
                <w:b/>
                <w:sz w:val="21"/>
                <w:szCs w:val="21"/>
                <w:vertAlign w:val="baseline"/>
                <w:lang w:val="en-US" w:eastAsia="zh-CN"/>
              </w:rPr>
              <w:t>1（量子计算应用与评测实验室）</w:t>
            </w:r>
          </w:p>
        </w:tc>
      </w:tr>
    </w:tbl>
    <w:p w14:paraId="49F115B4">
      <w:pPr>
        <w:ind w:firstLine="600" w:firstLineChars="200"/>
        <w:jc w:val="left"/>
        <w:rPr>
          <w:rFonts w:hint="eastAsia" w:asciiTheme="minorEastAsia" w:hAnsiTheme="minorEastAsia" w:eastAsiaTheme="minorEastAsia" w:cstheme="minorEastAsia"/>
          <w:b w:val="0"/>
          <w:bCs w:val="0"/>
          <w:color w:val="000000" w:themeColor="text1"/>
          <w:kern w:val="2"/>
          <w:sz w:val="30"/>
          <w:szCs w:val="3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30"/>
          <w:szCs w:val="30"/>
          <w:lang w:val="en-US" w:eastAsia="zh-CN" w:bidi="ar-SA"/>
          <w14:textFill>
            <w14:solidFill>
              <w14:schemeClr w14:val="tx1"/>
            </w14:solidFill>
          </w14:textFill>
        </w:rPr>
        <w:t>中国移动自2020年开始加速量子通信技术领域的技术积累，开展量子加密通话技术研发以及密钥无线分发技术与量子密钥分发技术和网络结合的方案研究和原型验证工作。国际标准方面，在ITU-T SG17有1项技术报告在研（TR.kdc_qkdn），聚焦基于密钥分发中心的QKD网络服务层密钥管理方法；行业标准方面，中国移动（含信通数智）牵头3项行业标准，聚焦量子密钥分发、量子保密通信应用领域。中国移动公开的量子领域的发明专利共计34件，登记相关软件著作权7项，均侧重于量子密钥的应用领域。</w:t>
      </w:r>
    </w:p>
    <w:p w14:paraId="5CC893DD">
      <w:pPr>
        <w:ind w:firstLine="600" w:firstLineChars="200"/>
        <w:jc w:val="left"/>
        <w:rPr>
          <w:rFonts w:hint="eastAsia" w:asciiTheme="minorEastAsia" w:hAnsiTheme="minorEastAsia" w:eastAsiaTheme="minorEastAsia" w:cstheme="minorEastAsia"/>
          <w:b w:val="0"/>
          <w:bCs w:val="0"/>
          <w:color w:val="000000" w:themeColor="text1"/>
          <w:kern w:val="2"/>
          <w:sz w:val="30"/>
          <w:szCs w:val="3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30"/>
          <w:szCs w:val="30"/>
          <w:lang w:val="en-US" w:eastAsia="zh-CN" w:bidi="ar-SA"/>
          <w14:textFill>
            <w14:solidFill>
              <w14:schemeClr w14:val="tx1"/>
            </w14:solidFill>
          </w14:textFill>
        </w:rPr>
        <w:t>量子计算领域来看，中国移动率先开展技术积累，并在核心论文及实验室建设方面取得突破。2020年至今，中国移动共计发表量子领域相关SCI论文3篇，侧重在量子计算、量子算法领域，其中1篇由中移苏研与玻色量子合作的论文发布于物理学1区Top期刊。2023年8月30日挂牌成立央企首个面向行业应用的量子计算实验室——“中国移动量子计算应用与评测实验室”。</w:t>
      </w:r>
    </w:p>
    <w:p w14:paraId="11D2F85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602" w:firstLineChars="200"/>
        <w:jc w:val="left"/>
        <w:textAlignment w:val="auto"/>
        <w:rPr>
          <w:rFonts w:hint="eastAsia" w:asciiTheme="minorEastAsia" w:hAnsiTheme="minorEastAsia" w:eastAsiaTheme="minorEastAsia" w:cstheme="minorEastAsia"/>
          <w:b/>
          <w:sz w:val="30"/>
          <w:szCs w:val="30"/>
        </w:rPr>
      </w:pPr>
      <w:r>
        <w:rPr>
          <w:rFonts w:hint="eastAsia" w:asciiTheme="minorEastAsia" w:hAnsiTheme="minorEastAsia" w:eastAsiaTheme="minorEastAsia" w:cstheme="minorEastAsia"/>
          <w:b/>
          <w:sz w:val="30"/>
          <w:szCs w:val="30"/>
          <w:lang w:val="en-US" w:eastAsia="zh-CN"/>
        </w:rPr>
        <w:t>4.</w:t>
      </w:r>
      <w:r>
        <w:rPr>
          <w:rFonts w:hint="eastAsia" w:asciiTheme="minorEastAsia" w:hAnsiTheme="minorEastAsia" w:eastAsiaTheme="minorEastAsia" w:cstheme="minorEastAsia"/>
          <w:b/>
          <w:sz w:val="30"/>
          <w:szCs w:val="30"/>
        </w:rPr>
        <w:t>商业化应用：</w:t>
      </w:r>
      <w:r>
        <w:rPr>
          <w:rFonts w:hint="eastAsia" w:asciiTheme="minorEastAsia" w:hAnsiTheme="minorEastAsia" w:eastAsiaTheme="minorEastAsia" w:cstheme="minorEastAsia"/>
          <w:b/>
          <w:sz w:val="30"/>
          <w:szCs w:val="30"/>
          <w:lang w:val="en-US" w:eastAsia="zh-CN"/>
        </w:rPr>
        <w:t>中国移动量子通信商业化步伐加速，多技术路线发力探索量子计算实用化</w:t>
      </w:r>
    </w:p>
    <w:p w14:paraId="0672355E">
      <w:pPr>
        <w:ind w:firstLine="602" w:firstLineChars="200"/>
        <w:jc w:val="left"/>
        <w:rPr>
          <w:rFonts w:hint="eastAsia" w:asciiTheme="minorEastAsia" w:hAnsiTheme="minorEastAsia" w:eastAsiaTheme="minorEastAsia" w:cstheme="minorEastAsia"/>
          <w:b/>
          <w:sz w:val="30"/>
          <w:szCs w:val="30"/>
          <w:lang w:val="en-US" w:eastAsia="zh-CN"/>
        </w:rPr>
      </w:pPr>
      <w:r>
        <w:rPr>
          <w:rFonts w:hint="eastAsia" w:asciiTheme="minorEastAsia" w:hAnsiTheme="minorEastAsia" w:eastAsiaTheme="minorEastAsia" w:cstheme="minorEastAsia"/>
          <w:b/>
          <w:sz w:val="30"/>
          <w:szCs w:val="30"/>
          <w:lang w:val="en-US" w:eastAsia="zh-CN"/>
        </w:rPr>
        <w:t>量子通信来看，中国电信作为行业领导者提供全面的量子通信服务，中国移动加速跟进，抢占市场份额。</w:t>
      </w:r>
      <w:r>
        <w:rPr>
          <w:rFonts w:hint="eastAsia" w:asciiTheme="minorEastAsia" w:hAnsiTheme="minorEastAsia" w:eastAsiaTheme="minorEastAsia" w:cstheme="minorEastAsia"/>
          <w:b w:val="0"/>
          <w:bCs w:val="0"/>
          <w:color w:val="000000" w:themeColor="text1"/>
          <w:kern w:val="2"/>
          <w:sz w:val="30"/>
          <w:szCs w:val="30"/>
          <w:lang w:val="en-US" w:eastAsia="zh-CN" w:bidi="ar-SA"/>
          <w14:textFill>
            <w14:solidFill>
              <w14:schemeClr w14:val="tx1"/>
            </w14:solidFill>
          </w14:textFill>
        </w:rPr>
        <w:t>中国移动于已推出VoLTE和VoIP版本的量子加密通话业务、“和对讲”等量子通信安全产品，并于2024年4月成功研发推广量子密话系统商用版。截至2024年一季度，中国移动量子密话业务用户数已达289万户</w:t>
      </w:r>
      <w:r>
        <w:rPr>
          <w:rStyle w:val="15"/>
          <w:rFonts w:hint="eastAsia" w:asciiTheme="minorEastAsia" w:hAnsiTheme="minorEastAsia" w:eastAsiaTheme="minorEastAsia" w:cstheme="minorEastAsia"/>
          <w:b w:val="0"/>
          <w:bCs w:val="0"/>
          <w:color w:val="000000" w:themeColor="text1"/>
          <w:kern w:val="2"/>
          <w:sz w:val="30"/>
          <w:szCs w:val="30"/>
          <w:lang w:val="en-US" w:eastAsia="zh-CN" w:bidi="ar-SA"/>
          <w14:textFill>
            <w14:solidFill>
              <w14:schemeClr w14:val="tx1"/>
            </w14:solidFill>
          </w14:textFill>
        </w:rPr>
        <w:footnoteReference w:id="1"/>
      </w:r>
      <w:r>
        <w:rPr>
          <w:rFonts w:hint="eastAsia" w:asciiTheme="minorEastAsia" w:hAnsiTheme="minorEastAsia" w:eastAsiaTheme="minorEastAsia" w:cstheme="minorEastAsia"/>
          <w:b w:val="0"/>
          <w:bCs w:val="0"/>
          <w:color w:val="000000" w:themeColor="text1"/>
          <w:kern w:val="2"/>
          <w:sz w:val="30"/>
          <w:szCs w:val="30"/>
          <w:lang w:val="en-US" w:eastAsia="zh-CN" w:bidi="ar-SA"/>
          <w14:textFill>
            <w14:solidFill>
              <w14:schemeClr w14:val="tx1"/>
            </w14:solidFill>
          </w14:textFill>
        </w:rPr>
        <w:t>，市场份额逐步与中国电信（379万户）</w:t>
      </w:r>
      <w:r>
        <w:rPr>
          <w:rStyle w:val="15"/>
          <w:rFonts w:hint="eastAsia" w:asciiTheme="minorEastAsia" w:hAnsiTheme="minorEastAsia" w:eastAsiaTheme="minorEastAsia" w:cstheme="minorEastAsia"/>
          <w:b w:val="0"/>
          <w:bCs w:val="0"/>
          <w:color w:val="000000" w:themeColor="text1"/>
          <w:kern w:val="2"/>
          <w:sz w:val="30"/>
          <w:szCs w:val="30"/>
          <w:lang w:val="en-US" w:eastAsia="zh-CN" w:bidi="ar-SA"/>
          <w14:textFill>
            <w14:solidFill>
              <w14:schemeClr w14:val="tx1"/>
            </w14:solidFill>
          </w14:textFill>
        </w:rPr>
        <w:footnoteReference w:id="2"/>
      </w:r>
      <w:r>
        <w:rPr>
          <w:rFonts w:hint="eastAsia" w:asciiTheme="minorEastAsia" w:hAnsiTheme="minorEastAsia" w:eastAsiaTheme="minorEastAsia" w:cstheme="minorEastAsia"/>
          <w:b w:val="0"/>
          <w:bCs w:val="0"/>
          <w:color w:val="000000" w:themeColor="text1"/>
          <w:kern w:val="2"/>
          <w:sz w:val="30"/>
          <w:szCs w:val="30"/>
          <w:lang w:val="en-US" w:eastAsia="zh-CN" w:bidi="ar-SA"/>
          <w14:textFill>
            <w14:solidFill>
              <w14:schemeClr w14:val="tx1"/>
            </w14:solidFill>
          </w14:textFill>
        </w:rPr>
        <w:t>逼近。</w:t>
      </w:r>
    </w:p>
    <w:p w14:paraId="01DC6FC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602" w:firstLineChars="200"/>
        <w:jc w:val="left"/>
        <w:textAlignment w:val="auto"/>
        <w:rPr>
          <w:rFonts w:hint="eastAsia" w:asciiTheme="minorEastAsia" w:hAnsiTheme="minorEastAsia" w:eastAsiaTheme="minorEastAsia" w:cstheme="minorEastAsia"/>
          <w:b w:val="0"/>
          <w:bCs w:val="0"/>
          <w:color w:val="000000" w:themeColor="text1"/>
          <w:kern w:val="2"/>
          <w:sz w:val="30"/>
          <w:szCs w:val="30"/>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2"/>
          <w:sz w:val="30"/>
          <w:szCs w:val="30"/>
          <w:lang w:val="en-US" w:eastAsia="zh-CN" w:bidi="ar-SA"/>
          <w14:textFill>
            <w14:solidFill>
              <w14:schemeClr w14:val="tx1"/>
            </w14:solidFill>
          </w14:textFill>
        </w:rPr>
        <w:t>量子计算来看，中国移动光量子、超导、离子阱多技术路线布局，以量子算力为核心提供差异化、实用化量子计算服务。</w:t>
      </w:r>
      <w:r>
        <w:rPr>
          <w:rFonts w:hint="eastAsia" w:asciiTheme="minorEastAsia" w:hAnsiTheme="minorEastAsia" w:eastAsiaTheme="minorEastAsia" w:cstheme="minorEastAsia"/>
          <w:b w:val="0"/>
          <w:bCs w:val="0"/>
          <w:color w:val="000000" w:themeColor="text1"/>
          <w:kern w:val="2"/>
          <w:sz w:val="30"/>
          <w:szCs w:val="30"/>
          <w:lang w:val="en-US" w:eastAsia="zh-CN" w:bidi="ar-SA"/>
          <w14:textFill>
            <w14:solidFill>
              <w14:schemeClr w14:val="tx1"/>
            </w14:solidFill>
          </w14:textFill>
        </w:rPr>
        <w:t>中国移动分别与中国电科、玻色量子联合发布超导量子与光量子算力平台，开放100量子比特光量子和20量子比特超导量子两种算力资源，并通过投资华翊量子布局离子阱量子计算研发，多技术线路并行发展，而中国电信“天衍”平台目前仅支持超导量子比特。此外，中国移动计划打造通用量子计算机操作系统和量子经典融合计算平台，推动量子计算的实用化。</w:t>
      </w:r>
    </w:p>
    <w:p w14:paraId="3D66F204">
      <w:pPr>
        <w:widowControl w:val="0"/>
        <w:spacing w:line="360" w:lineRule="auto"/>
        <w:ind w:firstLine="643" w:firstLineChars="200"/>
        <w:jc w:val="both"/>
        <w:rPr>
          <w:rFonts w:hint="eastAsia" w:eastAsia="黑体" w:asciiTheme="minorEastAsia" w:hAnsiTheme="minorEastAsia" w:cstheme="minorEastAsia"/>
          <w:b/>
          <w:sz w:val="30"/>
          <w:szCs w:val="30"/>
          <w:lang w:val="en-US" w:eastAsia="zh-CN"/>
        </w:rPr>
      </w:pPr>
      <w:r>
        <w:rPr>
          <w:rFonts w:hint="eastAsia" w:ascii="Times New Roman" w:hAnsi="Times New Roman" w:eastAsia="黑体" w:cs="Times New Roman"/>
          <w:b/>
          <w:sz w:val="32"/>
          <w:szCs w:val="22"/>
        </w:rPr>
        <w:t>二、</w:t>
      </w:r>
      <w:r>
        <w:rPr>
          <w:rFonts w:hint="eastAsia" w:ascii="Times New Roman" w:hAnsi="Times New Roman" w:eastAsia="黑体" w:cs="Times New Roman"/>
          <w:b/>
          <w:sz w:val="32"/>
          <w:szCs w:val="22"/>
          <w:lang w:val="en-US" w:eastAsia="zh-CN"/>
        </w:rPr>
        <w:t>综合来看，</w:t>
      </w:r>
      <w:r>
        <w:rPr>
          <w:rFonts w:hint="eastAsia" w:ascii="Times New Roman" w:hAnsi="Times New Roman" w:eastAsia="黑体" w:cs="Times New Roman"/>
          <w:b/>
          <w:sz w:val="32"/>
          <w:szCs w:val="22"/>
        </w:rPr>
        <w:t>中国电信与中国移动量子信息</w:t>
      </w:r>
      <w:r>
        <w:rPr>
          <w:rFonts w:hint="eastAsia" w:ascii="Times New Roman" w:hAnsi="Times New Roman" w:eastAsia="黑体" w:cs="Times New Roman"/>
          <w:b/>
          <w:sz w:val="32"/>
          <w:szCs w:val="22"/>
          <w:lang w:val="en-US" w:eastAsia="zh-CN"/>
        </w:rPr>
        <w:t>发展</w:t>
      </w:r>
      <w:r>
        <w:rPr>
          <w:rFonts w:hint="eastAsia" w:ascii="Times New Roman" w:hAnsi="Times New Roman" w:eastAsia="黑体" w:cs="Times New Roman"/>
          <w:b/>
          <w:sz w:val="32"/>
          <w:szCs w:val="22"/>
        </w:rPr>
        <w:t>存在三方面</w:t>
      </w:r>
      <w:r>
        <w:rPr>
          <w:rFonts w:hint="eastAsia" w:ascii="Times New Roman" w:hAnsi="Times New Roman" w:eastAsia="黑体" w:cs="Times New Roman"/>
          <w:b/>
          <w:sz w:val="32"/>
          <w:szCs w:val="22"/>
          <w:lang w:val="en-US" w:eastAsia="zh-CN"/>
        </w:rPr>
        <w:t>差异</w:t>
      </w:r>
    </w:p>
    <w:p w14:paraId="0FBF961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sz w:val="30"/>
          <w:szCs w:val="30"/>
        </w:rPr>
      </w:pPr>
      <w:r>
        <w:rPr>
          <w:rFonts w:hint="eastAsia" w:asciiTheme="minorEastAsia" w:hAnsiTheme="minorEastAsia" w:eastAsiaTheme="minorEastAsia" w:cstheme="minorEastAsia"/>
          <w:b/>
          <w:sz w:val="30"/>
          <w:szCs w:val="30"/>
          <w:lang w:val="en-US" w:eastAsia="zh-CN"/>
        </w:rPr>
        <w:t xml:space="preserve">    1.发展模式</w:t>
      </w:r>
      <w:r>
        <w:rPr>
          <w:rFonts w:hint="eastAsia" w:asciiTheme="minorEastAsia" w:hAnsiTheme="minorEastAsia" w:eastAsiaTheme="minorEastAsia" w:cstheme="minorEastAsia"/>
          <w:b/>
          <w:sz w:val="30"/>
          <w:szCs w:val="30"/>
        </w:rPr>
        <w:t>来看，中国电信践行“三力合一”，中国移动推动“四链融合”</w:t>
      </w:r>
    </w:p>
    <w:p w14:paraId="32F7CEF1">
      <w:pPr>
        <w:keepNext w:val="0"/>
        <w:keepLines w:val="0"/>
        <w:pageBreakBefore w:val="0"/>
        <w:widowControl w:val="0"/>
        <w:kinsoku/>
        <w:wordWrap/>
        <w:overflowPunct/>
        <w:topLinePunct w:val="0"/>
        <w:autoSpaceDE/>
        <w:autoSpaceDN/>
        <w:bidi w:val="0"/>
        <w:adjustRightInd/>
        <w:snapToGrid/>
        <w:spacing w:line="240" w:lineRule="auto"/>
        <w:ind w:firstLine="600" w:firstLineChars="200"/>
        <w:jc w:val="left"/>
        <w:textAlignment w:val="auto"/>
        <w:rPr>
          <w:rFonts w:hint="eastAsia" w:asciiTheme="minorEastAsia" w:hAnsiTheme="minorEastAsia" w:eastAsiaTheme="minorEastAsia" w:cstheme="minorEastAsia"/>
          <w:b w:val="0"/>
          <w:bCs/>
          <w:sz w:val="30"/>
          <w:szCs w:val="30"/>
        </w:rPr>
      </w:pPr>
      <w:r>
        <w:rPr>
          <w:rFonts w:hint="eastAsia" w:asciiTheme="minorEastAsia" w:hAnsiTheme="minorEastAsia" w:eastAsiaTheme="minorEastAsia" w:cstheme="minorEastAsia"/>
          <w:b w:val="0"/>
          <w:bCs/>
          <w:sz w:val="30"/>
          <w:szCs w:val="30"/>
        </w:rPr>
        <w:t>中国电信的战略布局以量子通信为核心，以夯实量子通信产业化领导地位为发展目标，通过整合内外部力量、市场化机制吸纳顶尖人才、外部科研机构合作、产品应用驱动等发展模式，实现提升量子通信技术自研力</w:t>
      </w:r>
      <w:r>
        <w:rPr>
          <w:rFonts w:hint="eastAsia" w:asciiTheme="minorEastAsia" w:hAnsiTheme="minorEastAsia" w:eastAsiaTheme="minorEastAsia" w:cstheme="minorEastAsia"/>
          <w:b w:val="0"/>
          <w:bCs/>
          <w:sz w:val="30"/>
          <w:szCs w:val="30"/>
          <w:lang w:eastAsia="zh-CN"/>
        </w:rPr>
        <w:t>、</w:t>
      </w:r>
      <w:r>
        <w:rPr>
          <w:rFonts w:hint="eastAsia" w:asciiTheme="minorEastAsia" w:hAnsiTheme="minorEastAsia" w:eastAsiaTheme="minorEastAsia" w:cstheme="minorEastAsia"/>
          <w:b w:val="0"/>
          <w:bCs/>
          <w:sz w:val="30"/>
          <w:szCs w:val="30"/>
        </w:rPr>
        <w:t>转化力</w:t>
      </w:r>
      <w:r>
        <w:rPr>
          <w:rFonts w:hint="eastAsia" w:asciiTheme="minorEastAsia" w:hAnsiTheme="minorEastAsia" w:eastAsiaTheme="minorEastAsia" w:cstheme="minorEastAsia"/>
          <w:b w:val="0"/>
          <w:bCs/>
          <w:sz w:val="30"/>
          <w:szCs w:val="30"/>
          <w:lang w:eastAsia="zh-CN"/>
        </w:rPr>
        <w:t>、</w:t>
      </w:r>
      <w:r>
        <w:rPr>
          <w:rFonts w:hint="eastAsia" w:asciiTheme="minorEastAsia" w:hAnsiTheme="minorEastAsia" w:eastAsiaTheme="minorEastAsia" w:cstheme="minorEastAsia"/>
          <w:b w:val="0"/>
          <w:bCs/>
          <w:sz w:val="30"/>
          <w:szCs w:val="30"/>
        </w:rPr>
        <w:t>产品力“三力合一”。中国移动的战略布局重点在于量子计算，通过构建创新生态和推动“四链融合”模式，即创新链、产业链、资金链、人才链的整合，驱动量子计算技术的实用化和产业化，形成以创新为驱动力的发展路径。</w:t>
      </w:r>
    </w:p>
    <w:p w14:paraId="391F43F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heme="minorEastAsia" w:hAnsiTheme="minorEastAsia" w:eastAsiaTheme="minorEastAsia" w:cstheme="minorEastAsia"/>
          <w:b/>
          <w:sz w:val="30"/>
          <w:szCs w:val="30"/>
        </w:rPr>
      </w:pPr>
      <w:r>
        <w:rPr>
          <w:rFonts w:hint="eastAsia" w:asciiTheme="minorEastAsia" w:hAnsiTheme="minorEastAsia" w:eastAsiaTheme="minorEastAsia" w:cstheme="minorEastAsia"/>
          <w:b/>
          <w:sz w:val="30"/>
          <w:szCs w:val="30"/>
          <w:lang w:val="en-US" w:eastAsia="zh-CN"/>
        </w:rPr>
        <w:t xml:space="preserve">    2.</w:t>
      </w:r>
      <w:r>
        <w:rPr>
          <w:rFonts w:hint="eastAsia" w:asciiTheme="minorEastAsia" w:hAnsiTheme="minorEastAsia" w:eastAsiaTheme="minorEastAsia" w:cstheme="minorEastAsia"/>
          <w:b/>
          <w:sz w:val="30"/>
          <w:szCs w:val="30"/>
        </w:rPr>
        <w:t>布局</w:t>
      </w:r>
      <w:r>
        <w:rPr>
          <w:rFonts w:hint="eastAsia" w:asciiTheme="minorEastAsia" w:hAnsiTheme="minorEastAsia" w:eastAsiaTheme="minorEastAsia" w:cstheme="minorEastAsia"/>
          <w:b/>
          <w:sz w:val="30"/>
          <w:szCs w:val="30"/>
          <w:lang w:val="en-US" w:eastAsia="zh-CN"/>
        </w:rPr>
        <w:t>策略</w:t>
      </w:r>
      <w:r>
        <w:rPr>
          <w:rFonts w:hint="eastAsia" w:asciiTheme="minorEastAsia" w:hAnsiTheme="minorEastAsia" w:eastAsiaTheme="minorEastAsia" w:cstheme="minorEastAsia"/>
          <w:b/>
          <w:sz w:val="30"/>
          <w:szCs w:val="30"/>
        </w:rPr>
        <w:t>来看，中国电信侧重“资源整合”，中国移动侧重“产投协同”</w:t>
      </w:r>
    </w:p>
    <w:p w14:paraId="53E4FA9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600" w:firstLineChars="200"/>
        <w:jc w:val="left"/>
        <w:textAlignment w:val="auto"/>
        <w:rPr>
          <w:rFonts w:hint="eastAsia" w:asciiTheme="minorEastAsia" w:hAnsiTheme="minorEastAsia" w:eastAsiaTheme="minorEastAsia" w:cstheme="minorEastAsia"/>
          <w:b/>
          <w:sz w:val="30"/>
          <w:szCs w:val="30"/>
          <w:lang w:val="en-US" w:eastAsia="zh-CN"/>
        </w:rPr>
      </w:pPr>
      <w:r>
        <w:rPr>
          <w:rFonts w:hint="eastAsia" w:asciiTheme="minorEastAsia" w:hAnsiTheme="minorEastAsia" w:eastAsiaTheme="minorEastAsia" w:cstheme="minorEastAsia"/>
          <w:b w:val="0"/>
          <w:bCs/>
          <w:sz w:val="30"/>
          <w:szCs w:val="30"/>
        </w:rPr>
        <w:t>中国电信以整合内部资源和外部合作的形式，通过成立独立的量子集团进行业务统筹，加强对量子通信产业核心技术集中攻坚与应用。中国移动则主要依托研究院、苏研进行技术标准研究与商业化方案制定，通过战略投资与成立联合实验室等方式实现产投协同，侧重资本运作和内部研发能力的结合。</w:t>
      </w:r>
      <w:r>
        <w:rPr>
          <w:rFonts w:hint="eastAsia" w:asciiTheme="minorEastAsia" w:hAnsiTheme="minorEastAsia" w:eastAsiaTheme="minorEastAsia" w:cstheme="minorEastAsia"/>
          <w:b w:val="0"/>
          <w:bCs/>
          <w:sz w:val="30"/>
          <w:szCs w:val="30"/>
          <w:lang w:val="en-US" w:eastAsia="zh-CN"/>
        </w:rPr>
        <w:t>产投协同模式能够更灵活发挥资本优势，吸纳产业核心技术及应用。</w:t>
      </w:r>
    </w:p>
    <w:p w14:paraId="644A208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heme="minorEastAsia" w:hAnsiTheme="minorEastAsia" w:eastAsiaTheme="minorEastAsia" w:cstheme="minorEastAsia"/>
          <w:b/>
          <w:sz w:val="30"/>
          <w:szCs w:val="30"/>
          <w:lang w:val="en-US" w:eastAsia="zh-CN"/>
        </w:rPr>
      </w:pPr>
      <w:r>
        <w:rPr>
          <w:rFonts w:hint="eastAsia" w:asciiTheme="minorEastAsia" w:hAnsiTheme="minorEastAsia" w:eastAsiaTheme="minorEastAsia" w:cstheme="minorEastAsia"/>
          <w:b/>
          <w:sz w:val="30"/>
          <w:szCs w:val="30"/>
          <w:lang w:val="en-US" w:eastAsia="zh-CN"/>
        </w:rPr>
        <w:t xml:space="preserve">    3.推进策略来看，中国电信侧重“产品领先”，中国移动侧重“平台驱动”</w:t>
      </w:r>
    </w:p>
    <w:p w14:paraId="1EC1795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600" w:firstLineChars="200"/>
        <w:jc w:val="left"/>
        <w:textAlignment w:val="auto"/>
        <w:rPr>
          <w:rFonts w:hint="eastAsia" w:asciiTheme="minorEastAsia" w:hAnsiTheme="minorEastAsia" w:eastAsiaTheme="minorEastAsia" w:cstheme="minorEastAsia"/>
          <w:b w:val="0"/>
          <w:bCs/>
          <w:sz w:val="30"/>
          <w:szCs w:val="30"/>
        </w:rPr>
      </w:pPr>
      <w:r>
        <w:rPr>
          <w:rFonts w:hint="eastAsia" w:asciiTheme="minorEastAsia" w:hAnsiTheme="minorEastAsia" w:eastAsiaTheme="minorEastAsia" w:cstheme="minorEastAsia"/>
          <w:b w:val="0"/>
          <w:bCs/>
          <w:sz w:val="30"/>
          <w:szCs w:val="30"/>
        </w:rPr>
        <w:t>中国电信以产品创新为核心发展策略，以满足高安全通信的市场需求，依托研发实力和产数业务体系，构建了可持续发展的量子安全通信产品</w:t>
      </w:r>
      <w:r>
        <w:rPr>
          <w:rFonts w:hint="eastAsia" w:asciiTheme="minorEastAsia" w:hAnsiTheme="minorEastAsia" w:eastAsiaTheme="minorEastAsia" w:cstheme="minorEastAsia"/>
          <w:b w:val="0"/>
          <w:bCs/>
          <w:sz w:val="30"/>
          <w:szCs w:val="30"/>
          <w:lang w:val="en-US" w:eastAsia="zh-CN"/>
        </w:rPr>
        <w:t>体系</w:t>
      </w:r>
      <w:r>
        <w:rPr>
          <w:rFonts w:hint="eastAsia" w:asciiTheme="minorEastAsia" w:hAnsiTheme="minorEastAsia" w:eastAsiaTheme="minorEastAsia" w:cstheme="minorEastAsia"/>
          <w:b w:val="0"/>
          <w:bCs/>
          <w:sz w:val="30"/>
          <w:szCs w:val="30"/>
        </w:rPr>
        <w:t>。中国移动采用平台战略，以量子计算机操作系统、云平台为枢纽将社会算力进行并网运营，通过战略投资和产业链合作，打造开放创新环境促进量子算法和应用开发，以平台的网络效应加速量子计算市场化进程</w:t>
      </w:r>
      <w:r>
        <w:rPr>
          <w:rFonts w:hint="eastAsia" w:asciiTheme="minorEastAsia" w:hAnsiTheme="minorEastAsia" w:eastAsiaTheme="minorEastAsia" w:cstheme="minorEastAsia"/>
          <w:b w:val="0"/>
          <w:bCs/>
          <w:sz w:val="30"/>
          <w:szCs w:val="30"/>
          <w:lang w:eastAsia="zh-CN"/>
        </w:rPr>
        <w:t>。</w:t>
      </w:r>
      <w:r>
        <w:rPr>
          <w:rFonts w:hint="eastAsia" w:asciiTheme="minorEastAsia" w:hAnsiTheme="minorEastAsia" w:eastAsiaTheme="minorEastAsia" w:cstheme="minorEastAsia"/>
          <w:b w:val="0"/>
          <w:bCs/>
          <w:sz w:val="30"/>
          <w:szCs w:val="30"/>
          <w:lang w:val="en-US" w:eastAsia="zh-CN"/>
        </w:rPr>
        <w:t>平台驱动战略更有利于构建以中国移动为核心的量子计算生态体系</w:t>
      </w:r>
      <w:r>
        <w:rPr>
          <w:rFonts w:hint="eastAsia" w:asciiTheme="minorEastAsia" w:hAnsiTheme="minorEastAsia" w:eastAsiaTheme="minorEastAsia" w:cstheme="minorEastAsia"/>
          <w:b w:val="0"/>
          <w:bCs/>
          <w:sz w:val="30"/>
          <w:szCs w:val="30"/>
        </w:rPr>
        <w:t>。</w:t>
      </w:r>
    </w:p>
    <w:p w14:paraId="342340E6">
      <w:pPr>
        <w:widowControl w:val="0"/>
        <w:spacing w:line="360" w:lineRule="auto"/>
        <w:ind w:firstLine="643" w:firstLineChars="200"/>
        <w:jc w:val="both"/>
        <w:rPr>
          <w:rFonts w:hint="eastAsia" w:ascii="Times New Roman" w:hAnsi="Times New Roman" w:eastAsia="黑体" w:cs="Times New Roman"/>
          <w:b/>
          <w:sz w:val="32"/>
          <w:szCs w:val="22"/>
        </w:rPr>
      </w:pPr>
      <w:r>
        <w:rPr>
          <w:rFonts w:hint="eastAsia" w:ascii="Times New Roman" w:hAnsi="Times New Roman" w:eastAsia="黑体" w:cs="Times New Roman"/>
          <w:b/>
          <w:sz w:val="32"/>
          <w:szCs w:val="22"/>
          <w:lang w:val="en-US" w:eastAsia="zh-CN"/>
        </w:rPr>
        <w:t>三、中国电信量子信息领域布局启示及</w:t>
      </w:r>
      <w:r>
        <w:rPr>
          <w:rFonts w:hint="eastAsia" w:ascii="Times New Roman" w:hAnsi="Times New Roman" w:eastAsia="黑体" w:cs="Times New Roman"/>
          <w:b/>
          <w:sz w:val="32"/>
          <w:szCs w:val="22"/>
        </w:rPr>
        <w:t>建议</w:t>
      </w:r>
    </w:p>
    <w:p w14:paraId="2D796DC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sz w:val="30"/>
          <w:szCs w:val="30"/>
          <w:lang w:val="en-US" w:eastAsia="zh-CN"/>
        </w:rPr>
      </w:pPr>
      <w:r>
        <w:rPr>
          <w:rFonts w:hint="eastAsia" w:asciiTheme="minorEastAsia" w:hAnsiTheme="minorEastAsia" w:eastAsiaTheme="minorEastAsia" w:cstheme="minorEastAsia"/>
          <w:b/>
          <w:sz w:val="30"/>
          <w:szCs w:val="30"/>
          <w:lang w:val="en-US" w:eastAsia="zh-CN"/>
        </w:rPr>
        <w:t xml:space="preserve">    1.顶层规划：加强“创新、产业、资本、人才”统筹规划，量子通信保持领先，量子计算深化布局</w:t>
      </w:r>
    </w:p>
    <w:p w14:paraId="7C3803C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0" w:firstLineChars="200"/>
        <w:jc w:val="left"/>
        <w:textAlignment w:val="auto"/>
        <w:rPr>
          <w:rFonts w:hint="eastAsia" w:asciiTheme="minorEastAsia" w:hAnsiTheme="minorEastAsia" w:eastAsiaTheme="minorEastAsia" w:cstheme="minorEastAsia"/>
          <w:b w:val="0"/>
          <w:bCs/>
          <w:sz w:val="30"/>
          <w:szCs w:val="30"/>
          <w:lang w:val="en-US" w:eastAsia="zh-CN"/>
        </w:rPr>
      </w:pPr>
      <w:r>
        <w:rPr>
          <w:rFonts w:hint="eastAsia" w:asciiTheme="minorEastAsia" w:hAnsiTheme="minorEastAsia" w:eastAsiaTheme="minorEastAsia" w:cstheme="minorEastAsia"/>
          <w:b w:val="0"/>
          <w:bCs/>
          <w:sz w:val="30"/>
          <w:szCs w:val="30"/>
          <w:lang w:val="en-US" w:eastAsia="zh-CN"/>
        </w:rPr>
        <w:t>一是加强在量子信息领域整体统筹规划，通过鼓励技术创新、加强产业合作、提升资本支持力度、重视人才引进和培养四方面战略指引，确保在量子信息领域竞争中占据有利地位。二是保持量子通信领先优势的同时，加快量子计算领域的深化布局。量子计算未来市场空间巨大，美欧等发达国家均在加速布局，可通过资源倾斜、资金投入等方式，加大量子计算实用化方向探索，在重点价值场景率先实现应用突破。</w:t>
      </w:r>
    </w:p>
    <w:p w14:paraId="182F380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left"/>
        <w:textAlignment w:val="auto"/>
        <w:rPr>
          <w:rFonts w:hint="eastAsia" w:asciiTheme="minorEastAsia" w:hAnsiTheme="minorEastAsia" w:eastAsiaTheme="minorEastAsia" w:cstheme="minorEastAsia"/>
          <w:b/>
          <w:sz w:val="30"/>
          <w:szCs w:val="30"/>
          <w:lang w:val="en-US" w:eastAsia="zh-CN"/>
        </w:rPr>
      </w:pPr>
      <w:r>
        <w:rPr>
          <w:rFonts w:hint="eastAsia" w:asciiTheme="minorEastAsia" w:hAnsiTheme="minorEastAsia" w:eastAsiaTheme="minorEastAsia" w:cstheme="minorEastAsia"/>
          <w:b/>
          <w:sz w:val="30"/>
          <w:szCs w:val="30"/>
          <w:lang w:val="en-US" w:eastAsia="zh-CN"/>
        </w:rPr>
        <w:t>2.</w:t>
      </w:r>
      <w:r>
        <w:rPr>
          <w:rFonts w:hint="eastAsia" w:asciiTheme="minorEastAsia" w:hAnsiTheme="minorEastAsia" w:eastAsiaTheme="minorEastAsia" w:cstheme="minorEastAsia"/>
          <w:b/>
          <w:sz w:val="30"/>
          <w:szCs w:val="30"/>
        </w:rPr>
        <w:t>产业布局</w:t>
      </w:r>
      <w:r>
        <w:rPr>
          <w:rFonts w:hint="eastAsia" w:asciiTheme="minorEastAsia" w:hAnsiTheme="minorEastAsia" w:eastAsiaTheme="minorEastAsia" w:cstheme="minorEastAsia"/>
          <w:b/>
          <w:sz w:val="30"/>
          <w:szCs w:val="30"/>
          <w:lang w:eastAsia="zh-CN"/>
        </w:rPr>
        <w:t>：</w:t>
      </w:r>
      <w:r>
        <w:rPr>
          <w:rFonts w:hint="eastAsia" w:asciiTheme="minorEastAsia" w:hAnsiTheme="minorEastAsia" w:eastAsiaTheme="minorEastAsia" w:cstheme="minorEastAsia"/>
          <w:b/>
          <w:bCs w:val="0"/>
          <w:sz w:val="30"/>
          <w:szCs w:val="30"/>
          <w:lang w:val="en-US" w:eastAsia="zh-CN"/>
        </w:rPr>
        <w:t>积极申报链长引领产业发展，探索多元生态合作模式打造产学研用创新联合体</w:t>
      </w:r>
    </w:p>
    <w:p w14:paraId="1E39592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0" w:firstLineChars="200"/>
        <w:jc w:val="left"/>
        <w:textAlignment w:val="auto"/>
        <w:rPr>
          <w:rFonts w:hint="eastAsia" w:asciiTheme="minorEastAsia" w:hAnsiTheme="minorEastAsia" w:eastAsiaTheme="minorEastAsia" w:cstheme="minorEastAsia"/>
          <w:b w:val="0"/>
          <w:bCs/>
          <w:sz w:val="30"/>
          <w:szCs w:val="30"/>
          <w:lang w:val="en-US" w:eastAsia="zh-CN"/>
        </w:rPr>
      </w:pPr>
      <w:r>
        <w:rPr>
          <w:rFonts w:hint="eastAsia" w:asciiTheme="minorEastAsia" w:hAnsiTheme="minorEastAsia" w:eastAsiaTheme="minorEastAsia" w:cstheme="minorEastAsia"/>
          <w:b w:val="0"/>
          <w:bCs/>
          <w:sz w:val="30"/>
          <w:szCs w:val="30"/>
          <w:lang w:val="en-US" w:eastAsia="zh-CN"/>
        </w:rPr>
        <w:t>勇担央企责任，推动量子信息产业链链长申报，发挥产业引领作用。一是深化与国盾、合肥国家实验室等头部企业和科研院所的高水平合作，补足业务发展的基础研究和科研创新能力，打造原创技术策源地。二是灵活运用资本以并购、参股、创投等方式加强对具备特定领域先进技术的量子初创企业的培育，打造企业持续创新力。三是加强与银行、金融机构、气象局等产业下游垂类企业合作，推动技术成果转化，探索量子信息技术在金融监管、气象预测、生物医药等领域的实用化场景。</w:t>
      </w:r>
    </w:p>
    <w:p w14:paraId="6B4CA2D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sz w:val="30"/>
          <w:szCs w:val="30"/>
          <w:lang w:val="en-US" w:eastAsia="zh-CN"/>
        </w:rPr>
      </w:pPr>
      <w:r>
        <w:rPr>
          <w:rFonts w:hint="eastAsia" w:asciiTheme="minorEastAsia" w:hAnsiTheme="minorEastAsia" w:eastAsiaTheme="minorEastAsia" w:cstheme="minorEastAsia"/>
          <w:b/>
          <w:sz w:val="30"/>
          <w:szCs w:val="30"/>
          <w:lang w:val="en-US" w:eastAsia="zh-CN"/>
        </w:rPr>
        <w:t xml:space="preserve">    3.产品及应用研发：以“产品+平台”为导向，构建“一纵一横”的量子信息业务体系</w:t>
      </w:r>
    </w:p>
    <w:p w14:paraId="2A61712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80"/>
        <w:jc w:val="left"/>
        <w:textAlignment w:val="auto"/>
        <w:rPr>
          <w:rFonts w:hint="eastAsia" w:asciiTheme="minorEastAsia" w:hAnsiTheme="minorEastAsia" w:eastAsiaTheme="minorEastAsia" w:cstheme="minorEastAsia"/>
          <w:b w:val="0"/>
          <w:bCs/>
          <w:sz w:val="30"/>
          <w:szCs w:val="30"/>
          <w:lang w:val="en-US" w:eastAsia="zh-CN"/>
        </w:rPr>
      </w:pPr>
      <w:r>
        <w:rPr>
          <w:rFonts w:hint="eastAsia" w:asciiTheme="minorEastAsia" w:hAnsiTheme="minorEastAsia" w:eastAsiaTheme="minorEastAsia" w:cstheme="minorEastAsia"/>
          <w:b w:val="0"/>
          <w:bCs/>
          <w:sz w:val="30"/>
          <w:szCs w:val="30"/>
          <w:lang w:val="en-US" w:eastAsia="zh-CN"/>
        </w:rPr>
        <w:t>一是纵向开展从基础设施到能力、平台、产品的自下而上赋能，持续深化量子融通话、量子融云网、量子融平台产品体系，增强产品质量和用户体验，提升业务稳定性与，适时推进量子网络部署形成一定覆盖的量子网络，为量子产品与应用奠定基础形成差异化优势；二是横向拉通量子集团及各专业公司的研发资源、专业能力及市场拓展渠道，深化布局通用计算、智算、量子计算三类算力异构融合的差异化算力服务，持续建设量子计算云平台及系统，将量子计算与安全、云服务能力创新融合，根据重点省市需求进行产品研发和场景拓展</w:t>
      </w:r>
      <w:r>
        <w:rPr>
          <w:rFonts w:hint="eastAsia" w:asciiTheme="minorEastAsia" w:hAnsiTheme="minorEastAsia" w:eastAsiaTheme="minorEastAsia" w:cstheme="minorEastAsia"/>
          <w:sz w:val="30"/>
          <w:szCs w:val="30"/>
          <w:lang w:eastAsia="zh-CN"/>
        </w:rPr>
        <w:t>，</w:t>
      </w:r>
      <w:r>
        <w:rPr>
          <w:rFonts w:hint="eastAsia" w:asciiTheme="minorEastAsia" w:hAnsiTheme="minorEastAsia" w:eastAsiaTheme="minorEastAsia" w:cstheme="minorEastAsia"/>
          <w:b w:val="0"/>
          <w:bCs/>
          <w:sz w:val="30"/>
          <w:szCs w:val="30"/>
          <w:lang w:val="en-US" w:eastAsia="zh-CN"/>
        </w:rPr>
        <w:t>面向科研、国防、金融等重点领域形成标杆性行业化解决方案。</w:t>
      </w:r>
    </w:p>
    <w:p w14:paraId="29D9D41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0" w:firstLineChars="200"/>
        <w:jc w:val="left"/>
        <w:textAlignment w:val="auto"/>
        <w:rPr>
          <w:rFonts w:hint="eastAsia" w:asciiTheme="minorEastAsia" w:hAnsiTheme="minorEastAsia" w:eastAsiaTheme="minorEastAsia" w:cstheme="minorEastAsia"/>
          <w:b w:val="0"/>
          <w:bCs/>
          <w:sz w:val="30"/>
          <w:szCs w:val="3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C9D95AAE-6080-43DC-B5BE-C92473E2E64A}"/>
  </w:font>
  <w:font w:name="黑体">
    <w:panose1 w:val="02010609060101010101"/>
    <w:charset w:val="86"/>
    <w:family w:val="auto"/>
    <w:pitch w:val="default"/>
    <w:sig w:usb0="800002BF" w:usb1="38CF7CFA" w:usb2="00000016" w:usb3="00000000" w:csb0="00040001" w:csb1="00000000"/>
    <w:embedRegular r:id="rId2" w:fontKey="{5C1C3469-6F3F-4AE4-94C6-3B5549AF843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3" w:fontKey="{234D7276-8F4A-4F85-BB37-00A9FBB0350E}"/>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14:paraId="7056B146">
      <w:pPr>
        <w:pStyle w:val="8"/>
        <w:snapToGrid w:val="0"/>
      </w:pPr>
      <w:r>
        <w:rPr>
          <w:rStyle w:val="15"/>
        </w:rPr>
        <w:footnoteRef/>
      </w:r>
      <w:r>
        <w:t xml:space="preserve"> </w:t>
      </w:r>
      <w:r>
        <w:rPr>
          <w:rFonts w:hint="eastAsia"/>
          <w:lang w:val="en-US" w:eastAsia="zh-CN"/>
        </w:rPr>
        <w:t>数据通过调研访谈由中国移动新兴业务领域专家提供</w:t>
      </w:r>
    </w:p>
  </w:footnote>
  <w:footnote w:id="1">
    <w:p w14:paraId="392399A6">
      <w:pPr>
        <w:pStyle w:val="8"/>
        <w:snapToGrid w:val="0"/>
        <w:rPr>
          <w:rFonts w:hint="default" w:eastAsia="等线"/>
          <w:lang w:val="en-US" w:eastAsia="zh-CN"/>
        </w:rPr>
      </w:pPr>
      <w:r>
        <w:rPr>
          <w:rStyle w:val="15"/>
        </w:rPr>
        <w:footnoteRef/>
      </w:r>
      <w:r>
        <w:t xml:space="preserve"> </w:t>
      </w:r>
      <w:r>
        <w:rPr>
          <w:rFonts w:hint="eastAsia"/>
          <w:lang w:val="en-US" w:eastAsia="zh-CN"/>
        </w:rPr>
        <w:t>数据通过调研访谈由中国移动新兴业务领域专家提供</w:t>
      </w:r>
    </w:p>
  </w:footnote>
  <w:footnote w:id="2">
    <w:p w14:paraId="270F15CD">
      <w:pPr>
        <w:pStyle w:val="8"/>
        <w:snapToGrid w:val="0"/>
        <w:rPr>
          <w:rFonts w:hint="default" w:eastAsia="等线"/>
          <w:lang w:val="en-US" w:eastAsia="zh-CN"/>
        </w:rPr>
      </w:pPr>
      <w:r>
        <w:rPr>
          <w:rStyle w:val="15"/>
        </w:rPr>
        <w:footnoteRef/>
      </w:r>
      <w:r>
        <w:t xml:space="preserve"> </w:t>
      </w:r>
      <w:r>
        <w:rPr>
          <w:rFonts w:hint="eastAsia"/>
          <w:lang w:val="en-US" w:eastAsia="zh-CN"/>
        </w:rPr>
        <w:t>数据由中国电信量子集团提供</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6"/>
    <w:footnote w:id="7"/>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I2Yjg0YmQ5ZGZkNmRiOGJhYzg0MWE1OThkOWU3MGMifQ=="/>
  </w:docVars>
  <w:rsids>
    <w:rsidRoot w:val="006A4D55"/>
    <w:rsid w:val="000A6BFD"/>
    <w:rsid w:val="00196398"/>
    <w:rsid w:val="00263F4B"/>
    <w:rsid w:val="00280C48"/>
    <w:rsid w:val="003410CE"/>
    <w:rsid w:val="0037307B"/>
    <w:rsid w:val="003B2C32"/>
    <w:rsid w:val="003B70B4"/>
    <w:rsid w:val="003C3011"/>
    <w:rsid w:val="004258CA"/>
    <w:rsid w:val="00430F71"/>
    <w:rsid w:val="0049575B"/>
    <w:rsid w:val="004D7FCA"/>
    <w:rsid w:val="00507898"/>
    <w:rsid w:val="00571C40"/>
    <w:rsid w:val="005A0061"/>
    <w:rsid w:val="005C7EFE"/>
    <w:rsid w:val="006764DC"/>
    <w:rsid w:val="006A4D55"/>
    <w:rsid w:val="00794E9F"/>
    <w:rsid w:val="007F6D7B"/>
    <w:rsid w:val="00990A08"/>
    <w:rsid w:val="00993478"/>
    <w:rsid w:val="009B697C"/>
    <w:rsid w:val="009C40A2"/>
    <w:rsid w:val="009E3164"/>
    <w:rsid w:val="00A33BEB"/>
    <w:rsid w:val="00A370B9"/>
    <w:rsid w:val="00AD5C89"/>
    <w:rsid w:val="00B3040D"/>
    <w:rsid w:val="00B62D5B"/>
    <w:rsid w:val="00B917FB"/>
    <w:rsid w:val="00BA0DFE"/>
    <w:rsid w:val="00CB48E2"/>
    <w:rsid w:val="00CC45A1"/>
    <w:rsid w:val="00D27924"/>
    <w:rsid w:val="00D763F0"/>
    <w:rsid w:val="00D93C92"/>
    <w:rsid w:val="00DA1869"/>
    <w:rsid w:val="00DF6D1D"/>
    <w:rsid w:val="00E61645"/>
    <w:rsid w:val="00EE260A"/>
    <w:rsid w:val="00F32B57"/>
    <w:rsid w:val="00FA1F20"/>
    <w:rsid w:val="025800E4"/>
    <w:rsid w:val="062702A8"/>
    <w:rsid w:val="0A145BE6"/>
    <w:rsid w:val="101B18F4"/>
    <w:rsid w:val="115148CA"/>
    <w:rsid w:val="1C9470BC"/>
    <w:rsid w:val="1DDD518B"/>
    <w:rsid w:val="245B5B1E"/>
    <w:rsid w:val="26CA6C0F"/>
    <w:rsid w:val="275A7251"/>
    <w:rsid w:val="27BE31A7"/>
    <w:rsid w:val="2F3244FE"/>
    <w:rsid w:val="424D22D0"/>
    <w:rsid w:val="474E157D"/>
    <w:rsid w:val="484347DF"/>
    <w:rsid w:val="55A6766C"/>
    <w:rsid w:val="55C61808"/>
    <w:rsid w:val="583B2F32"/>
    <w:rsid w:val="6A3833E4"/>
    <w:rsid w:val="6C8F5508"/>
    <w:rsid w:val="71AF37CE"/>
    <w:rsid w:val="78EC22FB"/>
    <w:rsid w:val="7F245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等线" w:hAnsi="等线" w:eastAsia="等线" w:cs="宋体"/>
      <w:kern w:val="2"/>
      <w:sz w:val="21"/>
      <w:szCs w:val="22"/>
      <w:lang w:val="en-US" w:eastAsia="zh-CN" w:bidi="ar-SA"/>
    </w:rPr>
  </w:style>
  <w:style w:type="paragraph" w:styleId="2">
    <w:name w:val="heading 2"/>
    <w:basedOn w:val="1"/>
    <w:next w:val="1"/>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4">
    <w:name w:val="annotation text"/>
    <w:basedOn w:val="1"/>
    <w:autoRedefine/>
    <w:qFormat/>
    <w:uiPriority w:val="0"/>
    <w:pPr>
      <w:jc w:val="left"/>
    </w:pPr>
  </w:style>
  <w:style w:type="paragraph" w:styleId="5">
    <w:name w:val="Balloon Text"/>
    <w:basedOn w:val="1"/>
    <w:link w:val="19"/>
    <w:autoRedefine/>
    <w:qFormat/>
    <w:uiPriority w:val="99"/>
    <w:rPr>
      <w:sz w:val="18"/>
      <w:szCs w:val="18"/>
    </w:rPr>
  </w:style>
  <w:style w:type="paragraph" w:styleId="6">
    <w:name w:val="footer"/>
    <w:basedOn w:val="1"/>
    <w:link w:val="17"/>
    <w:autoRedefine/>
    <w:qFormat/>
    <w:uiPriority w:val="99"/>
    <w:pPr>
      <w:tabs>
        <w:tab w:val="center" w:pos="4153"/>
        <w:tab w:val="right" w:pos="8306"/>
      </w:tabs>
      <w:snapToGrid w:val="0"/>
      <w:jc w:val="left"/>
    </w:pPr>
    <w:rPr>
      <w:sz w:val="18"/>
      <w:szCs w:val="18"/>
    </w:rPr>
  </w:style>
  <w:style w:type="paragraph" w:styleId="7">
    <w:name w:val="header"/>
    <w:basedOn w:val="1"/>
    <w:link w:val="16"/>
    <w:autoRedefine/>
    <w:qFormat/>
    <w:uiPriority w:val="99"/>
    <w:pPr>
      <w:pBdr>
        <w:bottom w:val="single" w:color="auto" w:sz="6" w:space="1"/>
      </w:pBdr>
      <w:tabs>
        <w:tab w:val="center" w:pos="4153"/>
        <w:tab w:val="right" w:pos="8306"/>
      </w:tabs>
      <w:snapToGrid w:val="0"/>
      <w:jc w:val="center"/>
    </w:pPr>
    <w:rPr>
      <w:sz w:val="18"/>
      <w:szCs w:val="18"/>
    </w:rPr>
  </w:style>
  <w:style w:type="paragraph" w:styleId="8">
    <w:name w:val="footnote text"/>
    <w:basedOn w:val="1"/>
    <w:autoRedefine/>
    <w:qFormat/>
    <w:uiPriority w:val="0"/>
    <w:pPr>
      <w:snapToGrid w:val="0"/>
      <w:jc w:val="left"/>
    </w:pPr>
    <w:rPr>
      <w:sz w:val="18"/>
    </w:rPr>
  </w:style>
  <w:style w:type="table" w:styleId="10">
    <w:name w:val="Table Grid"/>
    <w:basedOn w:val="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autoRedefine/>
    <w:qFormat/>
    <w:uiPriority w:val="22"/>
    <w:rPr>
      <w:b/>
      <w:bCs/>
    </w:rPr>
  </w:style>
  <w:style w:type="character" w:styleId="13">
    <w:name w:val="Emphasis"/>
    <w:basedOn w:val="11"/>
    <w:autoRedefine/>
    <w:qFormat/>
    <w:uiPriority w:val="0"/>
    <w:rPr>
      <w:i/>
    </w:rPr>
  </w:style>
  <w:style w:type="character" w:styleId="14">
    <w:name w:val="Hyperlink"/>
    <w:basedOn w:val="11"/>
    <w:autoRedefine/>
    <w:qFormat/>
    <w:uiPriority w:val="0"/>
    <w:rPr>
      <w:color w:val="0000FF"/>
      <w:u w:val="single"/>
    </w:rPr>
  </w:style>
  <w:style w:type="character" w:styleId="15">
    <w:name w:val="footnote reference"/>
    <w:basedOn w:val="11"/>
    <w:autoRedefine/>
    <w:qFormat/>
    <w:uiPriority w:val="0"/>
    <w:rPr>
      <w:vertAlign w:val="superscript"/>
    </w:rPr>
  </w:style>
  <w:style w:type="character" w:customStyle="1" w:styleId="16">
    <w:name w:val="页眉 字符"/>
    <w:basedOn w:val="11"/>
    <w:link w:val="7"/>
    <w:autoRedefine/>
    <w:qFormat/>
    <w:uiPriority w:val="99"/>
    <w:rPr>
      <w:sz w:val="18"/>
      <w:szCs w:val="18"/>
    </w:rPr>
  </w:style>
  <w:style w:type="character" w:customStyle="1" w:styleId="17">
    <w:name w:val="页脚 字符"/>
    <w:basedOn w:val="11"/>
    <w:link w:val="6"/>
    <w:autoRedefine/>
    <w:qFormat/>
    <w:uiPriority w:val="99"/>
    <w:rPr>
      <w:sz w:val="18"/>
      <w:szCs w:val="18"/>
    </w:rPr>
  </w:style>
  <w:style w:type="paragraph" w:styleId="18">
    <w:name w:val="List Paragraph"/>
    <w:basedOn w:val="1"/>
    <w:autoRedefine/>
    <w:qFormat/>
    <w:uiPriority w:val="34"/>
    <w:pPr>
      <w:ind w:firstLine="420" w:firstLineChars="200"/>
    </w:pPr>
  </w:style>
  <w:style w:type="character" w:customStyle="1" w:styleId="19">
    <w:name w:val="批注框文本 字符"/>
    <w:basedOn w:val="11"/>
    <w:link w:val="5"/>
    <w:autoRedefine/>
    <w:qFormat/>
    <w:uiPriority w:val="99"/>
    <w:rPr>
      <w:rFonts w:ascii="等线" w:hAnsi="等线" w:eastAsia="等线" w:cs="宋体"/>
      <w:kern w:val="2"/>
      <w:sz w:val="18"/>
      <w:szCs w:val="18"/>
    </w:rPr>
  </w:style>
  <w:style w:type="paragraph" w:customStyle="1" w:styleId="20">
    <w:name w:val="列表段落1"/>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 Inc.</Company>
  <Pages>7</Pages>
  <Words>3395</Words>
  <Characters>3478</Characters>
  <Lines>12</Lines>
  <Paragraphs>3</Paragraphs>
  <TotalTime>6</TotalTime>
  <ScaleCrop>false</ScaleCrop>
  <LinksUpToDate>false</LinksUpToDate>
  <CharactersWithSpaces>3499</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2024-05-11T02:17:00Z</dcterms:created>
  <dc:creator>HP</dc:creator>
  <cp:lastModifiedBy>PQ</cp:lastModifiedBy>
  <dcterms:modified xsi:type="dcterms:W3CDTF">2024-08-22T08:17:21Z</dcterms:modified>
  <cp:revision>173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7A4942720F1649B19309690B4064DC5D_13</vt:lpwstr>
  </property>
</Properties>
</file>