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430"/>
        <w:spacing w:before="210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系统集成商在产数市场中发展模式研究</w:t>
      </w:r>
    </w:p>
    <w:p>
      <w:pPr>
        <w:ind w:left="1617"/>
        <w:spacing w:before="159" w:line="193" w:lineRule="auto"/>
        <w:outlineLvl w:val="0"/>
        <w:rPr>
          <w:rFonts w:ascii="Microsoft YaHei" w:hAnsi="Microsoft YaHei" w:eastAsia="Microsoft YaHei" w:cs="Microsoft YaHei"/>
          <w:sz w:val="36"/>
          <w:szCs w:val="36"/>
        </w:rPr>
      </w:pPr>
      <w:r>
        <w:rPr>
          <w:rFonts w:ascii="Microsoft YaHei" w:hAnsi="Microsoft YaHei" w:eastAsia="Microsoft YaHei" w:cs="Microsoft YaHei"/>
          <w:sz w:val="36"/>
          <w:szCs w:val="36"/>
          <w:b/>
          <w:bCs/>
        </w:rPr>
        <w:t>——以太极股份和浪潮集团为例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ind w:left="1880"/>
        <w:spacing w:before="110" w:line="207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9"/>
        </w:rPr>
        <w:t>文/  左芳芳   肖少波</w:t>
      </w:r>
      <w:r>
        <w:rPr>
          <w:rFonts w:ascii="STKaiti" w:hAnsi="STKaiti" w:eastAsia="STKaiti" w:cs="STKaiti"/>
          <w:sz w:val="30"/>
          <w:szCs w:val="30"/>
          <w:spacing w:val="22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9"/>
        </w:rPr>
        <w:t>李一明</w:t>
      </w:r>
      <w:r>
        <w:rPr>
          <w:rFonts w:ascii="STKaiti" w:hAnsi="STKaiti" w:eastAsia="STKaiti" w:cs="STKaiti"/>
          <w:sz w:val="30"/>
          <w:szCs w:val="30"/>
          <w:spacing w:val="8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9"/>
        </w:rPr>
        <w:t>廖文凯</w:t>
      </w:r>
    </w:p>
    <w:p>
      <w:pPr>
        <w:spacing w:line="405" w:lineRule="auto"/>
        <w:rPr>
          <w:rFonts w:ascii="Arial"/>
          <w:sz w:val="21"/>
        </w:rPr>
      </w:pPr>
      <w:r/>
    </w:p>
    <w:p>
      <w:pPr>
        <w:ind w:left="34" w:right="103" w:firstLine="602"/>
        <w:spacing w:before="97" w:line="259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5"/>
        </w:rPr>
        <w:t>产业数字化市场蓬勃发展，各市场参与者在磨合、碰撞中寻</w:t>
      </w:r>
      <w:r>
        <w:rPr>
          <w:rFonts w:ascii="FangSong" w:hAnsi="FangSong" w:eastAsia="FangSong" w:cs="FangSong"/>
          <w:sz w:val="30"/>
          <w:szCs w:val="30"/>
          <w:spacing w:val="-4"/>
        </w:rPr>
        <w:t>找自我定位。集成商为产数市场提供一揽子软硬件产品和解</w:t>
      </w:r>
      <w:r>
        <w:rPr>
          <w:rFonts w:ascii="FangSong" w:hAnsi="FangSong" w:eastAsia="FangSong" w:cs="FangSong"/>
          <w:sz w:val="30"/>
          <w:szCs w:val="30"/>
          <w:spacing w:val="-5"/>
        </w:rPr>
        <w:t>决方</w:t>
      </w:r>
      <w:r>
        <w:rPr>
          <w:rFonts w:ascii="FangSong" w:hAnsi="FangSong" w:eastAsia="FangSong" w:cs="FangSong"/>
          <w:sz w:val="30"/>
          <w:szCs w:val="30"/>
          <w:spacing w:val="-3"/>
        </w:rPr>
        <w:t>案，在产业升级中扮演着不可或缺的角色。从</w:t>
      </w:r>
      <w:r>
        <w:rPr>
          <w:rFonts w:ascii="FangSong" w:hAnsi="FangSong" w:eastAsia="FangSong" w:cs="FangSong"/>
          <w:sz w:val="30"/>
          <w:szCs w:val="30"/>
          <w:spacing w:val="-23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3"/>
        </w:rPr>
        <w:t>2022</w:t>
      </w:r>
      <w:r>
        <w:rPr>
          <w:rFonts w:ascii="FangSong" w:hAnsi="FangSong" w:eastAsia="FangSong" w:cs="FangSong"/>
          <w:sz w:val="30"/>
          <w:szCs w:val="30"/>
          <w:spacing w:val="-3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3"/>
        </w:rPr>
        <w:t>年全年数字</w:t>
      </w:r>
      <w:r>
        <w:rPr>
          <w:rFonts w:ascii="FangSong" w:hAnsi="FangSong" w:eastAsia="FangSong" w:cs="FangSong"/>
          <w:sz w:val="30"/>
          <w:szCs w:val="30"/>
          <w:spacing w:val="-4"/>
        </w:rPr>
        <w:t>化项目中标份额看，太极和浪潮这两家集成商在产数市场排名仅</w:t>
      </w:r>
      <w:r>
        <w:rPr>
          <w:rFonts w:ascii="FangSong" w:hAnsi="FangSong" w:eastAsia="FangSong" w:cs="FangSong"/>
          <w:sz w:val="30"/>
          <w:szCs w:val="30"/>
          <w:spacing w:val="-4"/>
        </w:rPr>
        <w:t>次于四大运营商，故文章以太极和浪潮为例，从企业战</w:t>
      </w:r>
      <w:r>
        <w:rPr>
          <w:rFonts w:ascii="FangSong" w:hAnsi="FangSong" w:eastAsia="FangSong" w:cs="FangSong"/>
          <w:sz w:val="30"/>
          <w:szCs w:val="30"/>
          <w:spacing w:val="-5"/>
        </w:rPr>
        <w:t>略转型历</w:t>
      </w:r>
      <w:r>
        <w:rPr>
          <w:rFonts w:ascii="FangSong" w:hAnsi="FangSong" w:eastAsia="FangSong" w:cs="FangSong"/>
          <w:sz w:val="30"/>
          <w:szCs w:val="30"/>
          <w:spacing w:val="-4"/>
        </w:rPr>
        <w:t>程入手，总结两家企业在市场深耕、能力打造、售后服务的经验</w:t>
      </w:r>
      <w:r>
        <w:rPr>
          <w:rFonts w:ascii="FangSong" w:hAnsi="FangSong" w:eastAsia="FangSong" w:cs="FangSong"/>
          <w:sz w:val="30"/>
          <w:szCs w:val="30"/>
          <w:spacing w:val="-2"/>
        </w:rPr>
        <w:t>做法，提出中电信作为优秀集成商推进产数市场发展的</w:t>
      </w:r>
      <w:r>
        <w:rPr>
          <w:rFonts w:ascii="FangSong" w:hAnsi="FangSong" w:eastAsia="FangSong" w:cs="FangSong"/>
          <w:sz w:val="30"/>
          <w:szCs w:val="30"/>
          <w:spacing w:val="-3"/>
        </w:rPr>
        <w:t>建议。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ind w:left="675"/>
        <w:spacing w:before="100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一、战略转型历程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31" w:right="101" w:firstLine="605"/>
        <w:spacing w:before="99" w:line="258" w:lineRule="auto"/>
        <w:jc w:val="both"/>
        <w:rPr/>
      </w:pPr>
      <w:r>
        <w:rPr>
          <w:rFonts w:ascii="Times New Roman" w:hAnsi="Times New Roman" w:eastAsia="Times New Roman" w:cs="Times New Roman"/>
          <w:b/>
          <w:bCs/>
          <w:spacing w:val="-8"/>
        </w:rPr>
        <w:t>1</w:t>
      </w:r>
      <w:r>
        <w:rPr>
          <w:b/>
          <w:bCs/>
          <w:spacing w:val="-8"/>
        </w:rPr>
        <w:t>．太极：明确从“</w:t>
      </w:r>
      <w:r>
        <w:rPr>
          <w:rFonts w:ascii="Times New Roman" w:hAnsi="Times New Roman" w:eastAsia="Times New Roman" w:cs="Times New Roman"/>
          <w:b/>
          <w:bCs/>
          <w:spacing w:val="-8"/>
        </w:rPr>
        <w:t>IT </w:t>
      </w:r>
      <w:r>
        <w:rPr>
          <w:b/>
          <w:bCs/>
          <w:spacing w:val="-8"/>
        </w:rPr>
        <w:t>服务提供商</w:t>
      </w:r>
      <w:r>
        <w:rPr>
          <w:spacing w:val="-100"/>
        </w:rPr>
        <w:t xml:space="preserve"> </w:t>
      </w:r>
      <w:r>
        <w:rPr>
          <w:b/>
          <w:bCs/>
          <w:spacing w:val="-8"/>
        </w:rPr>
        <w:t>”向“数字化服务商</w:t>
      </w:r>
      <w:r>
        <w:rPr>
          <w:spacing w:val="-107"/>
        </w:rPr>
        <w:t xml:space="preserve"> </w:t>
      </w:r>
      <w:r>
        <w:rPr>
          <w:b/>
          <w:bCs/>
          <w:spacing w:val="-8"/>
        </w:rPr>
        <w:t>”的</w:t>
      </w:r>
      <w:r>
        <w:rPr>
          <w:b/>
          <w:bCs/>
          <w:spacing w:val="-9"/>
        </w:rPr>
        <w:t>角色转型，深化“一体两翼</w:t>
      </w:r>
      <w:r>
        <w:rPr>
          <w:spacing w:val="-95"/>
        </w:rPr>
        <w:t xml:space="preserve"> </w:t>
      </w:r>
      <w:r>
        <w:rPr>
          <w:b/>
          <w:bCs/>
          <w:spacing w:val="-9"/>
        </w:rPr>
        <w:t>”发展战略，大力推动自主可控业务</w:t>
      </w:r>
      <w:r>
        <w:rPr>
          <w:b/>
          <w:bCs/>
          <w:spacing w:val="-4"/>
        </w:rPr>
        <w:t>发展，形成产数市场增长新动能</w:t>
      </w:r>
    </w:p>
    <w:p>
      <w:pPr>
        <w:pStyle w:val="BodyText"/>
        <w:ind w:left="5" w:firstLine="620"/>
        <w:spacing w:before="289" w:line="258" w:lineRule="auto"/>
        <w:jc w:val="both"/>
        <w:rPr/>
      </w:pPr>
      <w:r>
        <w:rPr>
          <w:spacing w:val="-4"/>
        </w:rPr>
        <w:t>太极以自主研发小型机起步，随后发展为政府、</w:t>
      </w:r>
      <w:r>
        <w:rPr>
          <w:spacing w:val="-5"/>
        </w:rPr>
        <w:t>工业控制等</w:t>
      </w:r>
      <w:r>
        <w:rPr>
          <w:spacing w:val="-3"/>
        </w:rPr>
        <w:t>客户提供涵盖系统咨询设计、应用开发、系统集成、软件产</w:t>
      </w:r>
      <w:r>
        <w:rPr>
          <w:spacing w:val="-4"/>
        </w:rPr>
        <w:t>品等</w:t>
      </w:r>
      <w:r>
        <w:rPr>
          <w:spacing w:val="-4"/>
        </w:rPr>
        <w:t>在内的一体化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IT </w:t>
      </w:r>
      <w:r>
        <w:rPr>
          <w:spacing w:val="-4"/>
        </w:rPr>
        <w:t>服务。</w:t>
      </w:r>
      <w:r>
        <w:rPr>
          <w:rFonts w:ascii="Times New Roman" w:hAnsi="Times New Roman" w:eastAsia="Times New Roman" w:cs="Times New Roman"/>
          <w:spacing w:val="-4"/>
        </w:rPr>
        <w:t>2015 </w:t>
      </w:r>
      <w:r>
        <w:rPr>
          <w:spacing w:val="-4"/>
        </w:rPr>
        <w:t>年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IT </w:t>
      </w:r>
      <w:r>
        <w:rPr>
          <w:spacing w:val="-4"/>
        </w:rPr>
        <w:t>业务收入增长率显著放缓，太</w:t>
      </w:r>
      <w:r>
        <w:rPr>
          <w:spacing w:val="-8"/>
        </w:rPr>
        <w:t>极积极调整战略，提出“固根基，展两翼”，明确要布局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IT </w:t>
      </w:r>
      <w:r>
        <w:rPr>
          <w:spacing w:val="-8"/>
        </w:rPr>
        <w:t>软硬</w:t>
      </w:r>
      <w:r>
        <w:rPr>
          <w:spacing w:val="-3"/>
        </w:rPr>
        <w:t>件产品和云服务能力，组建自主可控工程研究中心，同</w:t>
      </w:r>
      <w:r>
        <w:rPr>
          <w:spacing w:val="-4"/>
        </w:rPr>
        <w:t>时募集资</w:t>
      </w:r>
      <w:r>
        <w:rPr>
          <w:spacing w:val="-8"/>
        </w:rPr>
        <w:t>金用于云计算、自主可控等项目研发， 而后优化业务布</w:t>
      </w:r>
      <w:r>
        <w:rPr>
          <w:spacing w:val="-9"/>
        </w:rPr>
        <w:t>局，将传</w:t>
      </w:r>
      <w:r>
        <w:rPr/>
        <w:t>统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</w:rPr>
        <w:t>IT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/>
        <w:t>业务分为系统集成、网络安全、智慧应用</w:t>
      </w:r>
      <w:r>
        <w:rPr>
          <w:spacing w:val="-1"/>
        </w:rPr>
        <w:t>及云服务四大板</w:t>
      </w:r>
      <w:r>
        <w:rPr>
          <w:spacing w:val="7"/>
        </w:rPr>
        <w:t>块，其中网络安全及智慧应用业务高速增长带动整体营收实现</w:t>
      </w:r>
      <w:r>
        <w:rPr>
          <w:spacing w:val="-6"/>
        </w:rPr>
        <w:t>“</w:t>
      </w:r>
      <w:r>
        <w:rPr>
          <w:rFonts w:ascii="Times New Roman" w:hAnsi="Times New Roman" w:eastAsia="Times New Roman" w:cs="Times New Roman"/>
          <w:spacing w:val="-6"/>
        </w:rPr>
        <w:t>V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-6"/>
        </w:rPr>
        <w:t>型”反转。</w:t>
      </w:r>
      <w:r>
        <w:rPr>
          <w:rFonts w:ascii="Times New Roman" w:hAnsi="Times New Roman" w:eastAsia="Times New Roman" w:cs="Times New Roman"/>
          <w:spacing w:val="-6"/>
        </w:rPr>
        <w:t>2021 </w:t>
      </w:r>
      <w:r>
        <w:rPr>
          <w:spacing w:val="-6"/>
        </w:rPr>
        <w:t>年太极升级战略，将两翼转变为打造核心产</w:t>
      </w:r>
      <w:r>
        <w:rPr>
          <w:spacing w:val="-10"/>
        </w:rPr>
        <w:t>品产业化和平台化运营服务两大引擎，专注推进自身向“数字化、</w:t>
      </w:r>
      <w:r>
        <w:rPr>
          <w:spacing w:val="-3"/>
        </w:rPr>
        <w:t>产品化、平台化”战略转型，以便能更快速、标准化的</w:t>
      </w:r>
      <w:r>
        <w:rPr>
          <w:spacing w:val="-4"/>
        </w:rPr>
        <w:t>满足客户</w:t>
      </w:r>
      <w:r>
        <w:rPr>
          <w:spacing w:val="-4"/>
        </w:rPr>
        <w:t>数字化升级需求。</w:t>
      </w:r>
    </w:p>
    <w:p>
      <w:pPr>
        <w:spacing w:line="258" w:lineRule="auto"/>
        <w:sectPr>
          <w:pgSz w:w="11907" w:h="16839"/>
          <w:pgMar w:top="1431" w:right="1694" w:bottom="0" w:left="1785" w:header="0" w:footer="0" w:gutter="0"/>
        </w:sectPr>
        <w:rPr/>
      </w:pPr>
    </w:p>
    <w:p>
      <w:pPr>
        <w:ind w:firstLine="206"/>
        <w:spacing w:before="25" w:line="4958" w:lineRule="exact"/>
        <w:rPr/>
      </w:pPr>
      <w:r>
        <w:rPr>
          <w:position w:val="-99"/>
        </w:rPr>
        <w:drawing>
          <wp:inline distT="0" distB="0" distL="0" distR="0">
            <wp:extent cx="5021579" cy="3148583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1579" cy="3148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914"/>
        <w:spacing w:before="235" w:line="217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"/>
        </w:rPr>
        <w:t>图</w:t>
      </w:r>
      <w:r>
        <w:rPr>
          <w:rFonts w:ascii="KaiTi" w:hAnsi="KaiTi" w:eastAsia="KaiTi" w:cs="KaiTi"/>
          <w:sz w:val="30"/>
          <w:szCs w:val="30"/>
          <w:spacing w:val="-47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"/>
        </w:rPr>
        <w:t>1</w:t>
      </w:r>
      <w:r>
        <w:rPr>
          <w:rFonts w:ascii="KaiTi" w:hAnsi="KaiTi" w:eastAsia="KaiTi" w:cs="KaiTi"/>
          <w:sz w:val="30"/>
          <w:szCs w:val="30"/>
          <w:spacing w:val="-1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1"/>
        </w:rPr>
        <w:t>2011～2021年太极营业收入和</w:t>
      </w:r>
      <w:r>
        <w:rPr>
          <w:rFonts w:ascii="KaiTi" w:hAnsi="KaiTi" w:eastAsia="KaiTi" w:cs="KaiTi"/>
          <w:sz w:val="30"/>
          <w:szCs w:val="30"/>
          <w:spacing w:val="-2"/>
        </w:rPr>
        <w:t>增速（亿元）</w:t>
      </w:r>
    </w:p>
    <w:p>
      <w:pPr>
        <w:spacing w:line="390" w:lineRule="auto"/>
        <w:rPr>
          <w:rFonts w:ascii="Arial"/>
          <w:sz w:val="21"/>
        </w:rPr>
      </w:pPr>
      <w:r/>
    </w:p>
    <w:p>
      <w:pPr>
        <w:ind w:firstLine="110"/>
        <w:spacing w:line="4107" w:lineRule="exact"/>
        <w:rPr/>
      </w:pPr>
      <w:r>
        <w:rPr>
          <w:position w:val="-82"/>
        </w:rPr>
        <w:drawing>
          <wp:inline distT="0" distB="0" distL="0" distR="0">
            <wp:extent cx="5151120" cy="2607564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51120" cy="260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2" w:lineRule="auto"/>
        <w:rPr>
          <w:rFonts w:ascii="Arial"/>
          <w:sz w:val="21"/>
        </w:rPr>
      </w:pPr>
      <w:r/>
    </w:p>
    <w:p>
      <w:pPr>
        <w:ind w:left="2902"/>
        <w:spacing w:before="97" w:line="216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0"/>
        </w:rPr>
        <w:t>图</w:t>
      </w:r>
      <w:r>
        <w:rPr>
          <w:rFonts w:ascii="KaiTi" w:hAnsi="KaiTi" w:eastAsia="KaiTi" w:cs="KaiTi"/>
          <w:sz w:val="30"/>
          <w:szCs w:val="30"/>
          <w:spacing w:val="-58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0"/>
        </w:rPr>
        <w:t>2</w:t>
      </w:r>
      <w:r>
        <w:rPr>
          <w:rFonts w:ascii="KaiTi" w:hAnsi="KaiTi" w:eastAsia="KaiTi" w:cs="KaiTi"/>
          <w:sz w:val="30"/>
          <w:szCs w:val="30"/>
          <w:spacing w:val="8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10"/>
        </w:rPr>
        <w:t>太极战略升级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26" w:right="12" w:firstLine="597"/>
        <w:spacing w:before="98" w:line="258" w:lineRule="auto"/>
        <w:jc w:val="both"/>
        <w:rPr/>
      </w:pPr>
      <w:r>
        <w:rPr>
          <w:rFonts w:ascii="Times New Roman" w:hAnsi="Times New Roman" w:eastAsia="Times New Roman" w:cs="Times New Roman"/>
          <w:b/>
          <w:bCs/>
          <w:spacing w:val="-13"/>
        </w:rPr>
        <w:t>2</w:t>
      </w:r>
      <w:r>
        <w:rPr>
          <w:b/>
          <w:bCs/>
          <w:spacing w:val="-13"/>
        </w:rPr>
        <w:t>．浪潮：明确“数字化转型优秀服务商”的目标，围绕“云</w:t>
      </w:r>
      <w:r>
        <w:rPr>
          <w:b/>
          <w:bCs/>
          <w:spacing w:val="-8"/>
        </w:rPr>
        <w:t>计算”发挥不同业务单元的协同优势，提供从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8"/>
        </w:rPr>
        <w:t>IaaS</w:t>
      </w:r>
      <w:r>
        <w:rPr>
          <w:rFonts w:ascii="Times New Roman" w:hAnsi="Times New Roman" w:eastAsia="Times New Roman" w:cs="Times New Roman"/>
          <w:b/>
          <w:bCs/>
          <w:spacing w:val="21"/>
          <w:w w:val="101"/>
        </w:rPr>
        <w:t xml:space="preserve"> </w:t>
      </w:r>
      <w:r>
        <w:rPr>
          <w:b/>
          <w:bCs/>
          <w:spacing w:val="-8"/>
        </w:rPr>
        <w:t>到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8"/>
        </w:rPr>
        <w:t>SaaS </w:t>
      </w:r>
      <w:r>
        <w:rPr>
          <w:b/>
          <w:bCs/>
          <w:spacing w:val="-8"/>
        </w:rPr>
        <w:t>一体</w:t>
      </w:r>
      <w:r>
        <w:rPr>
          <w:b/>
          <w:bCs/>
          <w:spacing w:val="-7"/>
        </w:rPr>
        <w:t>化服务</w:t>
      </w:r>
    </w:p>
    <w:p>
      <w:pPr>
        <w:pStyle w:val="BodyText"/>
        <w:ind w:left="31" w:right="12" w:firstLine="599"/>
        <w:spacing w:before="281" w:line="255" w:lineRule="auto"/>
        <w:jc w:val="both"/>
        <w:rPr/>
      </w:pPr>
      <w:r>
        <w:rPr>
          <w:spacing w:val="-6"/>
        </w:rPr>
        <w:t>浪潮集团整体营收中服务器收入占比超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90%</w:t>
      </w:r>
      <w:r>
        <w:rPr>
          <w:spacing w:val="-6"/>
        </w:rPr>
        <w:t>，但服务器业务</w:t>
      </w:r>
      <w:r>
        <w:rPr>
          <w:spacing w:val="-3"/>
        </w:rPr>
        <w:t>收入增速放缓、毛利率水平不高（不足 </w:t>
      </w:r>
      <w:r>
        <w:rPr>
          <w:rFonts w:ascii="Times New Roman" w:hAnsi="Times New Roman" w:eastAsia="Times New Roman" w:cs="Times New Roman"/>
          <w:spacing w:val="-3"/>
        </w:rPr>
        <w:t>15%</w:t>
      </w:r>
      <w:r>
        <w:rPr>
          <w:spacing w:val="-64"/>
        </w:rPr>
        <w:t>），</w:t>
      </w:r>
      <w:r>
        <w:rPr>
          <w:spacing w:val="-3"/>
        </w:rPr>
        <w:t>难以作为其长久</w:t>
      </w:r>
      <w:r>
        <w:rPr>
          <w:spacing w:val="-4"/>
        </w:rPr>
        <w:t>发展的护城河。随云时代到来，浪潮提出“云计算”战略，旗下</w:t>
      </w:r>
    </w:p>
    <w:p>
      <w:pPr>
        <w:spacing w:line="255" w:lineRule="auto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pStyle w:val="BodyText"/>
        <w:ind w:left="23" w:right="23" w:firstLine="11"/>
        <w:spacing w:before="94" w:line="258" w:lineRule="auto"/>
        <w:jc w:val="both"/>
        <w:rPr/>
      </w:pPr>
      <w:r>
        <w:rPr>
          <w:spacing w:val="-4"/>
        </w:rPr>
        <w:t>公司均围绕该战略布局，并在内部推广协作机制，</w:t>
      </w:r>
      <w:r>
        <w:rPr>
          <w:spacing w:val="-5"/>
        </w:rPr>
        <w:t>按联合项目推</w:t>
      </w:r>
      <w:r>
        <w:rPr>
          <w:spacing w:val="-5"/>
        </w:rPr>
        <w:t>进阶段奖励子公司间业务协作。浪潮信息定位于云计算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Iaas </w:t>
      </w:r>
      <w:r>
        <w:rPr>
          <w:spacing w:val="-5"/>
        </w:rPr>
        <w:t>层供</w:t>
      </w:r>
      <w:r>
        <w:rPr>
          <w:spacing w:val="-4"/>
        </w:rPr>
        <w:t>应商，迭代更新服务器系列产品，巩固云数据中心产品与方案的</w:t>
      </w:r>
      <w:r>
        <w:rPr>
          <w:spacing w:val="-4"/>
        </w:rPr>
        <w:t>市场地位；浪潮软件深耕数字政府、烟草行业信息化等领域，巩</w:t>
      </w:r>
      <w:r>
        <w:rPr>
          <w:spacing w:val="-1"/>
        </w:rPr>
        <w:t>固服务供应商的战略定位；浪潮数字企业专注推动企业云落地，</w:t>
      </w:r>
      <w:r>
        <w:rPr>
          <w:spacing w:val="-2"/>
        </w:rPr>
        <w:t>向云计算</w:t>
      </w:r>
      <w:r>
        <w:rPr>
          <w:spacing w:val="-1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SaaS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spacing w:val="-2"/>
        </w:rPr>
        <w:t>服务商转型。浪潮云聚焦行业云赛道，提供云网</w:t>
      </w:r>
      <w:r>
        <w:rPr>
          <w:spacing w:val="-4"/>
        </w:rPr>
        <w:t>边端融合、云数智融合、建管运融合的云服务。浪潮旗下企业专</w:t>
      </w:r>
      <w:r>
        <w:rPr>
          <w:spacing w:val="-10"/>
        </w:rPr>
        <w:t>注于不同赛道，但业务之间又有所耦合，整体提供从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IaaS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spacing w:val="-10"/>
        </w:rPr>
        <w:t>到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SaaS</w:t>
      </w:r>
      <w:r>
        <w:rPr>
          <w:spacing w:val="-6"/>
        </w:rPr>
        <w:t>的全栈产品及服务。</w:t>
      </w:r>
    </w:p>
    <w:p>
      <w:pPr>
        <w:ind w:firstLine="275"/>
        <w:spacing w:before="130" w:line="4248" w:lineRule="exact"/>
        <w:rPr/>
      </w:pPr>
      <w:r>
        <w:rPr>
          <w:position w:val="-84"/>
        </w:rPr>
        <w:drawing>
          <wp:inline distT="0" distB="0" distL="0" distR="0">
            <wp:extent cx="4937759" cy="2697479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7759" cy="269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902"/>
        <w:spacing w:before="286" w:line="217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1"/>
        </w:rPr>
        <w:t>图</w:t>
      </w:r>
      <w:r>
        <w:rPr>
          <w:rFonts w:ascii="KaiTi" w:hAnsi="KaiTi" w:eastAsia="KaiTi" w:cs="KaiTi"/>
          <w:sz w:val="30"/>
          <w:szCs w:val="30"/>
          <w:spacing w:val="-57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1"/>
        </w:rPr>
        <w:t>3</w:t>
      </w:r>
      <w:r>
        <w:rPr>
          <w:rFonts w:ascii="KaiTi" w:hAnsi="KaiTi" w:eastAsia="KaiTi" w:cs="KaiTi"/>
          <w:sz w:val="30"/>
          <w:szCs w:val="30"/>
          <w:spacing w:val="1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11"/>
        </w:rPr>
        <w:t>浪潮业务分布</w:t>
      </w:r>
    </w:p>
    <w:p>
      <w:pPr>
        <w:spacing w:line="409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二、产数市场发展亮点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26" w:firstLine="601"/>
        <w:spacing w:before="98" w:line="259" w:lineRule="auto"/>
        <w:jc w:val="both"/>
        <w:rPr/>
      </w:pPr>
      <w:r>
        <w:rPr>
          <w:spacing w:val="-4"/>
        </w:rPr>
        <w:t>两者虽在战略布局上略有差异，但均基于国资背景</w:t>
      </w:r>
      <w:r>
        <w:rPr>
          <w:spacing w:val="-5"/>
        </w:rPr>
        <w:t>和良好客</w:t>
      </w:r>
      <w:r>
        <w:rPr>
          <w:spacing w:val="-9"/>
        </w:rPr>
        <w:t>情关系、多年行业经验、优秀标杆和成熟解决方案的优势， 以总</w:t>
      </w:r>
      <w:r>
        <w:rPr/>
        <w:t>集模式为客户提供数字化服务。研究发现行业深耕、自主产品、</w:t>
      </w:r>
      <w:r>
        <w:rPr>
          <w:spacing w:val="-3"/>
        </w:rPr>
        <w:t>本地售后是集成商拓展产数市场的关键举措。</w:t>
      </w:r>
    </w:p>
    <w:p>
      <w:pPr>
        <w:pStyle w:val="BodyText"/>
        <w:ind w:left="636"/>
        <w:spacing w:before="272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1</w:t>
      </w:r>
      <w:r>
        <w:rPr>
          <w:b/>
          <w:bCs/>
          <w:spacing w:val="-3"/>
        </w:rPr>
        <w:t>．顶层设计咨询切入，深耕政务行业拓展数字政府市场</w:t>
      </w:r>
    </w:p>
    <w:p>
      <w:pPr>
        <w:pStyle w:val="BodyText"/>
        <w:ind w:left="27" w:right="110" w:firstLine="598"/>
        <w:spacing w:before="319" w:line="262" w:lineRule="auto"/>
        <w:rPr/>
      </w:pPr>
      <w:r>
        <w:rPr>
          <w:spacing w:val="-4"/>
        </w:rPr>
        <w:t>集成商从顶层规划入手，能统揽全局、保证充分</w:t>
      </w:r>
      <w:r>
        <w:rPr>
          <w:spacing w:val="-5"/>
        </w:rPr>
        <w:t>的资源配置</w:t>
      </w:r>
      <w:r>
        <w:rPr>
          <w:spacing w:val="-8"/>
        </w:rPr>
        <w:t>和整合。太极和浪潮深耕政务领域，</w:t>
      </w:r>
      <w:r>
        <w:rPr>
          <w:spacing w:val="-36"/>
        </w:rPr>
        <w:t xml:space="preserve"> </w:t>
      </w:r>
      <w:r>
        <w:rPr>
          <w:spacing w:val="-8"/>
        </w:rPr>
        <w:t>从顶层设计规划牵引解决方</w:t>
      </w:r>
    </w:p>
    <w:p>
      <w:pPr>
        <w:spacing w:line="262" w:lineRule="auto"/>
        <w:sectPr>
          <w:pgSz w:w="11907" w:h="16839"/>
          <w:pgMar w:top="1431" w:right="1691" w:bottom="0" w:left="1785" w:header="0" w:footer="0" w:gutter="0"/>
        </w:sectPr>
        <w:rPr/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27" w:firstLine="1"/>
        <w:spacing w:before="97" w:line="258" w:lineRule="auto"/>
        <w:rPr/>
      </w:pPr>
      <w:r>
        <w:rPr>
          <w:spacing w:val="-4"/>
        </w:rPr>
        <w:t>案落地，为政府机构提供集咨询规划、总体设计、实施建设、迁</w:t>
      </w:r>
      <w:r>
        <w:rPr/>
        <w:t xml:space="preserve"> </w:t>
      </w:r>
      <w:r>
        <w:rPr>
          <w:spacing w:val="-4"/>
        </w:rPr>
        <w:t>移部署和运营管理等一体化服务。如太极完成海南“信息智能岛”</w:t>
      </w:r>
    </w:p>
    <w:p>
      <w:pPr>
        <w:pStyle w:val="BodyText"/>
        <w:ind w:left="27" w:right="42" w:hanging="1"/>
        <w:spacing w:before="4" w:line="259" w:lineRule="auto"/>
        <w:jc w:val="both"/>
        <w:rPr/>
      </w:pPr>
      <w:r>
        <w:rPr>
          <w:spacing w:val="-5"/>
        </w:rPr>
        <w:t>顶层设计，承担海南省电子政务公共服务平台和大数据</w:t>
      </w:r>
      <w:r>
        <w:rPr>
          <w:spacing w:val="-6"/>
        </w:rPr>
        <w:t>平台建设。</w:t>
      </w:r>
      <w:r>
        <w:rPr>
          <w:spacing w:val="-4"/>
        </w:rPr>
        <w:t>两家企业政务行业收入占比逐年提升，并在政务市场打造较强影</w:t>
      </w:r>
      <w:r>
        <w:rPr>
          <w:spacing w:val="-3"/>
          <w:position w:val="-1"/>
        </w:rPr>
        <w:t>响力</w:t>
      </w:r>
      <w:r>
        <w:rPr>
          <w:rFonts w:ascii="Times New Roman" w:hAnsi="Times New Roman" w:eastAsia="Times New Roman" w:cs="Times New Roman"/>
          <w:sz w:val="18"/>
          <w:szCs w:val="18"/>
          <w:spacing w:val="-3"/>
          <w:position w:val="9"/>
        </w:rPr>
        <w:t>1</w:t>
      </w:r>
      <w:r>
        <w:rPr>
          <w:spacing w:val="-3"/>
          <w:position w:val="-1"/>
        </w:rPr>
        <w:t>。</w:t>
      </w:r>
    </w:p>
    <w:p>
      <w:pPr>
        <w:spacing w:line="65" w:lineRule="exact"/>
        <w:rPr/>
      </w:pPr>
      <w:r/>
    </w:p>
    <w:tbl>
      <w:tblPr>
        <w:tblStyle w:val="TableNormal"/>
        <w:tblW w:w="5303" w:type="dxa"/>
        <w:tblInd w:w="1509" w:type="dxa"/>
        <w:tblLayout w:type="fixed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</w:tblPr>
      <w:tblGrid>
        <w:gridCol w:w="425"/>
        <w:gridCol w:w="4878"/>
      </w:tblGrid>
      <w:tr>
        <w:trPr>
          <w:trHeight w:val="2483" w:hRule="atLeast"/>
        </w:trPr>
        <w:tc>
          <w:tcPr>
            <w:tcW w:w="425" w:type="dxa"/>
            <w:vAlign w:val="top"/>
            <w:tcBorders>
              <w:right w:val="nil"/>
            </w:tcBorders>
          </w:tcPr>
          <w:p>
            <w:pPr>
              <w:pStyle w:val="TableText"/>
              <w:ind w:left="73"/>
              <w:spacing w:before="94" w:line="248" w:lineRule="exact"/>
              <w:rPr/>
            </w:pPr>
            <w:r>
              <w:rPr>
                <w:color w:val="595959"/>
                <w:spacing w:val="-3"/>
                <w:position w:val="2"/>
              </w:rPr>
              <w:t>80%</w:t>
            </w:r>
          </w:p>
          <w:p>
            <w:pPr>
              <w:pStyle w:val="TableText"/>
              <w:ind w:left="75"/>
              <w:spacing w:before="255" w:line="249" w:lineRule="exact"/>
              <w:rPr/>
            </w:pPr>
            <w:r>
              <w:rPr>
                <w:color w:val="595959"/>
                <w:spacing w:val="-4"/>
                <w:position w:val="2"/>
              </w:rPr>
              <w:t>60%</w:t>
            </w:r>
          </w:p>
          <w:p>
            <w:pPr>
              <w:pStyle w:val="TableText"/>
              <w:ind w:left="68"/>
              <w:spacing w:before="255" w:line="249" w:lineRule="exact"/>
              <w:rPr/>
            </w:pPr>
            <w:r>
              <w:rPr>
                <w:color w:val="595959"/>
                <w:spacing w:val="-2"/>
                <w:position w:val="2"/>
              </w:rPr>
              <w:t>40%</w:t>
            </w:r>
          </w:p>
          <w:p>
            <w:pPr>
              <w:pStyle w:val="TableText"/>
              <w:ind w:left="74"/>
              <w:spacing w:before="256" w:line="249" w:lineRule="exact"/>
              <w:rPr/>
            </w:pPr>
            <w:r>
              <w:rPr>
                <w:color w:val="595959"/>
                <w:spacing w:val="-3"/>
                <w:position w:val="2"/>
              </w:rPr>
              <w:t>20%</w:t>
            </w:r>
          </w:p>
          <w:p>
            <w:pPr>
              <w:pStyle w:val="TableText"/>
              <w:ind w:left="168"/>
              <w:spacing w:before="255" w:line="249" w:lineRule="exact"/>
              <w:rPr/>
            </w:pPr>
            <w:r>
              <w:rPr>
                <w:color w:val="595959"/>
                <w:spacing w:val="-2"/>
                <w:position w:val="2"/>
              </w:rPr>
              <w:t>0%</w:t>
            </w:r>
          </w:p>
        </w:tc>
        <w:tc>
          <w:tcPr>
            <w:tcW w:w="4878" w:type="dxa"/>
            <w:vAlign w:val="top"/>
            <w:tcBorders>
              <w:left w:val="nil"/>
            </w:tcBorders>
          </w:tcPr>
          <w:p>
            <w:pPr>
              <w:pStyle w:val="TableText"/>
              <w:ind w:left="2243"/>
              <w:spacing w:before="154" w:line="184" w:lineRule="auto"/>
              <w:rPr/>
            </w:pPr>
            <w:r>
              <w:pict>
                <v:shape id="_x0000_s2" style="position:absolute;margin-left:-240.31pt;margin-top:110.02pt;mso-position-vertical-relative:top-margin-area;mso-position-horizontal-relative:right-margin-area;width:230.8pt;height:0.75pt;z-index:251659264;" filled="false" strokecolor="#D9D9D9" strokeweight="0.72pt" coordsize="4616,15" coordorigin="0,0" path="m0,7l4615,7e">
                  <v:stroke miterlimit="10"/>
                </v:shape>
              </w:pict>
            </w:r>
            <w:r>
              <w:rPr>
                <w:color w:val="404040"/>
                <w:spacing w:val="-1"/>
              </w:rPr>
              <w:t>66%        </w:t>
            </w:r>
            <w:r>
              <w:rPr>
                <w:color w:val="404040"/>
                <w:spacing w:val="-1"/>
                <w:position w:val="-2"/>
              </w:rPr>
              <w:t>65%       </w:t>
            </w:r>
            <w:r>
              <w:rPr>
                <w:color w:val="404040"/>
                <w:spacing w:val="-2"/>
                <w:position w:val="-2"/>
              </w:rPr>
              <w:t xml:space="preserve"> </w:t>
            </w:r>
            <w:r>
              <w:rPr>
                <w:color w:val="404040"/>
                <w:spacing w:val="-2"/>
              </w:rPr>
              <w:t>66%        </w:t>
            </w:r>
            <w:r>
              <w:rPr>
                <w:color w:val="404040"/>
                <w:spacing w:val="-2"/>
                <w:position w:val="2"/>
              </w:rPr>
              <w:t>67%</w:t>
            </w:r>
          </w:p>
          <w:p>
            <w:pPr>
              <w:pStyle w:val="TableText"/>
              <w:ind w:left="918" w:right="3016" w:firstLine="665"/>
              <w:spacing w:before="1" w:line="315" w:lineRule="auto"/>
              <w:rPr/>
            </w:pPr>
            <w:r>
              <w:pict>
                <v:shape id="_x0000_s4" style="position:absolute;margin-left:11.968pt;margin-top:20.4499pt;mso-position-vertical-relative:text;mso-position-horizontal-relative:text;width:15.95pt;height:14.5pt;z-index:2516643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49" w:lineRule="exact"/>
                          <w:rPr/>
                        </w:pPr>
                        <w:r>
                          <w:rPr>
                            <w:color w:val="404040"/>
                            <w:spacing w:val="-1"/>
                            <w:position w:val="2"/>
                          </w:rPr>
                          <w:t>41%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658240" behindDoc="1" locked="0" layoutInCell="1" allowOverlap="1">
                  <wp:simplePos x="0" y="0"/>
                  <wp:positionH relativeFrom="column">
                    <wp:posOffset>214883</wp:posOffset>
                  </wp:positionH>
                  <wp:positionV relativeFrom="paragraph">
                    <wp:posOffset>46861</wp:posOffset>
                  </wp:positionV>
                  <wp:extent cx="2584703" cy="646176"/>
                  <wp:effectExtent l="0" t="0" r="0" b="0"/>
                  <wp:wrapNone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84703" cy="646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404040"/>
                <w:spacing w:val="-3"/>
              </w:rPr>
              <w:t>59%</w:t>
            </w:r>
            <w:r>
              <w:rPr>
                <w:color w:val="404040"/>
              </w:rPr>
              <w:t xml:space="preserve"> </w:t>
            </w:r>
            <w:r>
              <w:rPr>
                <w:color w:val="404040"/>
                <w:spacing w:val="-1"/>
              </w:rPr>
              <w:t>44%</w:t>
            </w:r>
          </w:p>
          <w:p>
            <w:pPr>
              <w:pStyle w:val="TableText"/>
              <w:ind w:left="3556" w:right="379" w:firstLine="665"/>
              <w:spacing w:before="1" w:line="239" w:lineRule="auto"/>
              <w:rPr/>
            </w:pPr>
            <w:r>
              <w:pict>
                <v:shape id="_x0000_s6" style="position:absolute;margin-left:143.848pt;margin-top:5.15063pt;mso-position-vertical-relative:text;mso-position-horizontal-relative:text;width:15.95pt;height:14.45pt;z-index:2516695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48" w:lineRule="exact"/>
                          <w:rPr/>
                        </w:pPr>
                        <w:r>
                          <w:rPr>
                            <w:color w:val="404040"/>
                            <w:spacing w:val="-1"/>
                            <w:position w:val="2"/>
                          </w:rPr>
                          <w:t>49%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8" style="position:absolute;margin-left:110.878pt;margin-top:10.1906pt;mso-position-vertical-relative:text;mso-position-horizontal-relative:text;width:15.95pt;height:14.45pt;z-index:2516664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48" w:lineRule="exact"/>
                          <w:rPr/>
                        </w:pPr>
                        <w:r>
                          <w:rPr>
                            <w:color w:val="404040"/>
                            <w:spacing w:val="-1"/>
                            <w:position w:val="2"/>
                          </w:rPr>
                          <w:t>45%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" style="position:absolute;margin-left:77.918pt;margin-top:16.0706pt;mso-position-vertical-relative:text;mso-position-horizontal-relative:text;width:15.95pt;height:14.45pt;z-index:2516684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48" w:lineRule="exact"/>
                          <w:rPr/>
                        </w:pPr>
                        <w:r>
                          <w:rPr>
                            <w:color w:val="404040"/>
                            <w:spacing w:val="-1"/>
                            <w:position w:val="2"/>
                          </w:rPr>
                          <w:t>40%</w:t>
                        </w:r>
                      </w:p>
                    </w:txbxContent>
                  </v:textbox>
                </v:shape>
              </w:pict>
            </w:r>
            <w:r>
              <w:rPr>
                <w:color w:val="404040"/>
                <w:spacing w:val="-3"/>
              </w:rPr>
              <w:t>54%</w:t>
            </w:r>
            <w:r>
              <w:rPr>
                <w:color w:val="404040"/>
              </w:rPr>
              <w:t xml:space="preserve"> </w:t>
            </w:r>
            <w:r>
              <w:rPr>
                <w:color w:val="404040"/>
                <w:spacing w:val="-1"/>
              </w:rPr>
              <w:t>45%</w:t>
            </w:r>
          </w:p>
          <w:p>
            <w:pPr>
              <w:pStyle w:val="TableText"/>
              <w:ind w:left="262"/>
              <w:spacing w:before="27" w:line="179" w:lineRule="auto"/>
              <w:rPr/>
            </w:pPr>
            <w:r>
              <w:rPr>
                <w:color w:val="404040"/>
                <w:spacing w:val="-2"/>
                <w:position w:val="-2"/>
              </w:rPr>
              <w:t>31%</w:t>
            </w:r>
            <w:r>
              <w:rPr>
                <w:color w:val="404040"/>
                <w:spacing w:val="6"/>
                <w:position w:val="-2"/>
              </w:rPr>
              <w:t xml:space="preserve">       </w:t>
            </w:r>
            <w:r>
              <w:rPr>
                <w:color w:val="404040"/>
                <w:spacing w:val="-2"/>
                <w:position w:val="2"/>
              </w:rPr>
              <w:t>33%</w:t>
            </w:r>
          </w:p>
          <w:p>
            <w:pPr>
              <w:pStyle w:val="TableText"/>
              <w:ind w:left="2437"/>
              <w:spacing w:line="213" w:lineRule="auto"/>
              <w:rPr/>
            </w:pPr>
            <w:r>
              <w:rPr>
                <w:color w:val="595959"/>
              </w:rPr>
              <w:drawing>
                <wp:inline distT="0" distB="0" distL="0" distR="0">
                  <wp:extent cx="266700" cy="68947"/>
                  <wp:effectExtent l="0" t="0" r="0" b="0"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6700" cy="6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595959"/>
                <w:spacing w:val="8"/>
              </w:rPr>
              <w:t>太极</w:t>
            </w:r>
            <w:r>
              <w:rPr>
                <w:color w:val="595959"/>
                <w:spacing w:val="29"/>
              </w:rPr>
              <w:t xml:space="preserve"> </w:t>
            </w:r>
            <w:r>
              <w:rPr/>
              <w:drawing>
                <wp:inline distT="0" distB="0" distL="0" distR="0">
                  <wp:extent cx="266700" cy="68947"/>
                  <wp:effectExtent l="0" t="0" r="0" b="0"/>
                  <wp:docPr id="12" name="IM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IM 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6700" cy="6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595959"/>
                <w:spacing w:val="8"/>
              </w:rPr>
              <w:t>浪潮软件</w:t>
            </w:r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54"/>
              <w:spacing w:before="61" w:line="165" w:lineRule="auto"/>
              <w:rPr/>
            </w:pPr>
            <w:r>
              <w:pict>
                <v:shape id="_x0000_s12" style="position:absolute;margin-left:9.836pt;margin-top:2.09214pt;mso-position-vertical-relative:text;mso-position-horizontal-relative:text;width:20.55pt;height:14.45pt;z-index:2516674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48" w:lineRule="exact"/>
                          <w:rPr/>
                        </w:pPr>
                        <w:r>
                          <w:rPr>
                            <w:color w:val="595959"/>
                            <w:spacing w:val="-3"/>
                            <w:position w:val="2"/>
                          </w:rPr>
                          <w:t>2015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4" style="position:absolute;margin-left:42.806pt;margin-top:2.09214pt;mso-position-vertical-relative:text;mso-position-horizontal-relative:text;width:20.55pt;height:14.45pt;z-index:2516654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48" w:lineRule="exact"/>
                          <w:rPr/>
                        </w:pPr>
                        <w:r>
                          <w:rPr>
                            <w:color w:val="595959"/>
                            <w:spacing w:val="-3"/>
                            <w:position w:val="2"/>
                          </w:rPr>
                          <w:t>2016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6" style="position:absolute;margin-left:108.736pt;margin-top:2.09214pt;mso-position-vertical-relative:text;mso-position-horizontal-relative:text;width:20.55pt;height:14.45pt;z-index:2516705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48" w:lineRule="exact"/>
                          <w:rPr/>
                        </w:pPr>
                        <w:r>
                          <w:rPr>
                            <w:color w:val="595959"/>
                            <w:spacing w:val="-3"/>
                            <w:position w:val="2"/>
                          </w:rPr>
                          <w:t>2018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8" style="position:absolute;margin-left:75.766pt;margin-top:2.09214pt;mso-position-vertical-relative:text;mso-position-horizontal-relative:text;width:20.6pt;height:14.45pt;z-index:2516613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48" w:lineRule="exact"/>
                          <w:rPr/>
                        </w:pPr>
                        <w:r>
                          <w:rPr>
                            <w:color w:val="595959"/>
                            <w:spacing w:val="-2"/>
                            <w:position w:val="2"/>
                          </w:rPr>
                          <w:t>2017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0" style="position:absolute;margin-left:174.666pt;margin-top:2.09214pt;mso-position-vertical-relative:text;mso-position-horizontal-relative:text;width:20.55pt;height:14.45pt;z-index:2516633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48" w:lineRule="exact"/>
                          <w:rPr/>
                        </w:pPr>
                        <w:r>
                          <w:rPr>
                            <w:color w:val="595959"/>
                            <w:spacing w:val="-3"/>
                            <w:position w:val="2"/>
                          </w:rPr>
                          <w:t>2020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2" style="position:absolute;margin-left:207.646pt;margin-top:2.09214pt;mso-position-vertical-relative:text;mso-position-horizontal-relative:text;width:20.55pt;height:14.45pt;z-index:2516623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48" w:lineRule="exact"/>
                          <w:rPr/>
                        </w:pPr>
                        <w:r>
                          <w:rPr>
                            <w:color w:val="595959"/>
                            <w:spacing w:val="-3"/>
                            <w:position w:val="2"/>
                          </w:rPr>
                          <w:t>2021</w:t>
                        </w:r>
                      </w:p>
                    </w:txbxContent>
                  </v:textbox>
                </v:shape>
              </w:pict>
            </w:r>
            <w:r>
              <w:rPr>
                <w:color w:val="595959"/>
                <w:spacing w:val="-3"/>
              </w:rPr>
              <w:t>2019</w:t>
            </w:r>
          </w:p>
        </w:tc>
      </w:tr>
    </w:tbl>
    <w:p>
      <w:pPr>
        <w:ind w:left="614"/>
        <w:spacing w:before="216" w:line="217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1"/>
        </w:rPr>
        <w:t>图</w:t>
      </w:r>
      <w:r>
        <w:rPr>
          <w:rFonts w:ascii="KaiTi" w:hAnsi="KaiTi" w:eastAsia="KaiTi" w:cs="KaiTi"/>
          <w:sz w:val="30"/>
          <w:szCs w:val="30"/>
          <w:spacing w:val="-70"/>
        </w:rPr>
        <w:t xml:space="preserve"> </w:t>
      </w:r>
      <w:r>
        <w:rPr>
          <w:rFonts w:ascii="KaiTi" w:hAnsi="KaiTi" w:eastAsia="KaiTi" w:cs="KaiTi"/>
          <w:sz w:val="30"/>
          <w:szCs w:val="30"/>
          <w:spacing w:val="1"/>
        </w:rPr>
        <w:t>4</w:t>
      </w:r>
      <w:r>
        <w:rPr>
          <w:rFonts w:ascii="KaiTi" w:hAnsi="KaiTi" w:eastAsia="KaiTi" w:cs="KaiTi"/>
          <w:sz w:val="30"/>
          <w:szCs w:val="30"/>
          <w:spacing w:val="1"/>
        </w:rPr>
        <w:t xml:space="preserve">  </w:t>
      </w:r>
      <w:r>
        <w:rPr>
          <w:rFonts w:ascii="KaiTi" w:hAnsi="KaiTi" w:eastAsia="KaiTi" w:cs="KaiTi"/>
          <w:sz w:val="30"/>
          <w:szCs w:val="30"/>
          <w:spacing w:val="1"/>
        </w:rPr>
        <w:t>2015～2021年太极和浪潮软件</w:t>
      </w:r>
      <w:r>
        <w:rPr>
          <w:rFonts w:ascii="KaiTi" w:hAnsi="KaiTi" w:eastAsia="KaiTi" w:cs="KaiTi"/>
          <w:sz w:val="30"/>
          <w:szCs w:val="30"/>
        </w:rPr>
        <w:t>政务行业收入占比</w:t>
      </w:r>
    </w:p>
    <w:p>
      <w:pPr>
        <w:ind w:left="1135"/>
        <w:spacing w:before="326" w:line="209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表</w:t>
      </w:r>
      <w:r>
        <w:rPr>
          <w:rFonts w:ascii="KaiTi" w:hAnsi="KaiTi" w:eastAsia="KaiTi" w:cs="KaiTi"/>
          <w:sz w:val="30"/>
          <w:szCs w:val="30"/>
          <w:spacing w:val="-31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1</w:t>
      </w:r>
      <w:r>
        <w:rPr>
          <w:rFonts w:ascii="KaiTi" w:hAnsi="KaiTi" w:eastAsia="KaiTi" w:cs="KaiTi"/>
          <w:sz w:val="30"/>
          <w:szCs w:val="30"/>
          <w:spacing w:val="-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3"/>
        </w:rPr>
        <w:t>太极和浪潮</w:t>
      </w:r>
      <w:r>
        <w:rPr>
          <w:rFonts w:ascii="KaiTi" w:hAnsi="KaiTi" w:eastAsia="KaiTi" w:cs="KaiTi"/>
          <w:sz w:val="30"/>
          <w:szCs w:val="30"/>
          <w:spacing w:val="-67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2022</w:t>
      </w:r>
      <w:r>
        <w:rPr>
          <w:rFonts w:ascii="KaiTi" w:hAnsi="KaiTi" w:eastAsia="KaiTi" w:cs="KaiTi"/>
          <w:sz w:val="30"/>
          <w:szCs w:val="30"/>
          <w:spacing w:val="-63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年千万级项目业务分布</w:t>
      </w:r>
    </w:p>
    <w:tbl>
      <w:tblPr>
        <w:tblStyle w:val="TableNormal"/>
        <w:tblW w:w="7258" w:type="dxa"/>
        <w:tblInd w:w="540" w:type="dxa"/>
        <w:tblLayout w:type="fixed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</w:tblPr>
      <w:tblGrid>
        <w:gridCol w:w="1164"/>
        <w:gridCol w:w="2785"/>
        <w:gridCol w:w="3309"/>
      </w:tblGrid>
      <w:tr>
        <w:trPr>
          <w:trHeight w:val="470" w:hRule="atLeast"/>
        </w:trPr>
        <w:tc>
          <w:tcPr>
            <w:tcW w:w="1164" w:type="dxa"/>
            <w:vAlign w:val="top"/>
            <w:tcBorders>
              <w:bottom w:val="single" w:color="4F81BD" w:sz="6" w:space="0"/>
              <w:top w:val="single" w:color="4F81BD" w:sz="6" w:space="0"/>
            </w:tcBorders>
          </w:tcPr>
          <w:p>
            <w:pPr>
              <w:spacing w:before="4" w:line="72" w:lineRule="exact"/>
              <w:rPr/>
            </w:pPr>
            <w:r>
              <w:rPr>
                <w:position w:val="-1"/>
              </w:rPr>
              <w:pict>
                <v:shape id="_x0000_s24" style="mso-position-vertical-relative:line;mso-position-horizontal-relative:char;width:58.6pt;height:3.65pt;" fillcolor="#FFFFFF" filled="true" stroked="false" coordsize="1171,73" coordorigin="0,0" path="m0,72l1171,72l1171,0l0,0l0,72xe"/>
              </w:pict>
            </w:r>
          </w:p>
          <w:p>
            <w:pPr>
              <w:ind w:left="167"/>
              <w:spacing w:before="54" w:line="229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b/>
                <w:bCs/>
                <w:spacing w:val="6"/>
              </w:rPr>
              <w:t>涉及行业</w:t>
            </w:r>
          </w:p>
          <w:p>
            <w:pPr>
              <w:spacing w:before="24" w:line="69" w:lineRule="exact"/>
              <w:rPr/>
            </w:pPr>
            <w:r>
              <w:rPr>
                <w:position w:val="-1"/>
              </w:rPr>
              <w:pict>
                <v:shape id="_x0000_s26" style="mso-position-vertical-relative:line;mso-position-horizontal-relative:char;width:58.6pt;height:3.65pt;" fillcolor="#FFFFFF" filled="true" stroked="false" coordsize="1171,73" coordorigin="0,0" path="m0,72l1171,72l1171,0l0,0l0,72xe"/>
              </w:pict>
            </w:r>
          </w:p>
        </w:tc>
        <w:tc>
          <w:tcPr>
            <w:tcW w:w="2785" w:type="dxa"/>
            <w:vAlign w:val="top"/>
            <w:tcBorders>
              <w:bottom w:val="single" w:color="4F81BD" w:sz="6" w:space="0"/>
              <w:top w:val="single" w:color="4F81BD" w:sz="6" w:space="0"/>
            </w:tcBorders>
          </w:tcPr>
          <w:p>
            <w:pPr>
              <w:spacing w:before="4" w:line="72" w:lineRule="exact"/>
              <w:rPr/>
            </w:pPr>
            <w:r>
              <w:rPr>
                <w:position w:val="-1"/>
              </w:rPr>
              <w:pict>
                <v:shape id="_x0000_s28" style="mso-position-vertical-relative:line;mso-position-horizontal-relative:char;width:139.25pt;height:3.65pt;" fillcolor="#FFFFFF" filled="true" stroked="false" coordsize="2785,73" coordorigin="0,0" path="m0,72l2784,72l2784,0l0,0l0,72xe"/>
              </w:pict>
            </w:r>
          </w:p>
          <w:p>
            <w:pPr>
              <w:ind w:left="982"/>
              <w:spacing w:before="54" w:line="228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b/>
                <w:bCs/>
                <w:spacing w:val="7"/>
              </w:rPr>
              <w:t>太极股份</w:t>
            </w:r>
          </w:p>
          <w:p>
            <w:pPr>
              <w:spacing w:before="24" w:line="70" w:lineRule="exact"/>
              <w:rPr/>
            </w:pPr>
            <w:r>
              <w:rPr>
                <w:position w:val="-1"/>
              </w:rPr>
              <w:pict>
                <v:shape id="_x0000_s30" style="mso-position-vertical-relative:line;mso-position-horizontal-relative:char;width:139.25pt;height:3.65pt;" fillcolor="#FFFFFF" filled="true" stroked="false" coordsize="2785,73" coordorigin="0,0" path="m0,72l2784,72l2784,0l0,0l0,72xe"/>
              </w:pict>
            </w:r>
          </w:p>
        </w:tc>
        <w:tc>
          <w:tcPr>
            <w:tcW w:w="3309" w:type="dxa"/>
            <w:vAlign w:val="top"/>
            <w:tcBorders>
              <w:bottom w:val="single" w:color="4F81BD" w:sz="6" w:space="0"/>
              <w:top w:val="single" w:color="4F81BD" w:sz="6" w:space="0"/>
            </w:tcBorders>
          </w:tcPr>
          <w:p>
            <w:pPr>
              <w:spacing w:before="4" w:line="72" w:lineRule="exact"/>
              <w:rPr/>
            </w:pPr>
            <w:r>
              <w:rPr>
                <w:position w:val="-1"/>
              </w:rPr>
              <w:pict>
                <v:shape id="_x0000_s32" style="mso-position-vertical-relative:line;mso-position-horizontal-relative:char;width:165.65pt;height:3.65pt;" fillcolor="#FFFFFF" filled="true" stroked="false" coordsize="3312,73" coordorigin="0,0" path="m0,72l3312,72l3312,0l0,0l0,72xe"/>
              </w:pict>
            </w:r>
          </w:p>
          <w:p>
            <w:pPr>
              <w:ind w:left="1251"/>
              <w:spacing w:before="54" w:line="228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b/>
                <w:bCs/>
                <w:spacing w:val="6"/>
              </w:rPr>
              <w:t>浪潮集团</w:t>
            </w:r>
          </w:p>
          <w:p>
            <w:pPr>
              <w:spacing w:before="24" w:line="70" w:lineRule="exact"/>
              <w:rPr/>
            </w:pPr>
            <w:r>
              <w:rPr>
                <w:position w:val="-1"/>
              </w:rPr>
              <w:pict>
                <v:shape id="_x0000_s34" style="mso-position-vertical-relative:line;mso-position-horizontal-relative:char;width:165.65pt;height:3.65pt;" fillcolor="#FFFFFF" filled="true" stroked="false" coordsize="3312,73" coordorigin="0,0" path="m0,72l3312,72l3312,0l0,0l0,72xe"/>
              </w:pict>
            </w:r>
          </w:p>
        </w:tc>
      </w:tr>
      <w:tr>
        <w:trPr>
          <w:trHeight w:val="607" w:hRule="atLeast"/>
        </w:trPr>
        <w:tc>
          <w:tcPr>
            <w:shd w:val="clear" w:fill="DBE5F1"/>
            <w:tcW w:w="1164" w:type="dxa"/>
            <w:vAlign w:val="top"/>
            <w:tcBorders>
              <w:bottom w:val="single" w:color="4F81BD" w:sz="6" w:space="0"/>
              <w:top w:val="single" w:color="4F81BD" w:sz="6" w:space="0"/>
            </w:tcBorders>
          </w:tcPr>
          <w:p>
            <w:pPr>
              <w:ind w:left="366"/>
              <w:spacing w:before="208" w:line="228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5"/>
              </w:rPr>
              <w:t>政务</w:t>
            </w:r>
          </w:p>
        </w:tc>
        <w:tc>
          <w:tcPr>
            <w:shd w:val="clear" w:fill="DBE5F1"/>
            <w:tcW w:w="2785" w:type="dxa"/>
            <w:vAlign w:val="top"/>
            <w:tcBorders>
              <w:bottom w:val="single" w:color="4F81BD" w:sz="6" w:space="0"/>
              <w:top w:val="single" w:color="4F81BD" w:sz="6" w:space="0"/>
            </w:tcBorders>
          </w:tcPr>
          <w:p>
            <w:pPr>
              <w:spacing w:before="15" w:line="72" w:lineRule="exact"/>
              <w:rPr/>
            </w:pPr>
            <w:r>
              <w:rPr>
                <w:position w:val="-1"/>
              </w:rPr>
              <w:pict>
                <v:shape id="_x0000_s36" style="mso-position-vertical-relative:line;mso-position-horizontal-relative:char;width:139.25pt;height:3.65pt;" fillcolor="#DBE5F1" filled="true" stroked="false" coordsize="2785,73" coordorigin="0,0" path="m0,72l2784,72l2784,0l0,0l0,72xe"/>
              </w:pict>
            </w:r>
          </w:p>
          <w:p>
            <w:pPr>
              <w:ind w:left="146" w:right="257" w:firstLine="11"/>
              <w:spacing w:before="3" w:line="214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6"/>
              </w:rPr>
              <w:t>综合运营管理信息化平台、</w:t>
            </w:r>
            <w:r>
              <w:rPr>
                <w:rFonts w:ascii="SimSun" w:hAnsi="SimSun" w:eastAsia="SimSun" w:cs="SimSun"/>
                <w:sz w:val="19"/>
                <w:szCs w:val="19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spacing w:val="6"/>
              </w:rPr>
              <w:t>“互联网</w:t>
            </w:r>
            <w:r>
              <w:rPr>
                <w:rFonts w:ascii="Calibri" w:hAnsi="Calibri" w:eastAsia="Calibri" w:cs="Calibri"/>
                <w:sz w:val="19"/>
                <w:szCs w:val="19"/>
                <w:spacing w:val="6"/>
              </w:rPr>
              <w:t>+</w:t>
            </w:r>
            <w:r>
              <w:rPr>
                <w:rFonts w:ascii="SimSun" w:hAnsi="SimSun" w:eastAsia="SimSun" w:cs="SimSun"/>
                <w:sz w:val="19"/>
                <w:szCs w:val="19"/>
                <w:spacing w:val="6"/>
              </w:rPr>
              <w:t>监管</w:t>
            </w:r>
            <w:r>
              <w:rPr>
                <w:rFonts w:ascii="SimSun" w:hAnsi="SimSun" w:eastAsia="SimSun" w:cs="SimSun"/>
                <w:sz w:val="19"/>
                <w:szCs w:val="19"/>
                <w:spacing w:val="-61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spacing w:val="6"/>
              </w:rPr>
              <w:t>”服务</w:t>
            </w:r>
          </w:p>
          <w:p>
            <w:pPr>
              <w:spacing w:line="64" w:lineRule="exact"/>
              <w:rPr/>
            </w:pPr>
            <w:r>
              <w:rPr>
                <w:position w:val="-1"/>
              </w:rPr>
              <w:pict>
                <v:shape id="_x0000_s38" style="mso-position-vertical-relative:line;mso-position-horizontal-relative:char;width:139.25pt;height:3.65pt;" fillcolor="#DBE5F1" filled="true" stroked="false" coordsize="2785,73" coordorigin="0,0" path="m0,72l2784,72l2784,0l0,0l0,72xe"/>
              </w:pict>
            </w:r>
          </w:p>
        </w:tc>
        <w:tc>
          <w:tcPr>
            <w:shd w:val="clear" w:fill="DBE5F1"/>
            <w:tcW w:w="3309" w:type="dxa"/>
            <w:vAlign w:val="top"/>
            <w:tcBorders>
              <w:bottom w:val="single" w:color="4F81BD" w:sz="6" w:space="0"/>
              <w:top w:val="single" w:color="4F81BD" w:sz="6" w:space="0"/>
            </w:tcBorders>
          </w:tcPr>
          <w:p>
            <w:pPr>
              <w:ind w:left="155" w:right="346"/>
              <w:spacing w:before="91" w:line="222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9"/>
              </w:rPr>
              <w:t>政务服务中心信息化平台、智慧</w:t>
            </w:r>
            <w:r>
              <w:rPr>
                <w:rFonts w:ascii="SimSun" w:hAnsi="SimSun" w:eastAsia="SimSun" w:cs="SimSun"/>
                <w:sz w:val="19"/>
                <w:szCs w:val="19"/>
                <w:spacing w:val="9"/>
              </w:rPr>
              <w:t>政务服务平台、政务云服务平台</w:t>
            </w:r>
          </w:p>
        </w:tc>
      </w:tr>
      <w:tr>
        <w:trPr>
          <w:trHeight w:val="824" w:hRule="atLeast"/>
        </w:trPr>
        <w:tc>
          <w:tcPr>
            <w:shd w:val="clear" w:fill="DBE5F1"/>
            <w:tcW w:w="1164" w:type="dxa"/>
            <w:vAlign w:val="top"/>
            <w:tcBorders>
              <w:top w:val="single" w:color="000000" w:sz="6" w:space="0"/>
            </w:tcBorders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ind w:left="171"/>
              <w:spacing w:before="62" w:line="230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6"/>
              </w:rPr>
              <w:t>交通物流</w:t>
            </w:r>
          </w:p>
        </w:tc>
        <w:tc>
          <w:tcPr>
            <w:shd w:val="clear" w:fill="DBE5F1"/>
            <w:tcW w:w="2785" w:type="dxa"/>
            <w:vAlign w:val="top"/>
            <w:tcBorders>
              <w:top w:val="single" w:color="000000" w:sz="6" w:space="0"/>
            </w:tcBorders>
          </w:tcPr>
          <w:p>
            <w:pPr>
              <w:ind w:left="159"/>
              <w:spacing w:before="94" w:line="215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8"/>
              </w:rPr>
              <w:t>天津智能交通运行监测中</w:t>
            </w:r>
          </w:p>
          <w:p>
            <w:pPr>
              <w:ind w:left="165" w:right="224" w:hanging="3"/>
              <w:spacing w:line="220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8"/>
              </w:rPr>
              <w:t>心、陕西省高速公路联网收</w:t>
            </w:r>
            <w:r>
              <w:rPr>
                <w:rFonts w:ascii="SimSun" w:hAnsi="SimSun" w:eastAsia="SimSun" w:cs="SimSun"/>
                <w:sz w:val="19"/>
                <w:szCs w:val="19"/>
                <w:spacing w:val="5"/>
              </w:rPr>
              <w:t>费数据治理</w:t>
            </w:r>
          </w:p>
        </w:tc>
        <w:tc>
          <w:tcPr>
            <w:shd w:val="clear" w:fill="DBE5F1"/>
            <w:tcW w:w="3309" w:type="dxa"/>
            <w:vAlign w:val="top"/>
            <w:tcBorders>
              <w:top w:val="single" w:color="000000" w:sz="6" w:space="0"/>
            </w:tcBorders>
          </w:tcPr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ind w:left="154"/>
              <w:spacing w:before="61" w:line="130" w:lineRule="exact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6"/>
                <w:position w:val="-3"/>
              </w:rPr>
              <w:t>——</w:t>
            </w:r>
          </w:p>
        </w:tc>
      </w:tr>
      <w:tr>
        <w:trPr>
          <w:trHeight w:val="827" w:hRule="atLeast"/>
        </w:trPr>
        <w:tc>
          <w:tcPr>
            <w:tcW w:w="1164" w:type="dxa"/>
            <w:vAlign w:val="top"/>
          </w:tcPr>
          <w:p>
            <w:pPr>
              <w:spacing w:before="21" w:line="72" w:lineRule="exact"/>
              <w:rPr/>
            </w:pPr>
            <w:r>
              <w:rPr>
                <w:position w:val="-1"/>
              </w:rPr>
              <w:pict>
                <v:shape id="_x0000_s40" style="mso-position-vertical-relative:line;mso-position-horizontal-relative:char;width:58.6pt;height:3.65pt;" fillcolor="#FFFFFF" filled="true" stroked="false" coordsize="1171,73" coordorigin="0,0" path="m0,72l1171,72l1171,0l0,0l0,72xe"/>
              </w:pict>
            </w:r>
          </w:p>
          <w:p>
            <w:pPr>
              <w:ind w:left="167"/>
              <w:spacing w:before="229" w:line="230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7"/>
              </w:rPr>
              <w:t>政法公安</w:t>
            </w:r>
          </w:p>
          <w:p>
            <w:pPr>
              <w:spacing w:before="196" w:line="60" w:lineRule="exact"/>
              <w:rPr/>
            </w:pPr>
            <w:r>
              <w:rPr>
                <w:position w:val="-2"/>
              </w:rPr>
              <w:pict>
                <v:shape id="_x0000_s42" style="mso-position-vertical-relative:line;mso-position-horizontal-relative:char;width:58.6pt;height:3.65pt;" fillcolor="#FFFFFF" filled="true" stroked="false" coordsize="1171,73" coordorigin="0,0" path="m0,72l1171,72l1171,0l0,0l0,72xe"/>
              </w:pict>
            </w:r>
          </w:p>
        </w:tc>
        <w:tc>
          <w:tcPr>
            <w:tcW w:w="2785" w:type="dxa"/>
            <w:vAlign w:val="top"/>
          </w:tcPr>
          <w:p>
            <w:pPr>
              <w:spacing w:before="21" w:line="72" w:lineRule="exact"/>
              <w:rPr/>
            </w:pPr>
            <w:r>
              <w:rPr>
                <w:position w:val="-1"/>
              </w:rPr>
              <w:pict>
                <v:shape id="_x0000_s44" style="mso-position-vertical-relative:line;mso-position-horizontal-relative:char;width:139.25pt;height:3.65pt;" fillcolor="#FFFFFF" filled="true" stroked="false" coordsize="2785,73" coordorigin="0,0" path="m0,72l2784,72l2784,0l0,0l0,72xe"/>
              </w:pict>
            </w:r>
          </w:p>
          <w:p>
            <w:pPr>
              <w:ind w:left="155" w:right="223"/>
              <w:spacing w:before="7" w:line="212" w:lineRule="auto"/>
              <w:jc w:val="both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9"/>
              </w:rPr>
              <w:t>海关查验场信息化工程、社</w:t>
            </w:r>
            <w:r>
              <w:rPr>
                <w:rFonts w:ascii="SimSun" w:hAnsi="SimSun" w:eastAsia="SimSun" w:cs="SimSun"/>
                <w:sz w:val="19"/>
                <w:szCs w:val="19"/>
                <w:spacing w:val="9"/>
              </w:rPr>
              <w:t>会管理信息化平台、公共安</w:t>
            </w:r>
            <w:r>
              <w:rPr>
                <w:rFonts w:ascii="SimSun" w:hAnsi="SimSun" w:eastAsia="SimSun" w:cs="SimSun"/>
                <w:sz w:val="19"/>
                <w:szCs w:val="19"/>
                <w:spacing w:val="8"/>
              </w:rPr>
              <w:t>全信息化项目</w:t>
            </w:r>
          </w:p>
          <w:p>
            <w:pPr>
              <w:spacing w:line="60" w:lineRule="exact"/>
              <w:rPr/>
            </w:pPr>
            <w:r>
              <w:rPr>
                <w:position w:val="-2"/>
              </w:rPr>
              <w:pict>
                <v:shape id="_x0000_s46" style="mso-position-vertical-relative:line;mso-position-horizontal-relative:char;width:139.25pt;height:3.65pt;" fillcolor="#FFFFFF" filled="true" stroked="false" coordsize="2785,73" coordorigin="0,0" path="m0,72l2784,72l2784,0l0,0l0,72xe"/>
              </w:pict>
            </w:r>
          </w:p>
        </w:tc>
        <w:tc>
          <w:tcPr>
            <w:tcW w:w="3309" w:type="dxa"/>
            <w:vAlign w:val="top"/>
          </w:tcPr>
          <w:p>
            <w:pPr>
              <w:spacing w:before="21" w:line="72" w:lineRule="exact"/>
              <w:rPr/>
            </w:pPr>
            <w:r>
              <w:rPr>
                <w:position w:val="-1"/>
              </w:rPr>
              <w:pict>
                <v:shape id="_x0000_s48" style="mso-position-vertical-relative:line;mso-position-horizontal-relative:char;width:165.65pt;height:3.65pt;" fillcolor="#FFFFFF" filled="true" stroked="false" coordsize="3312,73" coordorigin="0,0" path="m0,72l3312,72l3312,0l0,0l0,72xe"/>
              </w:pict>
            </w:r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ind w:left="154"/>
              <w:spacing w:before="62" w:line="129" w:lineRule="exact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6"/>
                <w:position w:val="-3"/>
              </w:rPr>
              <w:t>——</w:t>
            </w:r>
          </w:p>
          <w:p>
            <w:pPr>
              <w:spacing w:before="214" w:line="61" w:lineRule="exact"/>
              <w:rPr/>
            </w:pPr>
            <w:r>
              <w:rPr>
                <w:position w:val="-2"/>
              </w:rPr>
              <w:pict>
                <v:shape id="_x0000_s50" style="mso-position-vertical-relative:line;mso-position-horizontal-relative:char;width:165.65pt;height:3.65pt;" fillcolor="#FFFFFF" filled="true" stroked="false" coordsize="3312,73" coordorigin="0,0" path="m0,72l3312,72l3312,0l0,0l0,72xe"/>
              </w:pict>
            </w:r>
          </w:p>
        </w:tc>
      </w:tr>
      <w:tr>
        <w:trPr>
          <w:trHeight w:val="827" w:hRule="atLeast"/>
        </w:trPr>
        <w:tc>
          <w:tcPr>
            <w:shd w:val="clear" w:fill="DBE5F1"/>
            <w:tcW w:w="1164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ind w:left="167"/>
              <w:spacing w:before="62" w:line="228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7"/>
              </w:rPr>
              <w:t>应急管理</w:t>
            </w:r>
          </w:p>
        </w:tc>
        <w:tc>
          <w:tcPr>
            <w:shd w:val="clear" w:fill="DBE5F1"/>
            <w:tcW w:w="2785" w:type="dxa"/>
            <w:vAlign w:val="top"/>
          </w:tcPr>
          <w:p>
            <w:pPr>
              <w:ind w:left="159" w:right="223"/>
              <w:spacing w:before="210" w:line="222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4"/>
              </w:rPr>
              <w:t>智慧应急管理平台、</w:t>
            </w:r>
            <w:r>
              <w:rPr>
                <w:rFonts w:ascii="SimSun" w:hAnsi="SimSun" w:eastAsia="SimSun" w:cs="SimSun"/>
                <w:sz w:val="19"/>
                <w:szCs w:val="19"/>
                <w:spacing w:val="-39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spacing w:val="4"/>
              </w:rPr>
              <w:t>自然灾</w:t>
            </w:r>
            <w:r>
              <w:rPr>
                <w:rFonts w:ascii="SimSun" w:hAnsi="SimSun" w:eastAsia="SimSun" w:cs="SimSun"/>
                <w:sz w:val="19"/>
                <w:szCs w:val="19"/>
                <w:spacing w:val="7"/>
              </w:rPr>
              <w:t>害监测预警系统</w:t>
            </w:r>
          </w:p>
        </w:tc>
        <w:tc>
          <w:tcPr>
            <w:shd w:val="clear" w:fill="DBE5F1"/>
            <w:tcW w:w="3309" w:type="dxa"/>
            <w:vAlign w:val="top"/>
          </w:tcPr>
          <w:p>
            <w:pPr>
              <w:ind w:left="155" w:right="348" w:firstLine="5"/>
              <w:spacing w:before="101" w:line="219" w:lineRule="auto"/>
              <w:jc w:val="both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8"/>
              </w:rPr>
              <w:t>智慧化水务平台、应急指挥中心</w:t>
            </w:r>
            <w:r>
              <w:rPr>
                <w:rFonts w:ascii="SimSun" w:hAnsi="SimSun" w:eastAsia="SimSun" w:cs="SimSun"/>
                <w:sz w:val="19"/>
                <w:szCs w:val="19"/>
                <w:spacing w:val="9"/>
              </w:rPr>
              <w:t>平台、森林草原火灾监测预警大</w:t>
            </w:r>
            <w:r>
              <w:rPr>
                <w:rFonts w:ascii="SimSun" w:hAnsi="SimSun" w:eastAsia="SimSun" w:cs="SimSun"/>
                <w:sz w:val="19"/>
                <w:szCs w:val="19"/>
                <w:spacing w:val="8"/>
              </w:rPr>
              <w:t>数据平台等</w:t>
            </w:r>
          </w:p>
        </w:tc>
      </w:tr>
      <w:tr>
        <w:trPr>
          <w:trHeight w:val="488" w:hRule="atLeast"/>
        </w:trPr>
        <w:tc>
          <w:tcPr>
            <w:tcW w:w="1164" w:type="dxa"/>
            <w:vAlign w:val="top"/>
            <w:tcBorders>
              <w:bottom w:val="single" w:color="4F81BD" w:sz="6" w:space="0"/>
            </w:tcBorders>
          </w:tcPr>
          <w:p>
            <w:pPr>
              <w:spacing w:before="27" w:line="72" w:lineRule="exact"/>
              <w:rPr/>
            </w:pPr>
            <w:r>
              <w:rPr>
                <w:position w:val="-1"/>
              </w:rPr>
              <w:pict>
                <v:shape id="_x0000_s52" style="mso-position-vertical-relative:line;mso-position-horizontal-relative:char;width:58.6pt;height:3.65pt;" fillcolor="#FFFFFF" filled="true" stroked="false" coordsize="1171,73" coordorigin="0,0" path="m0,72l1171,72l1171,0l0,0l0,72xe"/>
              </w:pict>
            </w:r>
          </w:p>
          <w:p>
            <w:pPr>
              <w:ind w:left="170"/>
              <w:spacing w:before="55" w:line="228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6"/>
              </w:rPr>
              <w:t>教育监管</w:t>
            </w:r>
          </w:p>
          <w:p>
            <w:pPr>
              <w:spacing w:before="22" w:line="66" w:lineRule="exact"/>
              <w:rPr/>
            </w:pPr>
            <w:r>
              <w:rPr>
                <w:position w:val="-1"/>
              </w:rPr>
              <w:pict>
                <v:shape id="_x0000_s54" style="mso-position-vertical-relative:line;mso-position-horizontal-relative:char;width:58.6pt;height:3.65pt;" fillcolor="#FFFFFF" filled="true" stroked="false" coordsize="1171,73" coordorigin="0,0" path="m0,72l1171,72l1171,0l0,0l0,72xe"/>
              </w:pict>
            </w:r>
          </w:p>
        </w:tc>
        <w:tc>
          <w:tcPr>
            <w:tcW w:w="2785" w:type="dxa"/>
            <w:vAlign w:val="top"/>
            <w:tcBorders>
              <w:bottom w:val="single" w:color="4F81BD" w:sz="6" w:space="0"/>
            </w:tcBorders>
          </w:tcPr>
          <w:p>
            <w:pPr>
              <w:spacing w:before="27" w:line="72" w:lineRule="exact"/>
              <w:rPr/>
            </w:pPr>
            <w:r>
              <w:rPr>
                <w:position w:val="-1"/>
              </w:rPr>
              <w:pict>
                <v:shape id="_x0000_s56" style="mso-position-vertical-relative:line;mso-position-horizontal-relative:char;width:139.25pt;height:3.65pt;" fillcolor="#FFFFFF" filled="true" stroked="false" coordsize="2785,73" coordorigin="0,0" path="m0,72l2784,72l2784,0l0,0l0,72xe"/>
              </w:pict>
            </w:r>
          </w:p>
          <w:p>
            <w:pPr>
              <w:ind w:left="154"/>
              <w:spacing w:before="144" w:line="129" w:lineRule="exact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6"/>
                <w:position w:val="-3"/>
              </w:rPr>
              <w:t>——</w:t>
            </w:r>
          </w:p>
          <w:p>
            <w:pPr>
              <w:spacing w:before="39" w:line="66" w:lineRule="exact"/>
              <w:rPr/>
            </w:pPr>
            <w:r>
              <w:rPr>
                <w:position w:val="-1"/>
              </w:rPr>
              <w:pict>
                <v:shape id="_x0000_s58" style="mso-position-vertical-relative:line;mso-position-horizontal-relative:char;width:139.25pt;height:3.65pt;" fillcolor="#FFFFFF" filled="true" stroked="false" coordsize="2785,73" coordorigin="0,0" path="m0,72l2784,72l2784,0l0,0l0,72xe"/>
              </w:pict>
            </w:r>
          </w:p>
        </w:tc>
        <w:tc>
          <w:tcPr>
            <w:tcW w:w="3309" w:type="dxa"/>
            <w:vAlign w:val="top"/>
            <w:tcBorders>
              <w:bottom w:val="single" w:color="4F81BD" w:sz="6" w:space="0"/>
            </w:tcBorders>
          </w:tcPr>
          <w:p>
            <w:pPr>
              <w:spacing w:before="27" w:line="72" w:lineRule="exact"/>
              <w:rPr/>
            </w:pPr>
            <w:r>
              <w:rPr>
                <w:position w:val="-1"/>
              </w:rPr>
              <w:pict>
                <v:shape id="_x0000_s60" style="mso-position-vertical-relative:line;mso-position-horizontal-relative:char;width:165.65pt;height:3.65pt;" fillcolor="#FFFFFF" filled="true" stroked="false" coordsize="3312,73" coordorigin="0,0" path="m0,72l3312,72l3312,0l0,0l0,72xe"/>
              </w:pict>
            </w:r>
          </w:p>
          <w:p>
            <w:pPr>
              <w:ind w:left="160"/>
              <w:spacing w:before="50" w:line="228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8"/>
              </w:rPr>
              <w:t>智慧校园、实践教学综合平台</w:t>
            </w:r>
          </w:p>
          <w:p>
            <w:pPr>
              <w:spacing w:before="27" w:line="66" w:lineRule="exact"/>
              <w:rPr/>
            </w:pPr>
            <w:r>
              <w:rPr>
                <w:position w:val="-1"/>
              </w:rPr>
              <w:pict>
                <v:shape id="_x0000_s62" style="mso-position-vertical-relative:line;mso-position-horizontal-relative:char;width:165.65pt;height:3.65pt;" fillcolor="#FFFFFF" filled="true" stroked="false" coordsize="3312,73" coordorigin="0,0" path="m0,72l3312,72l3312,0l0,0l0,72xe"/>
              </w:pict>
            </w:r>
          </w:p>
        </w:tc>
      </w:tr>
    </w:tbl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5" w:right="42" w:firstLine="635"/>
        <w:spacing w:before="98" w:line="262" w:lineRule="auto"/>
        <w:jc w:val="both"/>
        <w:rPr/>
      </w:pPr>
      <w:r>
        <w:rPr>
          <w:spacing w:val="-7"/>
        </w:rPr>
        <w:t>以政务行业深耕为基础，业务持续拓展到数字政府相关领域。</w:t>
      </w:r>
      <w:r>
        <w:rPr>
          <w:spacing w:val="-9"/>
        </w:rPr>
        <w:t>如太极聚焦高速公路工程，从国家、省级项目入手， 支撑全国高</w:t>
      </w:r>
      <w:r>
        <w:rPr>
          <w:spacing w:val="-4"/>
        </w:rPr>
        <w:t>速一张网运营和全行业解决方案，成为智慧交通领域的核心集成</w:t>
      </w:r>
      <w:r>
        <w:rPr>
          <w:spacing w:val="-9"/>
        </w:rPr>
        <w:t>商。浪潮打造多省中小学籍管理系统，积累业务理解和学籍数据，</w:t>
      </w:r>
      <w:r>
        <w:rPr>
          <w:spacing w:val="-3"/>
        </w:rPr>
        <w:t>在疫情期间拓展区域“互联网</w:t>
      </w:r>
      <w:r>
        <w:rPr>
          <w:rFonts w:ascii="Times New Roman" w:hAnsi="Times New Roman" w:eastAsia="Times New Roman" w:cs="Times New Roman"/>
          <w:spacing w:val="-3"/>
        </w:rPr>
        <w:t>+</w:t>
      </w:r>
      <w:r>
        <w:rPr>
          <w:spacing w:val="-3"/>
        </w:rPr>
        <w:t>教育”市场。</w:t>
      </w:r>
    </w:p>
    <w:p>
      <w:pPr>
        <w:pStyle w:val="BodyText"/>
        <w:ind w:left="624"/>
        <w:spacing w:before="24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6"/>
        </w:rPr>
        <w:t>2</w:t>
      </w:r>
      <w:r>
        <w:rPr>
          <w:b/>
          <w:bCs/>
          <w:spacing w:val="-6"/>
        </w:rPr>
        <w:t>．</w:t>
      </w:r>
      <w:r>
        <w:rPr>
          <w:spacing w:val="-70"/>
        </w:rPr>
        <w:t xml:space="preserve"> </w:t>
      </w:r>
      <w:r>
        <w:rPr>
          <w:b/>
          <w:bCs/>
          <w:spacing w:val="-6"/>
        </w:rPr>
        <w:t>自主研发、资本运作，多维打造产品供给体系</w:t>
      </w:r>
    </w:p>
    <w:p>
      <w:pPr>
        <w:spacing w:line="355" w:lineRule="auto"/>
        <w:rPr>
          <w:rFonts w:ascii="Arial"/>
          <w:sz w:val="21"/>
        </w:rPr>
      </w:pPr>
      <w:r>
        <w:pict>
          <v:shape id="_x0000_s64" style="position:absolute;margin-left:0.72599pt;margin-top:13.9027pt;mso-position-vertical-relative:text;mso-position-horizontal-relative:text;width:144.05pt;height:0.5pt;z-index:251660288;" fillcolor="#000000" filled="true" stroked="false" coordsize="2881,10" coordorigin="0,0" path="m0,9l2880,9l2880,0l0,0l0,9xe"/>
        </w:pict>
      </w:r>
      <w:r/>
    </w:p>
    <w:p>
      <w:pPr>
        <w:pStyle w:val="BodyText"/>
        <w:ind w:left="22"/>
        <w:spacing w:before="69" w:line="292" w:lineRule="exact"/>
        <w:rPr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1"/>
          <w:position w:val="11"/>
        </w:rPr>
        <w:t>1    </w:t>
      </w:r>
      <w:r>
        <w:rPr>
          <w:rFonts w:ascii="Calibri" w:hAnsi="Calibri" w:eastAsia="Calibri" w:cs="Calibri"/>
          <w:sz w:val="21"/>
          <w:szCs w:val="21"/>
          <w:spacing w:val="-1"/>
          <w:position w:val="1"/>
        </w:rPr>
        <w:t>IDC 2021</w:t>
      </w:r>
      <w:r>
        <w:rPr>
          <w:rFonts w:ascii="Calibri" w:hAnsi="Calibri" w:eastAsia="Calibri" w:cs="Calibri"/>
          <w:sz w:val="21"/>
          <w:szCs w:val="21"/>
          <w:spacing w:val="29"/>
          <w:w w:val="101"/>
          <w:position w:val="1"/>
        </w:rPr>
        <w:t xml:space="preserve"> </w:t>
      </w:r>
      <w:r>
        <w:rPr>
          <w:sz w:val="21"/>
          <w:szCs w:val="21"/>
          <w:spacing w:val="-1"/>
          <w:position w:val="1"/>
        </w:rPr>
        <w:t>年一体化政务服务平台解决方案排名中，浪潮和太极市场份额位居前二</w:t>
      </w:r>
    </w:p>
    <w:p>
      <w:pPr>
        <w:spacing w:line="292" w:lineRule="exact"/>
        <w:sectPr>
          <w:headerReference w:type="default" r:id="rId4"/>
          <w:pgSz w:w="11907" w:h="16839"/>
          <w:pgMar w:top="400" w:right="1500" w:bottom="0" w:left="1785" w:header="0" w:footer="0" w:gutter="0"/>
        </w:sectPr>
        <w:rPr>
          <w:sz w:val="21"/>
          <w:szCs w:val="21"/>
        </w:rPr>
      </w:pP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25" w:right="16" w:firstLine="601"/>
        <w:spacing w:before="98" w:line="261" w:lineRule="auto"/>
        <w:jc w:val="both"/>
        <w:rPr/>
      </w:pPr>
      <w:r>
        <w:rPr>
          <w:spacing w:val="-4"/>
        </w:rPr>
        <w:t>集成商具备自主研发体系，能更好把控客户需求</w:t>
      </w:r>
      <w:r>
        <w:rPr>
          <w:spacing w:val="-5"/>
        </w:rPr>
        <w:t>、高质量实</w:t>
      </w:r>
      <w:r>
        <w:rPr>
          <w:spacing w:val="-7"/>
        </w:rPr>
        <w:t>施交付，更能占据合作优势、提升议价能力</w:t>
      </w:r>
      <w:r>
        <w:rPr>
          <w:rFonts w:ascii="Times New Roman" w:hAnsi="Times New Roman" w:eastAsia="Times New Roman" w:cs="Times New Roman"/>
          <w:sz w:val="18"/>
          <w:szCs w:val="18"/>
          <w:spacing w:val="-7"/>
          <w:position w:val="10"/>
        </w:rPr>
        <w:t>2</w:t>
      </w:r>
      <w:r>
        <w:rPr>
          <w:spacing w:val="-7"/>
        </w:rPr>
        <w:t>。为打造可控自主研</w:t>
      </w:r>
      <w:r>
        <w:rPr>
          <w:spacing w:val="-6"/>
        </w:rPr>
        <w:t>发体系，两家企业从以下着手：</w:t>
      </w:r>
    </w:p>
    <w:p>
      <w:pPr>
        <w:pStyle w:val="BodyText"/>
        <w:ind w:left="27" w:right="17" w:firstLine="606"/>
        <w:spacing w:before="268" w:line="256" w:lineRule="auto"/>
        <w:rPr/>
      </w:pPr>
      <w:r>
        <w:rPr>
          <w:spacing w:val="1"/>
        </w:rPr>
        <w:t>（</w:t>
      </w:r>
      <w:r>
        <w:rPr>
          <w:rFonts w:ascii="Times New Roman" w:hAnsi="Times New Roman" w:eastAsia="Times New Roman" w:cs="Times New Roman"/>
          <w:spacing w:val="1"/>
        </w:rPr>
        <w:t>1</w:t>
      </w:r>
      <w:r>
        <w:rPr>
          <w:spacing w:val="1"/>
        </w:rPr>
        <w:t>）建立自上而下统一协调管理的研发体系，优先满足客</w:t>
      </w:r>
      <w:r>
        <w:rPr>
          <w:spacing w:val="-3"/>
        </w:rPr>
        <w:t>户需求</w:t>
      </w:r>
    </w:p>
    <w:p>
      <w:pPr>
        <w:pStyle w:val="BodyText"/>
        <w:ind w:left="26" w:right="13" w:firstLine="599"/>
        <w:spacing w:before="291" w:line="257" w:lineRule="auto"/>
        <w:jc w:val="both"/>
        <w:rPr/>
      </w:pPr>
      <w:r>
        <w:rPr>
          <w:spacing w:val="1"/>
        </w:rPr>
        <w:t>太极以客户为中心，构建起“总部智慧院</w:t>
      </w:r>
      <w:r>
        <w:rPr>
          <w:rFonts w:ascii="Times New Roman" w:hAnsi="Times New Roman" w:eastAsia="Times New Roman" w:cs="Times New Roman"/>
          <w:spacing w:val="1"/>
        </w:rPr>
        <w:t>+</w:t>
      </w:r>
      <w:r>
        <w:rPr>
          <w:spacing w:val="1"/>
        </w:rPr>
        <w:t>企业研究院</w:t>
      </w:r>
      <w:r>
        <w:rPr>
          <w:rFonts w:ascii="Times New Roman" w:hAnsi="Times New Roman" w:eastAsia="Times New Roman" w:cs="Times New Roman"/>
          <w:spacing w:val="1"/>
        </w:rPr>
        <w:t>+</w:t>
      </w:r>
      <w:r>
        <w:rPr>
          <w:rFonts w:ascii="Times New Roman" w:hAnsi="Times New Roman" w:eastAsia="Times New Roman" w:cs="Times New Roman"/>
        </w:rPr>
        <w:t>BG</w:t>
      </w:r>
      <w:r>
        <w:rPr>
          <w:spacing w:val="-7"/>
        </w:rPr>
        <w:t>研发团队</w:t>
      </w:r>
      <w:r>
        <w:rPr>
          <w:spacing w:val="-93"/>
        </w:rPr>
        <w:t xml:space="preserve"> </w:t>
      </w:r>
      <w:r>
        <w:rPr>
          <w:spacing w:val="-7"/>
        </w:rPr>
        <w:t>”三级研发体系，产品自研比例超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50%</w:t>
      </w:r>
      <w:r>
        <w:rPr>
          <w:spacing w:val="-7"/>
        </w:rPr>
        <w:t>，不同体系间明</w:t>
      </w:r>
      <w:r>
        <w:rPr>
          <w:spacing w:val="-4"/>
        </w:rPr>
        <w:t>确分工相互协作，较好地平衡满足客户需求和企业技术储备间的</w:t>
      </w:r>
      <w:r>
        <w:rPr>
          <w:spacing w:val="-13"/>
        </w:rPr>
        <w:t>矛盾。</w:t>
      </w:r>
    </w:p>
    <w:p>
      <w:pPr>
        <w:ind w:firstLine="602"/>
        <w:spacing w:before="126" w:line="4598" w:lineRule="exact"/>
        <w:rPr/>
      </w:pPr>
      <w:r>
        <w:rPr>
          <w:position w:val="-91"/>
        </w:rPr>
        <w:drawing>
          <wp:inline distT="0" distB="0" distL="0" distR="0">
            <wp:extent cx="4571636" cy="2919983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636" cy="29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602"/>
        <w:spacing w:before="260" w:line="215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5"/>
        </w:rPr>
        <w:t>图</w:t>
      </w:r>
      <w:r>
        <w:rPr>
          <w:rFonts w:ascii="KaiTi" w:hAnsi="KaiTi" w:eastAsia="KaiTi" w:cs="KaiTi"/>
          <w:sz w:val="30"/>
          <w:szCs w:val="30"/>
          <w:spacing w:val="-6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5"/>
        </w:rPr>
        <w:t>5</w:t>
      </w:r>
      <w:r>
        <w:rPr>
          <w:rFonts w:ascii="KaiTi" w:hAnsi="KaiTi" w:eastAsia="KaiTi" w:cs="KaiTi"/>
          <w:sz w:val="30"/>
          <w:szCs w:val="30"/>
          <w:spacing w:val="-5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5"/>
        </w:rPr>
        <w:t>太极三级研发体系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25" w:right="12" w:firstLine="595"/>
        <w:spacing w:before="98" w:line="258" w:lineRule="auto"/>
        <w:jc w:val="both"/>
        <w:rPr/>
      </w:pPr>
      <w:r>
        <w:rPr>
          <w:rFonts w:ascii="Times New Roman" w:hAnsi="Times New Roman" w:eastAsia="Times New Roman" w:cs="Times New Roman"/>
          <w:spacing w:val="-11"/>
        </w:rPr>
        <w:t>2016~2021 </w:t>
      </w:r>
      <w:r>
        <w:rPr>
          <w:spacing w:val="-11"/>
        </w:rPr>
        <w:t>年太极不断加大研发投入，持续丰满“两翼”，研</w:t>
      </w:r>
      <w:r>
        <w:rPr>
          <w:spacing w:val="-2"/>
        </w:rPr>
        <w:t>发投入占营收比从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4.53%</w:t>
      </w:r>
      <w:r>
        <w:rPr>
          <w:spacing w:val="-2"/>
        </w:rPr>
        <w:t>，增加到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7.21%</w:t>
      </w:r>
      <w:r>
        <w:rPr>
          <w:spacing w:val="-2"/>
        </w:rPr>
        <w:t>，集中于将数字技术与</w:t>
      </w:r>
      <w:r>
        <w:rPr>
          <w:spacing w:val="-4"/>
        </w:rPr>
        <w:t>行业应用深度融合，并注重提炼共性，固化成标准化的产品，或</w:t>
      </w:r>
      <w:r>
        <w:rPr>
          <w:spacing w:val="-2"/>
        </w:rPr>
        <w:t>是能力可复用、组装的平台。如打造基础平台（</w:t>
      </w:r>
      <w:r>
        <w:rPr>
          <w:rFonts w:ascii="Times New Roman" w:hAnsi="Times New Roman" w:eastAsia="Times New Roman" w:cs="Times New Roman"/>
          <w:spacing w:val="-2"/>
        </w:rPr>
        <w:t>TECO </w:t>
      </w:r>
      <w:r>
        <w:rPr>
          <w:spacing w:val="-2"/>
        </w:rPr>
        <w:t>工业</w:t>
      </w:r>
      <w:r>
        <w:rPr>
          <w:spacing w:val="-3"/>
        </w:rPr>
        <w:t>互联</w:t>
      </w:r>
      <w:r>
        <w:rPr>
          <w:spacing w:val="-8"/>
        </w:rPr>
        <w:t>网平台、太极 </w:t>
      </w:r>
      <w:r>
        <w:rPr>
          <w:rFonts w:ascii="Times New Roman" w:hAnsi="Times New Roman" w:eastAsia="Times New Roman" w:cs="Times New Roman"/>
          <w:spacing w:val="-8"/>
        </w:rPr>
        <w:t>Inf-Link  </w:t>
      </w:r>
      <w:r>
        <w:rPr>
          <w:spacing w:val="-8"/>
        </w:rPr>
        <w:t>物联网平台</w:t>
      </w:r>
      <w:r>
        <w:rPr>
          <w:rFonts w:ascii="Times New Roman" w:hAnsi="Times New Roman" w:eastAsia="Times New Roman" w:cs="Times New Roman"/>
          <w:spacing w:val="-8"/>
        </w:rPr>
        <w:t>2.0</w:t>
      </w:r>
      <w:r>
        <w:rPr>
          <w:spacing w:val="-8"/>
        </w:rPr>
        <w:t>）、智能应用产品（制造企</w:t>
      </w:r>
      <w:r>
        <w:rPr>
          <w:spacing w:val="-4"/>
        </w:rPr>
        <w:t>业协同设计平台、智能媒体大数据云服务平台）等，不断提高自</w:t>
      </w:r>
      <w:r>
        <w:rPr>
          <w:spacing w:val="-5"/>
        </w:rPr>
        <w:t>有产品、平台的比例。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>
        <w:pict>
          <v:shape id="_x0000_s66" style="position:absolute;margin-left:0.72599pt;margin-top:11.179pt;mso-position-vertical-relative:text;mso-position-horizontal-relative:text;width:144.05pt;height:0.5pt;z-index:251671552;" fillcolor="#000000" filled="true" stroked="false" coordsize="2881,10" coordorigin="0,0" path="m0,9l2880,9l2880,0l0,0l0,9xe"/>
        </w:pict>
      </w:r>
      <w:r/>
    </w:p>
    <w:p>
      <w:pPr>
        <w:ind w:left="20"/>
        <w:spacing w:before="72" w:line="295" w:lineRule="exact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1"/>
          <w:position w:val="12"/>
        </w:rPr>
        <w:t>2    </w:t>
      </w:r>
      <w:r>
        <w:rPr>
          <w:rFonts w:ascii="DengXian" w:hAnsi="DengXian" w:eastAsia="DengXian" w:cs="DengXian"/>
          <w:sz w:val="21"/>
          <w:szCs w:val="21"/>
          <w:spacing w:val="-1"/>
          <w:position w:val="2"/>
        </w:rPr>
        <w:t>引用《中联通自主能力驱动的产数发展模式研究及启示》</w:t>
      </w:r>
    </w:p>
    <w:p>
      <w:pPr>
        <w:spacing w:line="295" w:lineRule="exact"/>
        <w:sectPr>
          <w:headerReference w:type="default" r:id="rId8"/>
          <w:pgSz w:w="11907" w:h="16839"/>
          <w:pgMar w:top="400" w:right="1785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50" w:right="104" w:firstLine="583"/>
        <w:spacing w:before="98" w:line="257" w:lineRule="auto"/>
        <w:rPr/>
      </w:pPr>
      <w:r>
        <w:rPr/>
        <w:t>（</w:t>
      </w:r>
      <w:r>
        <w:rPr>
          <w:rFonts w:ascii="Times New Roman" w:hAnsi="Times New Roman" w:eastAsia="Times New Roman" w:cs="Times New Roman"/>
        </w:rPr>
        <w:t>2</w:t>
      </w:r>
      <w:r>
        <w:rPr/>
        <w:t>）加大外延式发展，通过资本手段快速布局关键基础产</w:t>
      </w:r>
      <w:r>
        <w:rPr/>
        <w:t>品</w:t>
      </w:r>
    </w:p>
    <w:p>
      <w:pPr>
        <w:pStyle w:val="BodyText"/>
        <w:ind w:left="25" w:firstLine="650"/>
        <w:spacing w:before="284" w:line="259" w:lineRule="auto"/>
        <w:jc w:val="both"/>
        <w:rPr/>
      </w:pPr>
      <w:r>
        <w:rPr>
          <w:spacing w:val="-8"/>
        </w:rPr>
        <w:t>自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2010 </w:t>
      </w:r>
      <w:r>
        <w:rPr>
          <w:spacing w:val="-8"/>
        </w:rPr>
        <w:t>年上市来，太极以每两年一次的节奏完成资本运作，</w:t>
      </w:r>
      <w:r>
        <w:rPr>
          <w:spacing w:val="-4"/>
        </w:rPr>
        <w:t>围绕自主可控产品体系布局，形成包含操作系统、数据库、中间</w:t>
      </w:r>
      <w:r>
        <w:rPr>
          <w:spacing w:val="-4"/>
        </w:rPr>
        <w:t>件、办公软件的完整基础软件体系，成为信创产业全链数字化服</w:t>
      </w:r>
      <w:r>
        <w:rPr>
          <w:spacing w:val="-4"/>
        </w:rPr>
        <w:t>务提供商，有效拉动业务收入增长。</w:t>
      </w:r>
    </w:p>
    <w:p>
      <w:pPr>
        <w:ind w:firstLine="1089"/>
        <w:spacing w:before="219" w:line="2516" w:lineRule="exact"/>
        <w:rPr/>
      </w:pPr>
      <w:r>
        <w:rPr>
          <w:position w:val="-50"/>
        </w:rPr>
        <w:drawing>
          <wp:inline distT="0" distB="0" distL="0" distR="0">
            <wp:extent cx="3909059" cy="1597152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09059" cy="159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8" w:lineRule="auto"/>
        <w:rPr>
          <w:rFonts w:ascii="Arial"/>
          <w:sz w:val="21"/>
        </w:rPr>
      </w:pPr>
      <w:r/>
    </w:p>
    <w:p>
      <w:pPr>
        <w:ind w:left="2602"/>
        <w:spacing w:before="98" w:line="217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5"/>
        </w:rPr>
        <w:t>图</w:t>
      </w:r>
      <w:r>
        <w:rPr>
          <w:rFonts w:ascii="KaiTi" w:hAnsi="KaiTi" w:eastAsia="KaiTi" w:cs="KaiTi"/>
          <w:sz w:val="30"/>
          <w:szCs w:val="30"/>
          <w:spacing w:val="-6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5"/>
        </w:rPr>
        <w:t>6</w:t>
      </w:r>
      <w:r>
        <w:rPr>
          <w:rFonts w:ascii="KaiTi" w:hAnsi="KaiTi" w:eastAsia="KaiTi" w:cs="KaiTi"/>
          <w:sz w:val="30"/>
          <w:szCs w:val="30"/>
          <w:spacing w:val="-5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5"/>
        </w:rPr>
        <w:t>太极资本布局历程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621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．重视本地化服务，建立较为完备的售后服务体系</w:t>
      </w:r>
    </w:p>
    <w:p>
      <w:pPr>
        <w:pStyle w:val="BodyText"/>
        <w:ind w:left="25" w:right="80" w:firstLine="607"/>
        <w:spacing w:before="316" w:line="259" w:lineRule="auto"/>
        <w:jc w:val="both"/>
        <w:rPr/>
      </w:pPr>
      <w:r>
        <w:rPr>
          <w:spacing w:val="-5"/>
        </w:rPr>
        <w:t>系统集成从硬件集成向应用集成转变，交付模式向长效运营</w:t>
      </w:r>
      <w:r>
        <w:rPr>
          <w:spacing w:val="-4"/>
        </w:rPr>
        <w:t>转变，通常大型项目签约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3 </w:t>
      </w:r>
      <w:r>
        <w:rPr>
          <w:spacing w:val="-4"/>
        </w:rPr>
        <w:t>年运维周期，完备的本地化</w:t>
      </w:r>
      <w:r>
        <w:rPr>
          <w:spacing w:val="-5"/>
        </w:rPr>
        <w:t>售后运营</w:t>
      </w:r>
      <w:r>
        <w:rPr>
          <w:spacing w:val="-4"/>
        </w:rPr>
        <w:t>服务体系是市场竞争的关键。太极联合内外部团队为客户提供现</w:t>
      </w:r>
      <w:r>
        <w:rPr>
          <w:spacing w:val="-4"/>
        </w:rPr>
        <w:t>场出场运维、纯远程运维、紧急救援三种售后服务方式，并拥有</w:t>
      </w:r>
      <w:r>
        <w:rPr>
          <w:spacing w:val="-4"/>
        </w:rPr>
        <w:t>自有专家库、行业协会等多方专家作支撑。浪潮集团建立集团总</w:t>
      </w:r>
      <w:r>
        <w:rPr>
          <w:spacing w:val="1"/>
        </w:rPr>
        <w:t>部</w:t>
      </w:r>
      <w:r>
        <w:rPr>
          <w:rFonts w:ascii="Times New Roman" w:hAnsi="Times New Roman" w:eastAsia="Times New Roman" w:cs="Times New Roman"/>
          <w:spacing w:val="1"/>
        </w:rPr>
        <w:t>+</w:t>
      </w:r>
      <w:r>
        <w:rPr>
          <w:spacing w:val="1"/>
        </w:rPr>
        <w:t>区域团队共同协作的售后服务体系，集团总部收到客</w:t>
      </w:r>
      <w:r>
        <w:rPr/>
        <w:t>户反馈</w:t>
      </w:r>
      <w:r>
        <w:rPr>
          <w:spacing w:val="-4"/>
        </w:rPr>
        <w:t>后根据客户地址派单到当地区域的售后服务团队，确保售后服务</w:t>
      </w:r>
      <w:r>
        <w:rPr>
          <w:spacing w:val="-8"/>
        </w:rPr>
        <w:t>的一致性。</w:t>
      </w:r>
    </w:p>
    <w:p>
      <w:pPr>
        <w:ind w:firstLine="1058"/>
        <w:spacing w:before="121" w:line="2402" w:lineRule="exact"/>
        <w:rPr/>
      </w:pPr>
      <w:r>
        <w:rPr>
          <w:position w:val="-48"/>
        </w:rPr>
        <w:drawing>
          <wp:inline distT="0" distB="0" distL="0" distR="0">
            <wp:extent cx="3948683" cy="1525523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8683" cy="152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153"/>
        <w:spacing w:before="268" w:line="215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5"/>
        </w:rPr>
        <w:t>图</w:t>
      </w:r>
      <w:r>
        <w:rPr>
          <w:rFonts w:ascii="KaiTi" w:hAnsi="KaiTi" w:eastAsia="KaiTi" w:cs="KaiTi"/>
          <w:sz w:val="30"/>
          <w:szCs w:val="30"/>
          <w:spacing w:val="-47"/>
        </w:rPr>
        <w:t xml:space="preserve"> </w:t>
      </w:r>
      <w:r>
        <w:rPr>
          <w:rFonts w:ascii="KaiTi" w:hAnsi="KaiTi" w:eastAsia="KaiTi" w:cs="KaiTi"/>
          <w:sz w:val="30"/>
          <w:szCs w:val="30"/>
          <w:spacing w:val="-5"/>
        </w:rPr>
        <w:t>7</w:t>
      </w:r>
      <w:r>
        <w:rPr>
          <w:rFonts w:ascii="KaiTi" w:hAnsi="KaiTi" w:eastAsia="KaiTi" w:cs="KaiTi"/>
          <w:sz w:val="30"/>
          <w:szCs w:val="30"/>
          <w:spacing w:val="-5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5"/>
        </w:rPr>
        <w:t>太极和浪潮售后服务体系</w:t>
      </w:r>
    </w:p>
    <w:p>
      <w:pPr>
        <w:spacing w:line="215" w:lineRule="auto"/>
        <w:sectPr>
          <w:pgSz w:w="11907" w:h="16839"/>
          <w:pgMar w:top="400" w:right="1717" w:bottom="0" w:left="1785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ind w:left="676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三、对中电信发展集成业务启示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26" w:right="258" w:firstLine="599"/>
        <w:spacing w:before="97" w:line="259" w:lineRule="auto"/>
        <w:jc w:val="both"/>
        <w:rPr/>
      </w:pPr>
      <w:r>
        <w:rPr>
          <w:spacing w:val="2"/>
        </w:rPr>
        <w:t>太极和浪潮是天翼云的重要合作伙伴</w:t>
      </w:r>
      <w:r>
        <w:rPr>
          <w:rFonts w:ascii="Times New Roman" w:hAnsi="Times New Roman" w:eastAsia="Times New Roman" w:cs="Times New Roman"/>
          <w:sz w:val="18"/>
          <w:szCs w:val="18"/>
          <w:spacing w:val="2"/>
          <w:position w:val="10"/>
        </w:rPr>
        <w:t>3 </w:t>
      </w:r>
      <w:r>
        <w:rPr>
          <w:spacing w:val="2"/>
        </w:rPr>
        <w:t>，但在产数市场和中</w:t>
      </w:r>
      <w:r>
        <w:rPr>
          <w:spacing w:val="-8"/>
        </w:rPr>
        <w:t>电信以竞争为主。两家企业每年在产数市场已突破百亿规模，</w:t>
      </w:r>
      <w:r>
        <w:rPr>
          <w:spacing w:val="-35"/>
        </w:rPr>
        <w:t xml:space="preserve"> </w:t>
      </w:r>
      <w:r>
        <w:rPr>
          <w:spacing w:val="-8"/>
        </w:rPr>
        <w:t>太</w:t>
      </w:r>
      <w:r>
        <w:rPr>
          <w:spacing w:val="3"/>
        </w:rPr>
        <w:t>极还明确提出打造千亿太极目标</w:t>
      </w:r>
      <w:r>
        <w:rPr>
          <w:rFonts w:ascii="Times New Roman" w:hAnsi="Times New Roman" w:eastAsia="Times New Roman" w:cs="Times New Roman"/>
          <w:sz w:val="18"/>
          <w:szCs w:val="18"/>
          <w:spacing w:val="3"/>
          <w:position w:val="10"/>
        </w:rPr>
        <w:t>4</w:t>
      </w:r>
      <w:r>
        <w:rPr>
          <w:spacing w:val="3"/>
        </w:rPr>
        <w:t>。中电数智科技与这两家企业</w:t>
      </w:r>
      <w:r>
        <w:rPr>
          <w:spacing w:val="-17"/>
        </w:rPr>
        <w:t>市场体量接近，同样具备国资背景、客户资源、属地化服务优势，</w:t>
      </w:r>
      <w:r>
        <w:rPr>
          <w:spacing w:val="-3"/>
        </w:rPr>
        <w:t>适宜借鉴两家集成企业的经验拓展产数市场。</w:t>
      </w:r>
    </w:p>
    <w:p>
      <w:pPr>
        <w:pStyle w:val="BodyText"/>
        <w:ind w:left="636"/>
        <w:spacing w:before="272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1</w:t>
      </w:r>
      <w:r>
        <w:rPr>
          <w:b/>
          <w:bCs/>
          <w:spacing w:val="-3"/>
        </w:rPr>
        <w:t>．优先深耕细作优势行业，局部突破以形成咨询能力</w:t>
      </w:r>
    </w:p>
    <w:p>
      <w:pPr>
        <w:pStyle w:val="BodyText"/>
        <w:ind w:left="25" w:right="254" w:firstLine="601"/>
        <w:spacing w:before="324" w:line="258" w:lineRule="auto"/>
        <w:jc w:val="both"/>
        <w:rPr/>
      </w:pPr>
      <w:r>
        <w:rPr>
          <w:spacing w:val="-4"/>
        </w:rPr>
        <w:t>根据行业趋势及现有行业的渗透情况，数智科技可优</w:t>
      </w:r>
      <w:r>
        <w:rPr>
          <w:spacing w:val="-5"/>
        </w:rPr>
        <w:t>先投入</w:t>
      </w:r>
      <w:r>
        <w:rPr>
          <w:spacing w:val="-4"/>
        </w:rPr>
        <w:t>资源深耕领先行业如政法公安、应急、政务。至少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2~3 </w:t>
      </w:r>
      <w:r>
        <w:rPr>
          <w:spacing w:val="-4"/>
        </w:rPr>
        <w:t>年</w:t>
      </w:r>
      <w:r>
        <w:rPr>
          <w:spacing w:val="-5"/>
        </w:rPr>
        <w:t>深度行</w:t>
      </w:r>
      <w:r>
        <w:rPr>
          <w:spacing w:val="-14"/>
        </w:rPr>
        <w:t>业积累，锻造自身顶层设计、咨询引领能力，深入客户业务部门，</w:t>
      </w:r>
      <w:r>
        <w:rPr>
          <w:spacing w:val="-9"/>
        </w:rPr>
        <w:t>围绕其核心场景，强化行业属性的数字化技术、产品和服务， 打</w:t>
      </w:r>
      <w:r>
        <w:rPr>
          <w:spacing w:val="-3"/>
        </w:rPr>
        <w:t>造口碑，再以此为基础持续拓展深耕其他行业。</w:t>
      </w:r>
    </w:p>
    <w:p>
      <w:pPr>
        <w:pStyle w:val="BodyText"/>
        <w:ind w:left="624"/>
        <w:spacing w:before="280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5"/>
        </w:rPr>
        <w:t>2</w:t>
      </w:r>
      <w:r>
        <w:rPr>
          <w:b/>
          <w:bCs/>
          <w:spacing w:val="-5"/>
        </w:rPr>
        <w:t>．</w:t>
      </w:r>
      <w:r>
        <w:rPr>
          <w:spacing w:val="-82"/>
        </w:rPr>
        <w:t xml:space="preserve"> </w:t>
      </w:r>
      <w:r>
        <w:rPr>
          <w:b/>
          <w:bCs/>
          <w:spacing w:val="-5"/>
        </w:rPr>
        <w:t>自主研发</w:t>
      </w:r>
      <w:r>
        <w:rPr>
          <w:rFonts w:ascii="Times New Roman" w:hAnsi="Times New Roman" w:eastAsia="Times New Roman" w:cs="Times New Roman"/>
          <w:b/>
          <w:bCs/>
          <w:spacing w:val="-5"/>
        </w:rPr>
        <w:t>+</w:t>
      </w:r>
      <w:r>
        <w:rPr>
          <w:b/>
          <w:bCs/>
          <w:spacing w:val="-5"/>
        </w:rPr>
        <w:t>资本运作双轮驱动，完善业务产品体系</w:t>
      </w:r>
    </w:p>
    <w:p>
      <w:pPr>
        <w:pStyle w:val="BodyText"/>
        <w:ind w:left="25" w:right="256" w:firstLine="628"/>
        <w:spacing w:before="321" w:line="259" w:lineRule="auto"/>
        <w:jc w:val="both"/>
        <w:rPr/>
      </w:pPr>
      <w:r>
        <w:rPr>
          <w:spacing w:val="-5"/>
        </w:rPr>
        <w:t>围绕核心关键技术及产品，可实行自主研发和资本</w:t>
      </w:r>
      <w:r>
        <w:rPr>
          <w:spacing w:val="-6"/>
        </w:rPr>
        <w:t>市场运作</w:t>
      </w:r>
      <w:r>
        <w:rPr>
          <w:spacing w:val="-4"/>
        </w:rPr>
        <w:t>双向发力，一方面加大在物联网、</w:t>
      </w:r>
      <w:r>
        <w:rPr>
          <w:rFonts w:ascii="Times New Roman" w:hAnsi="Times New Roman" w:eastAsia="Times New Roman" w:cs="Times New Roman"/>
          <w:spacing w:val="-4"/>
        </w:rPr>
        <w:t>AI</w:t>
      </w:r>
      <w:r>
        <w:rPr>
          <w:spacing w:val="-4"/>
        </w:rPr>
        <w:t>、区块链等关</w:t>
      </w:r>
      <w:r>
        <w:rPr>
          <w:spacing w:val="-5"/>
        </w:rPr>
        <w:t>键技术的资源</w:t>
      </w:r>
      <w:r>
        <w:rPr>
          <w:spacing w:val="-4"/>
        </w:rPr>
        <w:t>投入，加强技术在行业深度应用，不断提高自研平台的比例；另</w:t>
      </w:r>
      <w:r>
        <w:rPr>
          <w:spacing w:val="4"/>
        </w:rPr>
        <w:t>一方面通过投资方式快速布局关键产品</w:t>
      </w:r>
      <w:r>
        <w:rPr>
          <w:rFonts w:ascii="Times New Roman" w:hAnsi="Times New Roman" w:eastAsia="Times New Roman" w:cs="Times New Roman"/>
          <w:spacing w:val="4"/>
        </w:rPr>
        <w:t>/</w:t>
      </w:r>
      <w:r>
        <w:rPr>
          <w:spacing w:val="4"/>
        </w:rPr>
        <w:t>技术，完善赋能</w:t>
      </w:r>
      <w:r>
        <w:rPr>
          <w:spacing w:val="3"/>
        </w:rPr>
        <w:t>产数的</w:t>
      </w:r>
      <w:r>
        <w:rPr>
          <w:spacing w:val="-9"/>
        </w:rPr>
        <w:t>业务版图。</w:t>
      </w:r>
    </w:p>
    <w:p>
      <w:pPr>
        <w:pStyle w:val="BodyText"/>
        <w:ind w:left="621"/>
        <w:spacing w:before="279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．适应需求变化，构建前后端高度协同的市场体系</w:t>
      </w:r>
    </w:p>
    <w:p>
      <w:pPr>
        <w:pStyle w:val="BodyText"/>
        <w:ind w:left="26" w:right="148" w:firstLine="604"/>
        <w:spacing w:before="318" w:line="261" w:lineRule="auto"/>
        <w:jc w:val="both"/>
        <w:rPr/>
      </w:pPr>
      <w:r>
        <w:rPr>
          <w:spacing w:val="-5"/>
        </w:rPr>
        <w:t>一是创新组织形式，打造项目专班或特战队，实现对客户需</w:t>
      </w:r>
      <w:r>
        <w:rPr/>
        <w:t>求的快速响应。在前端可打造特战队或专班，负责从商机获取、</w:t>
      </w:r>
      <w:r>
        <w:rPr>
          <w:spacing w:val="-2"/>
        </w:rPr>
        <w:t>配合营销、快速响应与业务支撑，并建立配套客情维护体系。</w:t>
      </w:r>
    </w:p>
    <w:p>
      <w:pPr>
        <w:pStyle w:val="BodyText"/>
        <w:ind w:left="25" w:firstLine="605"/>
        <w:spacing w:before="268" w:line="261" w:lineRule="auto"/>
        <w:jc w:val="both"/>
        <w:rPr/>
      </w:pPr>
      <w:r>
        <w:pict>
          <v:shape id="_x0000_s68" style="position:absolute;margin-left:0.72599pt;margin-top:84.6263pt;mso-position-vertical-relative:text;mso-position-horizontal-relative:text;width:144.05pt;height:0.5pt;z-index:251696128;" fillcolor="#000000" filled="true" stroked="false" coordsize="2881,10" coordorigin="0,0" path="m0,9l2880,9l2880,0l0,0l0,9xe"/>
        </w:pict>
      </w:r>
      <w:r>
        <w:rPr>
          <w:spacing w:val="-6"/>
        </w:rPr>
        <w:t>二是注重整合资源，建立紧贴前端市场需求的研发运营体系。</w:t>
      </w:r>
      <w:r>
        <w:rPr>
          <w:spacing w:val="-9"/>
        </w:rPr>
        <w:t>在后端有效整合集团、省公司、中通服产数研发资源， 建立自上</w:t>
      </w:r>
      <w:r>
        <w:rPr>
          <w:spacing w:val="-4"/>
        </w:rPr>
        <w:t>而下、统一协调的研发体系，同时聚焦市场共性需求打造通用能</w:t>
      </w:r>
    </w:p>
    <w:p>
      <w:pPr>
        <w:ind w:left="23" w:right="833" w:hanging="4"/>
        <w:spacing w:before="291" w:line="238" w:lineRule="auto"/>
        <w:rPr>
          <w:rFonts w:ascii="Arial" w:hAnsi="Arial" w:eastAsia="Arial" w:cs="Arial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3"/>
          <w:position w:val="10"/>
        </w:rPr>
        <w:t>3</w:t>
      </w:r>
      <w:r>
        <w:rPr>
          <w:rFonts w:ascii="DengXian" w:hAnsi="DengXian" w:eastAsia="DengXian" w:cs="DengXian"/>
          <w:sz w:val="11"/>
          <w:szCs w:val="11"/>
          <w:spacing w:val="12"/>
          <w:w w:val="103"/>
          <w:position w:val="10"/>
        </w:rPr>
        <w:t xml:space="preserve">   </w:t>
      </w:r>
      <w:r>
        <w:rPr>
          <w:rFonts w:ascii="DengXian" w:hAnsi="DengXian" w:eastAsia="DengXian" w:cs="DengXian"/>
          <w:sz w:val="21"/>
          <w:szCs w:val="21"/>
          <w:spacing w:val="-3"/>
        </w:rPr>
        <w:t>浪潮与电信签署战作协议</w:t>
      </w:r>
      <w:r>
        <w:rPr>
          <w:rFonts w:ascii="DengXian" w:hAnsi="DengXian" w:eastAsia="DengXian" w:cs="DengXian"/>
          <w:sz w:val="21"/>
          <w:szCs w:val="21"/>
          <w:spacing w:val="-32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3"/>
        </w:rPr>
        <w:t>，</w:t>
      </w:r>
      <w:r>
        <w:rPr>
          <w:rFonts w:ascii="DengXian" w:hAnsi="DengXian" w:eastAsia="DengXian" w:cs="DengXian"/>
          <w:sz w:val="21"/>
          <w:szCs w:val="21"/>
          <w:spacing w:val="-26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3"/>
        </w:rPr>
        <w:t>明确在云计算等领域开展合作；</w:t>
      </w:r>
      <w:r>
        <w:rPr>
          <w:rFonts w:ascii="DengXian" w:hAnsi="DengXian" w:eastAsia="DengXian" w:cs="DengXian"/>
          <w:sz w:val="21"/>
          <w:szCs w:val="21"/>
          <w:spacing w:val="-27"/>
        </w:rPr>
        <w:t xml:space="preserve"> </w:t>
      </w:r>
      <w:r>
        <w:rPr>
          <w:rFonts w:ascii="DengXian" w:hAnsi="DengXian" w:eastAsia="DengXian" w:cs="DengXian"/>
          <w:sz w:val="21"/>
          <w:szCs w:val="21"/>
          <w:color w:val="333333"/>
          <w:spacing w:val="-3"/>
        </w:rPr>
        <w:t>中电科持股天翼云比例</w:t>
      </w:r>
      <w:r>
        <w:rPr>
          <w:rFonts w:ascii="Arial" w:hAnsi="Arial" w:eastAsia="Arial" w:cs="Arial"/>
          <w:sz w:val="21"/>
          <w:szCs w:val="21"/>
          <w:color w:val="333333"/>
          <w:spacing w:val="-2"/>
        </w:rPr>
        <w:t>5.25%</w:t>
      </w:r>
    </w:p>
    <w:p>
      <w:pPr>
        <w:ind w:left="16"/>
        <w:spacing w:line="296" w:lineRule="exact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1"/>
          <w:position w:val="12"/>
        </w:rPr>
        <w:t>4</w:t>
      </w:r>
      <w:r>
        <w:rPr>
          <w:rFonts w:ascii="DengXian" w:hAnsi="DengXian" w:eastAsia="DengXian" w:cs="DengXian"/>
          <w:sz w:val="11"/>
          <w:szCs w:val="11"/>
          <w:spacing w:val="11"/>
          <w:position w:val="12"/>
        </w:rPr>
        <w:t xml:space="preserve">   </w:t>
      </w:r>
      <w:r>
        <w:rPr>
          <w:rFonts w:ascii="DengXian" w:hAnsi="DengXian" w:eastAsia="DengXian" w:cs="DengXian"/>
          <w:sz w:val="21"/>
          <w:szCs w:val="21"/>
          <w:spacing w:val="-1"/>
          <w:position w:val="2"/>
        </w:rPr>
        <w:t>专家调研未来产数市场年增长预计 20%-30%</w:t>
      </w:r>
    </w:p>
    <w:p>
      <w:pPr>
        <w:spacing w:line="296" w:lineRule="exact"/>
        <w:sectPr>
          <w:pgSz w:w="11907" w:h="16839"/>
          <w:pgMar w:top="400" w:right="1543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26" w:right="15" w:firstLine="4"/>
        <w:spacing w:before="97" w:line="261" w:lineRule="auto"/>
        <w:rPr/>
      </w:pPr>
      <w:r>
        <w:rPr>
          <w:spacing w:val="-4"/>
        </w:rPr>
        <w:t>力平台和标品，实现资源共享和复用，并探索实行集中统一</w:t>
      </w:r>
      <w:r>
        <w:rPr>
          <w:spacing w:val="-5"/>
        </w:rPr>
        <w:t>的交</w:t>
      </w:r>
      <w:r>
        <w:rPr>
          <w:spacing w:val="-5"/>
        </w:rPr>
        <w:t>付、运营和售后服务体系。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spacing w:line="337" w:lineRule="auto"/>
        <w:rPr>
          <w:rFonts w:ascii="Arial"/>
          <w:sz w:val="21"/>
        </w:rPr>
      </w:pPr>
      <w:r/>
    </w:p>
    <w:p>
      <w:pPr>
        <w:ind w:left="39"/>
        <w:spacing w:before="98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中国电信股份有限公司研究院/战</w:t>
      </w:r>
      <w:r>
        <w:rPr>
          <w:rFonts w:ascii="KaiTi" w:hAnsi="KaiTi" w:eastAsia="KaiTi" w:cs="KaiTi"/>
          <w:sz w:val="30"/>
          <w:szCs w:val="30"/>
          <w:spacing w:val="-2"/>
        </w:rPr>
        <w:t>略发展研究所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ind w:left="583"/>
        <w:spacing w:before="91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左芳芳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硕士，中级统计师，情报中心科研人员，主要从事产</w:t>
      </w:r>
    </w:p>
    <w:p>
      <w:pPr>
        <w:ind w:left="38"/>
        <w:spacing w:before="96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6"/>
        </w:rPr>
        <w:t>业数字化、数字政府等领域研究。【18939893785】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ind w:left="631"/>
        <w:spacing w:before="92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3"/>
        </w:rPr>
        <w:t>肖少波</w:t>
      </w:r>
      <w:r>
        <w:rPr>
          <w:rFonts w:ascii="KaiTi" w:hAnsi="KaiTi" w:eastAsia="KaiTi" w:cs="KaiTi"/>
          <w:sz w:val="28"/>
          <w:szCs w:val="28"/>
          <w:spacing w:val="-3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3"/>
        </w:rPr>
        <w:t>硕士，高级工程师，情报中心科研人员。在市场研</w:t>
      </w:r>
    </w:p>
    <w:p>
      <w:pPr>
        <w:ind w:left="20" w:right="202" w:firstLine="26"/>
        <w:spacing w:before="99" w:line="27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究、客户研究、行业研究等领域拥有二十年工作经</w:t>
      </w:r>
      <w:r>
        <w:rPr>
          <w:rFonts w:ascii="KaiTi" w:hAnsi="KaiTi" w:eastAsia="KaiTi" w:cs="KaiTi"/>
          <w:sz w:val="28"/>
          <w:szCs w:val="28"/>
          <w:spacing w:val="-2"/>
        </w:rPr>
        <w:t>验，近年来专注</w:t>
      </w:r>
      <w:r>
        <w:rPr>
          <w:rFonts w:ascii="KaiTi" w:hAnsi="KaiTi" w:eastAsia="KaiTi" w:cs="KaiTi"/>
          <w:sz w:val="28"/>
          <w:szCs w:val="28"/>
          <w:spacing w:val="-2"/>
        </w:rPr>
        <w:t>产业数字化、智慧社区、数字政府等领域的研究。</w:t>
      </w:r>
    </w:p>
    <w:p>
      <w:pPr>
        <w:ind w:right="47"/>
        <w:spacing w:before="279" w:line="217" w:lineRule="auto"/>
        <w:jc w:val="right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李一明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在移动业务市场、商业模式研究方面有超</w:t>
      </w:r>
      <w:r>
        <w:rPr>
          <w:rFonts w:ascii="KaiTi" w:hAnsi="KaiTi" w:eastAsia="KaiTi" w:cs="KaiTi"/>
          <w:sz w:val="28"/>
          <w:szCs w:val="28"/>
          <w:spacing w:val="-2"/>
        </w:rPr>
        <w:t>过</w:t>
      </w:r>
      <w:r>
        <w:rPr>
          <w:rFonts w:ascii="KaiTi" w:hAnsi="KaiTi" w:eastAsia="KaiTi" w:cs="KaiTi"/>
          <w:sz w:val="28"/>
          <w:szCs w:val="28"/>
          <w:spacing w:val="-64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25</w:t>
      </w:r>
      <w:r>
        <w:rPr>
          <w:rFonts w:ascii="KaiTi" w:hAnsi="KaiTi" w:eastAsia="KaiTi" w:cs="KaiTi"/>
          <w:sz w:val="28"/>
          <w:szCs w:val="28"/>
          <w:spacing w:val="-60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年的项</w:t>
      </w:r>
    </w:p>
    <w:p>
      <w:pPr>
        <w:ind w:left="86"/>
        <w:spacing w:before="93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4"/>
        </w:rPr>
        <w:t>目经历，近年专注于</w:t>
      </w:r>
      <w:r>
        <w:rPr>
          <w:rFonts w:ascii="KaiTi" w:hAnsi="KaiTi" w:eastAsia="KaiTi" w:cs="KaiTi"/>
          <w:sz w:val="28"/>
          <w:szCs w:val="28"/>
          <w:spacing w:val="-65"/>
        </w:rPr>
        <w:t xml:space="preserve"> </w:t>
      </w:r>
      <w:r>
        <w:rPr>
          <w:rFonts w:ascii="KaiTi" w:hAnsi="KaiTi" w:eastAsia="KaiTi" w:cs="KaiTi"/>
          <w:sz w:val="28"/>
          <w:szCs w:val="28"/>
          <w:spacing w:val="-4"/>
        </w:rPr>
        <w:t>5G</w:t>
      </w:r>
      <w:r>
        <w:rPr>
          <w:rFonts w:ascii="KaiTi" w:hAnsi="KaiTi" w:eastAsia="KaiTi" w:cs="KaiTi"/>
          <w:sz w:val="28"/>
          <w:szCs w:val="28"/>
          <w:spacing w:val="-55"/>
        </w:rPr>
        <w:t xml:space="preserve"> </w:t>
      </w:r>
      <w:r>
        <w:rPr>
          <w:rFonts w:ascii="KaiTi" w:hAnsi="KaiTi" w:eastAsia="KaiTi" w:cs="KaiTi"/>
          <w:sz w:val="28"/>
          <w:szCs w:val="28"/>
          <w:spacing w:val="-4"/>
        </w:rPr>
        <w:t>行业应用、工业互联网等方</w:t>
      </w:r>
      <w:r>
        <w:rPr>
          <w:rFonts w:ascii="KaiTi" w:hAnsi="KaiTi" w:eastAsia="KaiTi" w:cs="KaiTi"/>
          <w:sz w:val="28"/>
          <w:szCs w:val="28"/>
          <w:spacing w:val="-5"/>
        </w:rPr>
        <w:t>面的研究。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ind w:left="575"/>
        <w:spacing w:before="92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</w:rPr>
        <w:t>廖文凯</w:t>
      </w:r>
      <w:r>
        <w:rPr>
          <w:rFonts w:ascii="KaiTi" w:hAnsi="KaiTi" w:eastAsia="KaiTi" w:cs="KaiTi"/>
          <w:sz w:val="28"/>
          <w:szCs w:val="28"/>
        </w:rPr>
        <w:t xml:space="preserve">  </w:t>
      </w:r>
      <w:r>
        <w:rPr>
          <w:rFonts w:ascii="KaiTi" w:hAnsi="KaiTi" w:eastAsia="KaiTi" w:cs="KaiTi"/>
          <w:sz w:val="28"/>
          <w:szCs w:val="28"/>
        </w:rPr>
        <w:t>硕士，战略发展研究所政企发展研究中</w:t>
      </w:r>
      <w:r>
        <w:rPr>
          <w:rFonts w:ascii="KaiTi" w:hAnsi="KaiTi" w:eastAsia="KaiTi" w:cs="KaiTi"/>
          <w:sz w:val="28"/>
          <w:szCs w:val="28"/>
          <w:spacing w:val="-1"/>
        </w:rPr>
        <w:t>心，主要从事</w:t>
      </w:r>
    </w:p>
    <w:p>
      <w:pPr>
        <w:ind w:left="23"/>
        <w:spacing w:before="97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3"/>
        </w:rPr>
        <w:t>信息化规划咨询与产业经济研究。</w:t>
      </w:r>
    </w:p>
    <w:sectPr>
      <w:pgSz w:w="11907" w:h="16839"/>
      <w:pgMar w:top="400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DengXian" w:hAnsi="DengXian" w:eastAsia="DengXian" w:cs="DengXian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" Type="http://schemas.openxmlformats.org/officeDocument/2006/relationships/header" Target="header2.xml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header" Target="header1.xml"/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4" Type="http://schemas.openxmlformats.org/officeDocument/2006/relationships/fontTable" Target="fontTable.xml"/><Relationship Id="rId13" Type="http://schemas.openxmlformats.org/officeDocument/2006/relationships/styles" Target="styles.xml"/><Relationship Id="rId12" Type="http://schemas.openxmlformats.org/officeDocument/2006/relationships/settings" Target="settings.xml"/><Relationship Id="rId11" Type="http://schemas.openxmlformats.org/officeDocument/2006/relationships/image" Target="media/image9.png"/><Relationship Id="rId10" Type="http://schemas.openxmlformats.org/officeDocument/2006/relationships/image" Target="media/image8.jpe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2023-04-06T11:47:16Z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2025-11-04T15:55:11</vt:filetime>
  </property>
</Properties>
</file>