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DD294">
      <w:pPr>
        <w:rPr>
          <w:rFonts w:ascii="Times New Roman" w:hAnsi="Times New Roman" w:cs="Times New Roman"/>
          <w:color w:val="000000" w:themeColor="text1"/>
          <w14:textFill>
            <w14:solidFill>
              <w14:schemeClr w14:val="tx1"/>
            </w14:solidFill>
          </w14:textFill>
        </w:rPr>
        <w:sectPr>
          <w:headerReference r:id="rId5" w:type="first"/>
          <w:footerReference r:id="rId6" w:type="default"/>
          <w:pgSz w:w="11906" w:h="16838"/>
          <w:pgMar w:top="1440" w:right="1800" w:bottom="1440" w:left="1800" w:header="851" w:footer="992" w:gutter="0"/>
          <w:pgNumType w:start="1"/>
          <w:cols w:space="720" w:num="1"/>
          <w:docGrid w:type="lines" w:linePitch="312" w:charSpace="0"/>
        </w:sectPr>
      </w:pPr>
      <w:r>
        <w:rPr>
          <w:sz w:val="24"/>
        </w:rPr>
        <mc:AlternateContent>
          <mc:Choice Requires="wps">
            <w:drawing>
              <wp:anchor distT="0" distB="0" distL="114300" distR="114300" simplePos="0" relativeHeight="251659264" behindDoc="0" locked="0" layoutInCell="1" allowOverlap="1">
                <wp:simplePos x="0" y="0"/>
                <wp:positionH relativeFrom="column">
                  <wp:posOffset>-1141730</wp:posOffset>
                </wp:positionH>
                <wp:positionV relativeFrom="paragraph">
                  <wp:posOffset>9103360</wp:posOffset>
                </wp:positionV>
                <wp:extent cx="7538720" cy="480695"/>
                <wp:effectExtent l="0" t="0" r="0" b="0"/>
                <wp:wrapNone/>
                <wp:docPr id="10" name="文本框 13"/>
                <wp:cNvGraphicFramePr/>
                <a:graphic xmlns:a="http://schemas.openxmlformats.org/drawingml/2006/main">
                  <a:graphicData uri="http://schemas.microsoft.com/office/word/2010/wordprocessingShape">
                    <wps:wsp>
                      <wps:cNvSpPr txBox="1"/>
                      <wps:spPr>
                        <a:xfrm>
                          <a:off x="576580" y="9822815"/>
                          <a:ext cx="7538720" cy="480695"/>
                        </a:xfrm>
                        <a:prstGeom prst="rect">
                          <a:avLst/>
                        </a:prstGeom>
                        <a:noFill/>
                        <a:ln>
                          <a:noFill/>
                        </a:ln>
                      </wps:spPr>
                      <wps:txbx>
                        <w:txbxContent>
                          <w:p w14:paraId="02C533D4">
                            <w:pPr>
                              <w:jc w:val="center"/>
                              <w:rPr>
                                <w:rFonts w:hint="default"/>
                                <w:color w:val="FFFFFF" w:themeColor="background1"/>
                                <w:sz w:val="36"/>
                                <w:szCs w:val="36"/>
                                <w:lang w:val="en-US" w:eastAsia="zh-CN"/>
                                <w14:textFill>
                                  <w14:solidFill>
                                    <w14:schemeClr w14:val="bg1"/>
                                  </w14:solidFill>
                                </w14:textFill>
                              </w:rPr>
                            </w:pPr>
                            <w:r>
                              <w:rPr>
                                <w:rFonts w:hint="eastAsia"/>
                                <w:color w:val="FFFFFF" w:themeColor="background1"/>
                                <w:sz w:val="36"/>
                                <w:szCs w:val="36"/>
                                <w:lang w:val="en-US" w:eastAsia="zh-CN"/>
                                <w14:textFill>
                                  <w14:solidFill>
                                    <w14:schemeClr w14:val="bg1"/>
                                  </w14:solidFill>
                                </w14:textFill>
                              </w:rPr>
                              <w:t>2025年7月31日</w:t>
                            </w:r>
                          </w:p>
                        </w:txbxContent>
                      </wps:txbx>
                      <wps:bodyPr vert="horz" wrap="square" anchor="t" upright="0">
                        <a:noAutofit/>
                      </wps:bodyPr>
                    </wps:wsp>
                  </a:graphicData>
                </a:graphic>
              </wp:anchor>
            </w:drawing>
          </mc:Choice>
          <mc:Fallback>
            <w:pict>
              <v:shape id="文本框 13" o:spid="_x0000_s1026" o:spt="202" type="#_x0000_t202" style="position:absolute;left:0pt;margin-left:-89.9pt;margin-top:716.8pt;height:37.85pt;width:593.6pt;z-index:251659264;mso-width-relative:page;mso-height-relative:page;" filled="f" stroked="f" coordsize="21600,21600" o:gfxdata="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ktz74NsAAAAPAQAA&#10;DwAAAAAAAAABACAAAAAiAAAAZHJzL2Rvd25yZXYueG1sUEsBAhQAFAAAAAgAh07iQE3dc1zdAQAA&#10;mgMAAA4AAAAAAAAAAQAgAAAAKgEAAGRycy9lMm9Eb2MueG1sUEsFBgAAAAAGAAYAWQEAAHkFAAAA&#10;AA==&#10;">
                <v:fill on="f" focussize="0,0"/>
                <v:stroke on="f"/>
                <v:imagedata o:title=""/>
                <o:lock v:ext="edit" aspectratio="f"/>
                <v:textbox>
                  <w:txbxContent>
                    <w:p w14:paraId="02C533D4">
                      <w:pPr>
                        <w:jc w:val="center"/>
                        <w:rPr>
                          <w:rFonts w:hint="default"/>
                          <w:color w:val="FFFFFF" w:themeColor="background1"/>
                          <w:sz w:val="36"/>
                          <w:szCs w:val="36"/>
                          <w:lang w:val="en-US" w:eastAsia="zh-CN"/>
                          <w14:textFill>
                            <w14:solidFill>
                              <w14:schemeClr w14:val="bg1"/>
                            </w14:solidFill>
                          </w14:textFill>
                        </w:rPr>
                      </w:pPr>
                      <w:r>
                        <w:rPr>
                          <w:rFonts w:hint="eastAsia"/>
                          <w:color w:val="FFFFFF" w:themeColor="background1"/>
                          <w:sz w:val="36"/>
                          <w:szCs w:val="36"/>
                          <w:lang w:val="en-US" w:eastAsia="zh-CN"/>
                          <w14:textFill>
                            <w14:solidFill>
                              <w14:schemeClr w14:val="bg1"/>
                            </w14:solidFill>
                          </w14:textFill>
                        </w:rPr>
                        <w:t>2025年7月31日</w:t>
                      </w:r>
                    </w:p>
                  </w:txbxContent>
                </v:textbox>
              </v:shape>
            </w:pict>
          </mc:Fallback>
        </mc:AlternateContent>
      </w:r>
      <w:bookmarkStart w:id="30" w:name="_GoBack"/>
      <w:r>
        <w:rPr>
          <w:rFonts w:hint="eastAsia" w:eastAsia="宋体"/>
          <w:lang w:eastAsia="zh-CN"/>
        </w:rPr>
        <w:drawing>
          <wp:anchor distT="0" distB="0" distL="114300" distR="114300" simplePos="0" relativeHeight="251661312" behindDoc="1" locked="0" layoutInCell="1" allowOverlap="1">
            <wp:simplePos x="0" y="0"/>
            <wp:positionH relativeFrom="column">
              <wp:posOffset>-1123315</wp:posOffset>
            </wp:positionH>
            <wp:positionV relativeFrom="paragraph">
              <wp:posOffset>-893445</wp:posOffset>
            </wp:positionV>
            <wp:extent cx="7605395" cy="10775315"/>
            <wp:effectExtent l="0" t="0" r="1905" b="6985"/>
            <wp:wrapNone/>
            <wp:docPr id="13"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
                    <pic:cNvPicPr>
                      <a:picLocks noChangeAspect="1"/>
                    </pic:cNvPicPr>
                  </pic:nvPicPr>
                  <pic:blipFill>
                    <a:blip r:embed="rId13"/>
                    <a:stretch>
                      <a:fillRect/>
                    </a:stretch>
                  </pic:blipFill>
                  <pic:spPr>
                    <a:xfrm>
                      <a:off x="0" y="0"/>
                      <a:ext cx="7605395" cy="10775315"/>
                    </a:xfrm>
                    <a:prstGeom prst="rect">
                      <a:avLst/>
                    </a:prstGeom>
                  </pic:spPr>
                </pic:pic>
              </a:graphicData>
            </a:graphic>
          </wp:anchor>
        </w:drawing>
      </w:r>
      <w:bookmarkEnd w:id="30"/>
      <w:r>
        <w:rPr>
          <w:sz w:val="24"/>
        </w:rPr>
        <mc:AlternateContent>
          <mc:Choice Requires="wpg">
            <w:drawing>
              <wp:anchor distT="0" distB="0" distL="114300" distR="114300" simplePos="0" relativeHeight="251660288" behindDoc="0" locked="0" layoutInCell="1" allowOverlap="1">
                <wp:simplePos x="0" y="0"/>
                <wp:positionH relativeFrom="column">
                  <wp:posOffset>-739775</wp:posOffset>
                </wp:positionH>
                <wp:positionV relativeFrom="paragraph">
                  <wp:posOffset>1691005</wp:posOffset>
                </wp:positionV>
                <wp:extent cx="7061835" cy="2622550"/>
                <wp:effectExtent l="0" t="0" r="0" b="0"/>
                <wp:wrapNone/>
                <wp:docPr id="6" name="组合 6"/>
                <wp:cNvGraphicFramePr/>
                <a:graphic xmlns:a="http://schemas.openxmlformats.org/drawingml/2006/main">
                  <a:graphicData uri="http://schemas.microsoft.com/office/word/2010/wordprocessingGroup">
                    <wpg:wgp>
                      <wpg:cNvGrpSpPr/>
                      <wpg:grpSpPr>
                        <a:xfrm>
                          <a:off x="0" y="0"/>
                          <a:ext cx="7061835" cy="2622550"/>
                          <a:chOff x="6059" y="6392"/>
                          <a:chExt cx="11121" cy="4130"/>
                        </a:xfrm>
                      </wpg:grpSpPr>
                      <wps:wsp>
                        <wps:cNvPr id="3" name="文本框 11"/>
                        <wps:cNvSpPr txBox="1"/>
                        <wps:spPr>
                          <a:xfrm>
                            <a:off x="6349" y="6392"/>
                            <a:ext cx="10412" cy="1346"/>
                          </a:xfrm>
                          <a:prstGeom prst="rect">
                            <a:avLst/>
                          </a:prstGeom>
                          <a:noFill/>
                          <a:ln>
                            <a:noFill/>
                          </a:ln>
                        </wps:spPr>
                        <wps:txbx>
                          <w:txbxContent>
                            <w:p w14:paraId="1B57EC9F">
                              <w:pPr>
                                <w:jc w:val="center"/>
                                <w:rPr>
                                  <w:rFonts w:hint="eastAsia" w:asciiTheme="majorEastAsia" w:hAnsiTheme="majorEastAsia" w:eastAsiaTheme="majorEastAsia" w:cstheme="majorEastAsia"/>
                                  <w:b/>
                                  <w:bCs/>
                                  <w:color w:val="FFFFFF" w:themeColor="background1"/>
                                  <w:sz w:val="96"/>
                                  <w:szCs w:val="96"/>
                                  <w:lang w:val="en-US" w:eastAsia="zh-CN"/>
                                  <w14:textFill>
                                    <w14:solidFill>
                                      <w14:schemeClr w14:val="bg1"/>
                                    </w14:solidFill>
                                  </w14:textFill>
                                </w:rPr>
                              </w:pPr>
                              <w:r>
                                <w:rPr>
                                  <w:rFonts w:hint="eastAsia" w:asciiTheme="majorEastAsia" w:hAnsiTheme="majorEastAsia" w:eastAsiaTheme="majorEastAsia" w:cstheme="majorEastAsia"/>
                                  <w:b/>
                                  <w:bCs/>
                                  <w:color w:val="FFFFFF" w:themeColor="background1"/>
                                  <w:sz w:val="80"/>
                                  <w:szCs w:val="80"/>
                                  <w:lang w:val="en-US" w:eastAsia="zh-CN"/>
                                  <w14:textFill>
                                    <w14:solidFill>
                                      <w14:schemeClr w14:val="bg1"/>
                                    </w14:solidFill>
                                  </w14:textFill>
                                </w:rPr>
                                <w:t>网络与信息安全</w:t>
                              </w:r>
                            </w:p>
                          </w:txbxContent>
                        </wps:txbx>
                        <wps:bodyPr wrap="square" upright="0">
                          <a:noAutofit/>
                        </wps:bodyPr>
                      </wps:wsp>
                      <wps:wsp>
                        <wps:cNvPr id="4" name="文本框 13"/>
                        <wps:cNvSpPr txBox="1"/>
                        <wps:spPr>
                          <a:xfrm>
                            <a:off x="6059" y="7200"/>
                            <a:ext cx="11121" cy="2640"/>
                          </a:xfrm>
                          <a:prstGeom prst="rect">
                            <a:avLst/>
                          </a:prstGeom>
                          <a:noFill/>
                          <a:ln>
                            <a:noFill/>
                          </a:ln>
                        </wps:spPr>
                        <wps:txbx>
                          <w:txbxContent>
                            <w:p w14:paraId="54B2678C">
                              <w:pPr>
                                <w:jc w:val="center"/>
                                <w:rPr>
                                  <w:rFonts w:hint="eastAsia" w:ascii="微软雅黑" w:hAnsi="微软雅黑" w:eastAsia="微软雅黑" w:cs="微软雅黑"/>
                                  <w:b/>
                                  <w:bCs/>
                                  <w:color w:val="FFFFFF" w:themeColor="background1"/>
                                  <w:kern w:val="0"/>
                                  <w:sz w:val="144"/>
                                  <w:szCs w:val="144"/>
                                  <w:lang w:val="en-US" w:eastAsia="zh-CN"/>
                                  <w14:textFill>
                                    <w14:solidFill>
                                      <w14:schemeClr w14:val="bg1"/>
                                    </w14:solidFill>
                                  </w14:textFill>
                                </w:rPr>
                              </w:pPr>
                              <w:r>
                                <w:rPr>
                                  <w:rFonts w:hint="eastAsia" w:ascii="微软雅黑" w:hAnsi="微软雅黑" w:eastAsia="微软雅黑" w:cs="微软雅黑"/>
                                  <w:b/>
                                  <w:bCs/>
                                  <w:color w:val="FFFFFF" w:themeColor="background1"/>
                                  <w:kern w:val="0"/>
                                  <w:sz w:val="144"/>
                                  <w:szCs w:val="144"/>
                                  <w:lang w:val="en-US" w:eastAsia="zh-CN"/>
                                  <w14:textFill>
                                    <w14:solidFill>
                                      <w14:schemeClr w14:val="bg1"/>
                                    </w14:solidFill>
                                  </w14:textFill>
                                </w:rPr>
                                <w:t>前沿洞察</w:t>
                              </w:r>
                            </w:p>
                          </w:txbxContent>
                        </wps:txbx>
                        <wps:bodyPr wrap="square" upright="0">
                          <a:spAutoFit/>
                        </wps:bodyPr>
                      </wps:wsp>
                      <wps:wsp>
                        <wps:cNvPr id="12" name="文本框 13"/>
                        <wps:cNvSpPr txBox="1"/>
                        <wps:spPr>
                          <a:xfrm>
                            <a:off x="8536" y="9442"/>
                            <a:ext cx="6682" cy="1080"/>
                          </a:xfrm>
                          <a:prstGeom prst="rect">
                            <a:avLst/>
                          </a:prstGeom>
                          <a:noFill/>
                          <a:ln>
                            <a:noFill/>
                          </a:ln>
                        </wps:spPr>
                        <wps:txbx>
                          <w:txbxContent>
                            <w:p w14:paraId="26644DD6">
                              <w:pPr>
                                <w:jc w:val="center"/>
                                <w:rPr>
                                  <w:rFonts w:hint="default" w:ascii="微软雅黑" w:hAnsi="微软雅黑" w:eastAsia="微软雅黑" w:cs="微软雅黑"/>
                                  <w:color w:val="FFFFFF" w:themeColor="background1"/>
                                  <w:kern w:val="0"/>
                                  <w:sz w:val="28"/>
                                  <w:szCs w:val="28"/>
                                  <w:lang w:val="en-US" w:eastAsia="zh-CN"/>
                                  <w14:textFill>
                                    <w14:solidFill>
                                      <w14:schemeClr w14:val="bg1"/>
                                    </w14:solidFill>
                                  </w14:textFill>
                                </w:rPr>
                              </w:pPr>
                              <w:r>
                                <w:rPr>
                                  <w:rFonts w:hint="eastAsia" w:asciiTheme="majorEastAsia" w:hAnsiTheme="majorEastAsia" w:eastAsiaTheme="majorEastAsia" w:cstheme="majorEastAsia"/>
                                  <w:b/>
                                  <w:bCs/>
                                  <w:color w:val="FFFFFF" w:themeColor="background1"/>
                                  <w:sz w:val="52"/>
                                  <w:szCs w:val="52"/>
                                  <w:lang w:val="en-US" w:eastAsia="zh-CN"/>
                                  <w14:textFill>
                                    <w14:solidFill>
                                      <w14:schemeClr w14:val="bg1"/>
                                    </w14:solidFill>
                                  </w14:textFill>
                                </w:rPr>
                                <w:t>2025年7月（总第1期）</w:t>
                              </w:r>
                            </w:p>
                          </w:txbxContent>
                        </wps:txbx>
                        <wps:bodyPr wrap="square" upright="0">
                          <a:spAutoFit/>
                        </wps:bodyPr>
                      </wps:wsp>
                    </wpg:wgp>
                  </a:graphicData>
                </a:graphic>
              </wp:anchor>
            </w:drawing>
          </mc:Choice>
          <mc:Fallback>
            <w:pict>
              <v:group id="_x0000_s1026" o:spid="_x0000_s1026" o:spt="203" style="position:absolute;left:0pt;margin-left:-58.25pt;margin-top:133.15pt;height:206.5pt;width:556.05pt;z-index:251660288;mso-width-relative:page;mso-height-relative:page;" coordorigin="6059,6392" coordsize="11121,4130" o:gfxdata="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0MBn/cAAAA&#10;DAEAAA8AAAAAAAAAAQAgAAAAIgAAAGRycy9kb3ducmV2LnhtbFBLAQIUABQAAAAIAIdO4kDSDGyE&#10;iwIAAOEHAAAOAAAAAAAAAAEAIAAAACsBAABkcnMvZTJvRG9jLnhtbFBLBQYAAAAABgAGAFkBAAAo&#10;BgAAAAA=&#10;">
                <o:lock v:ext="edit" aspectratio="f"/>
                <v:shape id="文本框 11" o:spid="_x0000_s1026" o:spt="202" type="#_x0000_t202" style="position:absolute;left:6349;top:6392;height:1346;width:10412;"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B57EC9F">
                        <w:pPr>
                          <w:jc w:val="center"/>
                          <w:rPr>
                            <w:rFonts w:hint="eastAsia" w:asciiTheme="majorEastAsia" w:hAnsiTheme="majorEastAsia" w:eastAsiaTheme="majorEastAsia" w:cstheme="majorEastAsia"/>
                            <w:b/>
                            <w:bCs/>
                            <w:color w:val="FFFFFF" w:themeColor="background1"/>
                            <w:sz w:val="96"/>
                            <w:szCs w:val="96"/>
                            <w:lang w:val="en-US" w:eastAsia="zh-CN"/>
                            <w14:textFill>
                              <w14:solidFill>
                                <w14:schemeClr w14:val="bg1"/>
                              </w14:solidFill>
                            </w14:textFill>
                          </w:rPr>
                        </w:pPr>
                        <w:r>
                          <w:rPr>
                            <w:rFonts w:hint="eastAsia" w:asciiTheme="majorEastAsia" w:hAnsiTheme="majorEastAsia" w:eastAsiaTheme="majorEastAsia" w:cstheme="majorEastAsia"/>
                            <w:b/>
                            <w:bCs/>
                            <w:color w:val="FFFFFF" w:themeColor="background1"/>
                            <w:sz w:val="80"/>
                            <w:szCs w:val="80"/>
                            <w:lang w:val="en-US" w:eastAsia="zh-CN"/>
                            <w14:textFill>
                              <w14:solidFill>
                                <w14:schemeClr w14:val="bg1"/>
                              </w14:solidFill>
                            </w14:textFill>
                          </w:rPr>
                          <w:t>网络与信息安全</w:t>
                        </w:r>
                      </w:p>
                    </w:txbxContent>
                  </v:textbox>
                </v:shape>
                <v:shape id="文本框 13" o:spid="_x0000_s1026" o:spt="202" type="#_x0000_t202" style="position:absolute;left:6059;top:7200;height:2640;width:11121;" filled="f" stroked="f" coordsize="21600,21600" o:gfxdata="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BER7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4B2678C">
                        <w:pPr>
                          <w:jc w:val="center"/>
                          <w:rPr>
                            <w:rFonts w:hint="eastAsia" w:ascii="微软雅黑" w:hAnsi="微软雅黑" w:eastAsia="微软雅黑" w:cs="微软雅黑"/>
                            <w:b/>
                            <w:bCs/>
                            <w:color w:val="FFFFFF" w:themeColor="background1"/>
                            <w:kern w:val="0"/>
                            <w:sz w:val="144"/>
                            <w:szCs w:val="144"/>
                            <w:lang w:val="en-US" w:eastAsia="zh-CN"/>
                            <w14:textFill>
                              <w14:solidFill>
                                <w14:schemeClr w14:val="bg1"/>
                              </w14:solidFill>
                            </w14:textFill>
                          </w:rPr>
                        </w:pPr>
                        <w:r>
                          <w:rPr>
                            <w:rFonts w:hint="eastAsia" w:ascii="微软雅黑" w:hAnsi="微软雅黑" w:eastAsia="微软雅黑" w:cs="微软雅黑"/>
                            <w:b/>
                            <w:bCs/>
                            <w:color w:val="FFFFFF" w:themeColor="background1"/>
                            <w:kern w:val="0"/>
                            <w:sz w:val="144"/>
                            <w:szCs w:val="144"/>
                            <w:lang w:val="en-US" w:eastAsia="zh-CN"/>
                            <w14:textFill>
                              <w14:solidFill>
                                <w14:schemeClr w14:val="bg1"/>
                              </w14:solidFill>
                            </w14:textFill>
                          </w:rPr>
                          <w:t>前沿洞察</w:t>
                        </w:r>
                      </w:p>
                    </w:txbxContent>
                  </v:textbox>
                </v:shape>
                <v:shape id="文本框 13" o:spid="_x0000_s1026" o:spt="202" type="#_x0000_t202" style="position:absolute;left:8536;top:9442;height:1080;width:6682;" filled="f" stroked="f" coordsize="21600,21600" o:gfxdata="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uD9u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26644DD6">
                        <w:pPr>
                          <w:jc w:val="center"/>
                          <w:rPr>
                            <w:rFonts w:hint="default" w:ascii="微软雅黑" w:hAnsi="微软雅黑" w:eastAsia="微软雅黑" w:cs="微软雅黑"/>
                            <w:color w:val="FFFFFF" w:themeColor="background1"/>
                            <w:kern w:val="0"/>
                            <w:sz w:val="28"/>
                            <w:szCs w:val="28"/>
                            <w:lang w:val="en-US" w:eastAsia="zh-CN"/>
                            <w14:textFill>
                              <w14:solidFill>
                                <w14:schemeClr w14:val="bg1"/>
                              </w14:solidFill>
                            </w14:textFill>
                          </w:rPr>
                        </w:pPr>
                        <w:r>
                          <w:rPr>
                            <w:rFonts w:hint="eastAsia" w:asciiTheme="majorEastAsia" w:hAnsiTheme="majorEastAsia" w:eastAsiaTheme="majorEastAsia" w:cstheme="majorEastAsia"/>
                            <w:b/>
                            <w:bCs/>
                            <w:color w:val="FFFFFF" w:themeColor="background1"/>
                            <w:sz w:val="52"/>
                            <w:szCs w:val="52"/>
                            <w:lang w:val="en-US" w:eastAsia="zh-CN"/>
                            <w14:textFill>
                              <w14:solidFill>
                                <w14:schemeClr w14:val="bg1"/>
                              </w14:solidFill>
                            </w14:textFill>
                          </w:rPr>
                          <w:t>2025年7月（总第1期）</w:t>
                        </w:r>
                      </w:p>
                    </w:txbxContent>
                  </v:textbox>
                </v:shape>
              </v:group>
            </w:pict>
          </mc:Fallback>
        </mc:AlternateContent>
      </w:r>
    </w:p>
    <w:p w14:paraId="2E86B2AD">
      <w:pPr>
        <w:rPr>
          <w:rFonts w:ascii="Times New Roman" w:hAnsi="Times New Roman" w:cs="Times New Roman"/>
          <w:color w:val="000000" w:themeColor="text1"/>
          <w:highlight w:val="cyan"/>
          <w14:textFill>
            <w14:solidFill>
              <w14:schemeClr w14:val="tx1"/>
            </w14:solidFill>
          </w14:textFill>
        </w:rPr>
      </w:pPr>
    </w:p>
    <w:p w14:paraId="6A23672B">
      <w:pPr>
        <w:pStyle w:val="2"/>
        <w:jc w:val="center"/>
      </w:pPr>
      <w:bookmarkStart w:id="0" w:name="_目__录"/>
      <w:bookmarkEnd w:id="0"/>
      <w:bookmarkStart w:id="1" w:name="_Toc29818"/>
      <w:bookmarkStart w:id="2" w:name="_Toc16470"/>
      <w:r>
        <w:rPr>
          <w:rFonts w:ascii="Times New Roman" w:hAnsi="Times New Roman" w:eastAsia="楷体" w:cs="Times New Roman"/>
          <w:color w:val="000000" w:themeColor="text1"/>
          <w:sz w:val="36"/>
          <w:lang w:val="zh-CN"/>
          <w14:textFill>
            <w14:solidFill>
              <w14:schemeClr w14:val="tx1"/>
            </w14:solidFill>
          </w14:textFill>
        </w:rPr>
        <w:t>目  录</w:t>
      </w:r>
      <w:bookmarkEnd w:id="1"/>
      <w:bookmarkEnd w:id="2"/>
      <w:r>
        <w:rPr>
          <w:rFonts w:ascii="Times New Roman" w:hAnsi="Times New Roman" w:cs="Times New Roman"/>
          <w:color w:val="000000" w:themeColor="text1"/>
          <w:sz w:val="16"/>
          <w:highlight w:val="cyan"/>
          <w14:textFill>
            <w14:solidFill>
              <w14:schemeClr w14:val="tx1"/>
            </w14:solidFill>
          </w14:textFill>
        </w:rPr>
        <w:fldChar w:fldCharType="begin"/>
      </w:r>
      <w:r>
        <w:rPr>
          <w:rFonts w:ascii="Times New Roman" w:hAnsi="Times New Roman" w:cs="Times New Roman"/>
          <w:color w:val="000000" w:themeColor="text1"/>
          <w:sz w:val="16"/>
          <w:highlight w:val="cyan"/>
          <w14:textFill>
            <w14:solidFill>
              <w14:schemeClr w14:val="tx1"/>
            </w14:solidFill>
          </w14:textFill>
        </w:rPr>
        <w:instrText xml:space="preserve"> TOC \o "1-3" \h \z \u </w:instrText>
      </w:r>
      <w:r>
        <w:rPr>
          <w:rFonts w:ascii="Times New Roman" w:hAnsi="Times New Roman" w:cs="Times New Roman"/>
          <w:color w:val="000000" w:themeColor="text1"/>
          <w:sz w:val="16"/>
          <w:highlight w:val="cyan"/>
          <w14:textFill>
            <w14:solidFill>
              <w14:schemeClr w14:val="tx1"/>
            </w14:solidFill>
          </w14:textFill>
        </w:rPr>
        <w:fldChar w:fldCharType="separate"/>
      </w:r>
    </w:p>
    <w:p w14:paraId="385D53E7">
      <w:pPr>
        <w:pStyle w:val="17"/>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_Toc2219 </w:instrText>
      </w:r>
      <w:r>
        <w:rPr>
          <w:rFonts w:ascii="Times New Roman" w:hAnsi="Times New Roman" w:eastAsia="仿宋" w:cs="Times New Roman"/>
          <w:bCs/>
          <w:highlight w:val="cyan"/>
          <w:lang w:val="zh-CN"/>
        </w:rPr>
        <w:fldChar w:fldCharType="separate"/>
      </w:r>
      <w:r>
        <w:rPr>
          <w:rFonts w:hint="eastAsia"/>
          <w:lang w:val="en-US" w:eastAsia="zh-CN"/>
        </w:rPr>
        <w:t>一</w:t>
      </w:r>
      <w:r>
        <w:rPr>
          <w:rFonts w:hint="eastAsia"/>
        </w:rPr>
        <w:t>、</w:t>
      </w:r>
      <w:r>
        <w:rPr>
          <w:rFonts w:hint="eastAsia"/>
          <w:lang w:val="en-US" w:eastAsia="zh-CN"/>
        </w:rPr>
        <w:t>政策环境</w:t>
      </w:r>
      <w:r>
        <w:tab/>
      </w:r>
      <w:r>
        <w:fldChar w:fldCharType="begin"/>
      </w:r>
      <w:r>
        <w:instrText xml:space="preserve"> PAGEREF _Toc2219 \h </w:instrText>
      </w:r>
      <w:r>
        <w:fldChar w:fldCharType="separate"/>
      </w:r>
      <w:r>
        <w:t>3</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16A088F7">
      <w:pPr>
        <w:pStyle w:val="11"/>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_Toc9060 </w:instrText>
      </w:r>
      <w:r>
        <w:rPr>
          <w:rFonts w:ascii="Times New Roman" w:hAnsi="Times New Roman" w:eastAsia="仿宋" w:cs="Times New Roman"/>
          <w:bCs/>
          <w:highlight w:val="cyan"/>
          <w:lang w:val="zh-CN"/>
        </w:rPr>
        <w:fldChar w:fldCharType="separate"/>
      </w:r>
      <w:r>
        <w:rPr>
          <w:rFonts w:hint="eastAsia" w:ascii="Times New Roman" w:hAnsi="Times New Roman" w:eastAsia="楷体_GB2312" w:cs="Times New Roman"/>
          <w:szCs w:val="32"/>
          <w:lang w:val="en-US" w:eastAsia="zh-CN"/>
        </w:rPr>
        <w:t>【国内政策法规】工信部印发《2025年护航新型工业化网络安全专项行动方案》</w:t>
      </w:r>
      <w:r>
        <w:tab/>
      </w:r>
      <w:r>
        <w:fldChar w:fldCharType="begin"/>
      </w:r>
      <w:r>
        <w:instrText xml:space="preserve"> PAGEREF _Toc9060 \h </w:instrText>
      </w:r>
      <w:r>
        <w:fldChar w:fldCharType="separate"/>
      </w:r>
      <w:r>
        <w:t>3</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5A3F68BC">
      <w:pPr>
        <w:pStyle w:val="11"/>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_Toc29890 </w:instrText>
      </w:r>
      <w:r>
        <w:rPr>
          <w:rFonts w:ascii="Times New Roman" w:hAnsi="Times New Roman" w:eastAsia="仿宋" w:cs="Times New Roman"/>
          <w:bCs/>
          <w:highlight w:val="cyan"/>
          <w:lang w:val="zh-CN"/>
        </w:rPr>
        <w:fldChar w:fldCharType="separate"/>
      </w:r>
      <w:r>
        <w:rPr>
          <w:rFonts w:hint="eastAsia" w:ascii="Times New Roman" w:hAnsi="Times New Roman" w:eastAsia="楷体_GB2312" w:cs="Times New Roman"/>
          <w:bCs/>
          <w:lang w:val="en-US" w:eastAsia="zh-CN"/>
        </w:rPr>
        <w:t>【国内政策法规】《网络安全技术信息安全管理体系要求》等3项网络安全国家标准获批发布</w:t>
      </w:r>
      <w:r>
        <w:tab/>
      </w:r>
      <w:r>
        <w:fldChar w:fldCharType="begin"/>
      </w:r>
      <w:r>
        <w:instrText xml:space="preserve"> PAGEREF _Toc29890 \h </w:instrText>
      </w:r>
      <w:r>
        <w:fldChar w:fldCharType="separate"/>
      </w:r>
      <w:r>
        <w:t>3</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48C5B821">
      <w:pPr>
        <w:pStyle w:val="11"/>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_Toc26105 </w:instrText>
      </w:r>
      <w:r>
        <w:rPr>
          <w:rFonts w:ascii="Times New Roman" w:hAnsi="Times New Roman" w:eastAsia="仿宋" w:cs="Times New Roman"/>
          <w:bCs/>
          <w:highlight w:val="cyan"/>
          <w:lang w:val="zh-CN"/>
        </w:rPr>
        <w:fldChar w:fldCharType="separate"/>
      </w:r>
      <w:r>
        <w:rPr>
          <w:rFonts w:hint="eastAsia" w:ascii="Times New Roman" w:hAnsi="Times New Roman" w:eastAsia="楷体_GB2312" w:cs="Times New Roman"/>
          <w:bCs/>
          <w:lang w:val="en-US" w:eastAsia="zh-CN"/>
        </w:rPr>
        <w:t>【国内政策法规】工业和信息化领域人工智能安全治理标准体系发布</w:t>
      </w:r>
      <w:r>
        <w:tab/>
      </w:r>
      <w:r>
        <w:fldChar w:fldCharType="begin"/>
      </w:r>
      <w:r>
        <w:instrText xml:space="preserve"> PAGEREF _Toc26105 \h </w:instrText>
      </w:r>
      <w:r>
        <w:fldChar w:fldCharType="separate"/>
      </w:r>
      <w:r>
        <w:t>4</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15BFA81F">
      <w:pPr>
        <w:pStyle w:val="11"/>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_Toc17549 </w:instrText>
      </w:r>
      <w:r>
        <w:rPr>
          <w:rFonts w:ascii="Times New Roman" w:hAnsi="Times New Roman" w:eastAsia="仿宋" w:cs="Times New Roman"/>
          <w:bCs/>
          <w:highlight w:val="cyan"/>
          <w:lang w:val="zh-CN"/>
        </w:rPr>
        <w:fldChar w:fldCharType="separate"/>
      </w:r>
      <w:r>
        <w:rPr>
          <w:rFonts w:hint="eastAsia" w:ascii="Times New Roman" w:hAnsi="Times New Roman" w:eastAsia="楷体" w:cs="Times New Roman"/>
          <w:bCs w:val="0"/>
          <w:szCs w:val="24"/>
          <w:lang w:val="en-US" w:eastAsia="zh-CN"/>
        </w:rPr>
        <w:t>【国外重大动向】美国《大而美法案》将向美军网络攻防项目提供大量拨款</w:t>
      </w:r>
      <w:r>
        <w:tab/>
      </w:r>
      <w:r>
        <w:fldChar w:fldCharType="begin"/>
      </w:r>
      <w:r>
        <w:instrText xml:space="preserve"> PAGEREF _Toc17549 \h </w:instrText>
      </w:r>
      <w:r>
        <w:fldChar w:fldCharType="separate"/>
      </w:r>
      <w:r>
        <w:t>4</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35EAC424">
      <w:pPr>
        <w:pStyle w:val="11"/>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_Toc11162 </w:instrText>
      </w:r>
      <w:r>
        <w:rPr>
          <w:rFonts w:ascii="Times New Roman" w:hAnsi="Times New Roman" w:eastAsia="仿宋" w:cs="Times New Roman"/>
          <w:bCs/>
          <w:highlight w:val="cyan"/>
          <w:lang w:val="zh-CN"/>
        </w:rPr>
        <w:fldChar w:fldCharType="separate"/>
      </w:r>
      <w:r>
        <w:rPr>
          <w:rFonts w:hint="eastAsia" w:ascii="Times New Roman" w:hAnsi="Times New Roman" w:eastAsia="楷体_GB2312" w:cs="Times New Roman"/>
          <w:lang w:val="en-US" w:eastAsia="zh-CN"/>
        </w:rPr>
        <w:t>【国外重大动向】日本内阁官房成立国家网络安全办公室</w:t>
      </w:r>
      <w:r>
        <w:tab/>
      </w:r>
      <w:r>
        <w:fldChar w:fldCharType="begin"/>
      </w:r>
      <w:r>
        <w:instrText xml:space="preserve"> PAGEREF _Toc11162 \h </w:instrText>
      </w:r>
      <w:r>
        <w:fldChar w:fldCharType="separate"/>
      </w:r>
      <w:r>
        <w:t>4</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6884044C">
      <w:pPr>
        <w:pStyle w:val="11"/>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_Toc25030 </w:instrText>
      </w:r>
      <w:r>
        <w:rPr>
          <w:rFonts w:ascii="Times New Roman" w:hAnsi="Times New Roman" w:eastAsia="仿宋" w:cs="Times New Roman"/>
          <w:bCs/>
          <w:highlight w:val="cyan"/>
          <w:lang w:val="zh-CN"/>
        </w:rPr>
        <w:fldChar w:fldCharType="separate"/>
      </w:r>
      <w:r>
        <w:rPr>
          <w:rFonts w:hint="eastAsia" w:ascii="Times New Roman" w:hAnsi="Times New Roman" w:eastAsia="楷体_GB2312" w:cs="Times New Roman"/>
          <w:lang w:val="en-US" w:eastAsia="zh-CN"/>
        </w:rPr>
        <w:t>【国外重大动向】特朗普政府发布《人工智能行动计划》推动关键基础设施网络防御</w:t>
      </w:r>
      <w:r>
        <w:tab/>
      </w:r>
      <w:r>
        <w:fldChar w:fldCharType="begin"/>
      </w:r>
      <w:r>
        <w:instrText xml:space="preserve"> PAGEREF _Toc25030 \h </w:instrText>
      </w:r>
      <w:r>
        <w:fldChar w:fldCharType="separate"/>
      </w:r>
      <w:r>
        <w:t>5</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1371F3BD">
      <w:pPr>
        <w:pStyle w:val="17"/>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_Toc25141 </w:instrText>
      </w:r>
      <w:r>
        <w:rPr>
          <w:rFonts w:ascii="Times New Roman" w:hAnsi="Times New Roman" w:eastAsia="仿宋" w:cs="Times New Roman"/>
          <w:bCs/>
          <w:highlight w:val="cyan"/>
          <w:lang w:val="zh-CN"/>
        </w:rPr>
        <w:fldChar w:fldCharType="separate"/>
      </w:r>
      <w:r>
        <w:rPr>
          <w:rFonts w:hint="eastAsia"/>
          <w:lang w:val="en-US" w:eastAsia="zh-CN"/>
        </w:rPr>
        <w:t>二</w:t>
      </w:r>
      <w:r>
        <w:rPr>
          <w:rFonts w:hint="eastAsia"/>
        </w:rPr>
        <w:t>、</w:t>
      </w:r>
      <w:r>
        <w:rPr>
          <w:rFonts w:hint="eastAsia"/>
          <w:lang w:val="en-US" w:eastAsia="zh-CN"/>
        </w:rPr>
        <w:t>行业动态</w:t>
      </w:r>
      <w:r>
        <w:tab/>
      </w:r>
      <w:r>
        <w:fldChar w:fldCharType="begin"/>
      </w:r>
      <w:r>
        <w:instrText xml:space="preserve"> PAGEREF _Toc25141 \h </w:instrText>
      </w:r>
      <w:r>
        <w:fldChar w:fldCharType="separate"/>
      </w:r>
      <w:r>
        <w:t>6</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0B39EA8C">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_Toc2370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sz w:val="24"/>
          <w:lang w:val="en-US" w:eastAsia="zh-CN"/>
        </w:rPr>
        <w:t>【技术创新】</w:t>
      </w:r>
      <w:r>
        <w:rPr>
          <w:rFonts w:hint="eastAsia" w:ascii="Times New Roman" w:hAnsi="Times New Roman" w:eastAsia="楷体" w:cs="Times New Roman"/>
          <w:bCs w:val="0"/>
          <w:sz w:val="24"/>
          <w:szCs w:val="24"/>
          <w:lang w:val="en-US" w:eastAsia="zh-CN"/>
        </w:rPr>
        <w:t>国内首张芯片级后量子密码卡问世</w:t>
      </w:r>
      <w:r>
        <w:rPr>
          <w:rFonts w:eastAsia="楷体"/>
          <w:sz w:val="24"/>
        </w:rPr>
        <w:tab/>
      </w:r>
      <w:r>
        <w:rPr>
          <w:rFonts w:eastAsia="楷体"/>
          <w:sz w:val="24"/>
        </w:rPr>
        <w:fldChar w:fldCharType="begin"/>
      </w:r>
      <w:r>
        <w:rPr>
          <w:rFonts w:eastAsia="楷体"/>
          <w:sz w:val="24"/>
        </w:rPr>
        <w:instrText xml:space="preserve"> PAGEREF _Toc2370 \h </w:instrText>
      </w:r>
      <w:r>
        <w:rPr>
          <w:rFonts w:eastAsia="楷体"/>
          <w:sz w:val="24"/>
        </w:rPr>
        <w:fldChar w:fldCharType="separate"/>
      </w:r>
      <w:r>
        <w:rPr>
          <w:rFonts w:eastAsia="楷体"/>
          <w:sz w:val="24"/>
        </w:rPr>
        <w:t>6</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42003CE1">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_Toc10112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sz w:val="24"/>
          <w:lang w:val="en-US" w:eastAsia="zh-CN"/>
        </w:rPr>
        <w:t>【技术创新】</w:t>
      </w:r>
      <w:r>
        <w:rPr>
          <w:rFonts w:hint="eastAsia" w:ascii="Times New Roman" w:hAnsi="Times New Roman" w:eastAsia="楷体" w:cs="Times New Roman"/>
          <w:bCs w:val="0"/>
          <w:sz w:val="24"/>
          <w:szCs w:val="24"/>
          <w:lang w:val="en-US" w:eastAsia="zh-CN"/>
        </w:rPr>
        <w:t>全球首个AI智能体安全测试标准发布，蚂蚁集团、清华大学、中国电信等联合编制</w:t>
      </w:r>
      <w:r>
        <w:rPr>
          <w:rFonts w:eastAsia="楷体"/>
          <w:sz w:val="24"/>
        </w:rPr>
        <w:tab/>
      </w:r>
      <w:r>
        <w:rPr>
          <w:rFonts w:eastAsia="楷体"/>
          <w:sz w:val="24"/>
        </w:rPr>
        <w:fldChar w:fldCharType="begin"/>
      </w:r>
      <w:r>
        <w:rPr>
          <w:rFonts w:eastAsia="楷体"/>
          <w:sz w:val="24"/>
        </w:rPr>
        <w:instrText xml:space="preserve"> PAGEREF _Toc10112 \h </w:instrText>
      </w:r>
      <w:r>
        <w:rPr>
          <w:rFonts w:eastAsia="楷体"/>
          <w:sz w:val="24"/>
        </w:rPr>
        <w:fldChar w:fldCharType="separate"/>
      </w:r>
      <w:r>
        <w:rPr>
          <w:rFonts w:eastAsia="楷体"/>
          <w:sz w:val="24"/>
        </w:rPr>
        <w:t>6</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2F681AA3">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_Toc11588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【企业发展】SK将投入超36亿元加强数据安全建设</w:t>
      </w:r>
      <w:r>
        <w:rPr>
          <w:rFonts w:eastAsia="楷体"/>
          <w:sz w:val="24"/>
        </w:rPr>
        <w:tab/>
      </w:r>
      <w:r>
        <w:rPr>
          <w:rFonts w:eastAsia="楷体"/>
          <w:sz w:val="24"/>
        </w:rPr>
        <w:fldChar w:fldCharType="begin"/>
      </w:r>
      <w:r>
        <w:rPr>
          <w:rFonts w:eastAsia="楷体"/>
          <w:sz w:val="24"/>
        </w:rPr>
        <w:instrText xml:space="preserve"> PAGEREF _Toc11588 \h </w:instrText>
      </w:r>
      <w:r>
        <w:rPr>
          <w:rFonts w:eastAsia="楷体"/>
          <w:sz w:val="24"/>
        </w:rPr>
        <w:fldChar w:fldCharType="separate"/>
      </w:r>
      <w:r>
        <w:rPr>
          <w:rFonts w:eastAsia="楷体"/>
          <w:sz w:val="24"/>
        </w:rPr>
        <w:t>7</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6DC4FA36">
      <w:pPr>
        <w:pStyle w:val="11"/>
        <w:tabs>
          <w:tab w:val="right" w:leader="dot" w:pos="8306"/>
          <w:tab w:val="clear" w:pos="8296"/>
        </w:tabs>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_Toc27254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【企业发展】谷歌公司拟推出OSS Rebuild计划，增强开源软件包生态系统安全性</w:t>
      </w:r>
      <w:r>
        <w:rPr>
          <w:rFonts w:eastAsia="楷体"/>
          <w:sz w:val="24"/>
        </w:rPr>
        <w:tab/>
      </w:r>
      <w:r>
        <w:rPr>
          <w:rFonts w:eastAsia="楷体"/>
          <w:sz w:val="24"/>
        </w:rPr>
        <w:fldChar w:fldCharType="begin"/>
      </w:r>
      <w:r>
        <w:rPr>
          <w:rFonts w:eastAsia="楷体"/>
          <w:sz w:val="24"/>
        </w:rPr>
        <w:instrText xml:space="preserve"> PAGEREF _Toc27254 \h </w:instrText>
      </w:r>
      <w:r>
        <w:rPr>
          <w:rFonts w:eastAsia="楷体"/>
          <w:sz w:val="24"/>
        </w:rPr>
        <w:fldChar w:fldCharType="separate"/>
      </w:r>
      <w:r>
        <w:rPr>
          <w:rFonts w:eastAsia="楷体"/>
          <w:sz w:val="24"/>
        </w:rPr>
        <w:t>7</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133BDE6C">
      <w:pPr>
        <w:pStyle w:val="17"/>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_Toc14229 </w:instrText>
      </w:r>
      <w:r>
        <w:rPr>
          <w:rFonts w:ascii="Times New Roman" w:hAnsi="Times New Roman" w:eastAsia="仿宋" w:cs="Times New Roman"/>
          <w:bCs/>
          <w:highlight w:val="cyan"/>
          <w:lang w:val="zh-CN"/>
        </w:rPr>
        <w:fldChar w:fldCharType="separate"/>
      </w:r>
      <w:r>
        <w:rPr>
          <w:rFonts w:hint="eastAsia"/>
          <w:lang w:val="en-US" w:eastAsia="zh-CN"/>
        </w:rPr>
        <w:t>三</w:t>
      </w:r>
      <w:r>
        <w:rPr>
          <w:rFonts w:hint="eastAsia"/>
        </w:rPr>
        <w:t>、</w:t>
      </w:r>
      <w:r>
        <w:rPr>
          <w:rFonts w:hint="eastAsia"/>
          <w:lang w:val="en-US" w:eastAsia="zh-CN"/>
        </w:rPr>
        <w:t>安全情报</w:t>
      </w:r>
      <w:r>
        <w:tab/>
      </w:r>
      <w:r>
        <w:fldChar w:fldCharType="begin"/>
      </w:r>
      <w:r>
        <w:instrText xml:space="preserve"> PAGEREF _Toc14229 \h </w:instrText>
      </w:r>
      <w:r>
        <w:fldChar w:fldCharType="separate"/>
      </w:r>
      <w:r>
        <w:t>8</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67F1C17B">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_Toc12681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【安全事件】麦当劳AI招聘助手暴露了约6400万条应聘者个人数据</w:t>
      </w:r>
      <w:r>
        <w:rPr>
          <w:rFonts w:eastAsia="楷体"/>
          <w:sz w:val="24"/>
        </w:rPr>
        <w:tab/>
      </w:r>
      <w:r>
        <w:rPr>
          <w:rFonts w:eastAsia="楷体"/>
          <w:sz w:val="24"/>
        </w:rPr>
        <w:fldChar w:fldCharType="begin"/>
      </w:r>
      <w:r>
        <w:rPr>
          <w:rFonts w:eastAsia="楷体"/>
          <w:sz w:val="24"/>
        </w:rPr>
        <w:instrText xml:space="preserve"> PAGEREF _Toc12681 \h </w:instrText>
      </w:r>
      <w:r>
        <w:rPr>
          <w:rFonts w:eastAsia="楷体"/>
          <w:sz w:val="24"/>
        </w:rPr>
        <w:fldChar w:fldCharType="separate"/>
      </w:r>
      <w:r>
        <w:rPr>
          <w:rFonts w:eastAsia="楷体"/>
          <w:sz w:val="24"/>
        </w:rPr>
        <w:t>8</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5840CA3F">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_Toc4459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【安全事件】全球IT分销巨头英迈国际遭勒索攻击，重大系统瘫痪导致全球业务宕机</w:t>
      </w:r>
      <w:r>
        <w:rPr>
          <w:rFonts w:eastAsia="楷体"/>
          <w:sz w:val="24"/>
        </w:rPr>
        <w:tab/>
      </w:r>
      <w:r>
        <w:rPr>
          <w:rFonts w:eastAsia="楷体"/>
          <w:sz w:val="24"/>
        </w:rPr>
        <w:fldChar w:fldCharType="begin"/>
      </w:r>
      <w:r>
        <w:rPr>
          <w:rFonts w:eastAsia="楷体"/>
          <w:sz w:val="24"/>
        </w:rPr>
        <w:instrText xml:space="preserve"> PAGEREF _Toc4459 \h </w:instrText>
      </w:r>
      <w:r>
        <w:rPr>
          <w:rFonts w:eastAsia="楷体"/>
          <w:sz w:val="24"/>
        </w:rPr>
        <w:fldChar w:fldCharType="separate"/>
      </w:r>
      <w:r>
        <w:rPr>
          <w:rFonts w:eastAsia="楷体"/>
          <w:sz w:val="24"/>
        </w:rPr>
        <w:t>8</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2D67E412">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_Toc29563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【安全事件】法国电信巨头Orange遭网络攻击致服务中断</w:t>
      </w:r>
      <w:r>
        <w:rPr>
          <w:rFonts w:eastAsia="楷体"/>
          <w:sz w:val="24"/>
        </w:rPr>
        <w:tab/>
      </w:r>
      <w:r>
        <w:rPr>
          <w:rFonts w:eastAsia="楷体"/>
          <w:sz w:val="24"/>
        </w:rPr>
        <w:fldChar w:fldCharType="begin"/>
      </w:r>
      <w:r>
        <w:rPr>
          <w:rFonts w:eastAsia="楷体"/>
          <w:sz w:val="24"/>
        </w:rPr>
        <w:instrText xml:space="preserve"> PAGEREF _Toc29563 \h </w:instrText>
      </w:r>
      <w:r>
        <w:rPr>
          <w:rFonts w:eastAsia="楷体"/>
          <w:sz w:val="24"/>
        </w:rPr>
        <w:fldChar w:fldCharType="separate"/>
      </w:r>
      <w:r>
        <w:rPr>
          <w:rFonts w:eastAsia="楷体"/>
          <w:sz w:val="24"/>
        </w:rPr>
        <w:t>8</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7DE69556">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_Toc18264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【风险漏洞】APT28首次将大型语言模型集成至恶意软件，实现AI驱动的动态攻击</w:t>
      </w:r>
      <w:r>
        <w:rPr>
          <w:rFonts w:eastAsia="楷体"/>
          <w:sz w:val="24"/>
        </w:rPr>
        <w:tab/>
      </w:r>
      <w:r>
        <w:rPr>
          <w:rFonts w:eastAsia="楷体"/>
          <w:sz w:val="24"/>
        </w:rPr>
        <w:fldChar w:fldCharType="begin"/>
      </w:r>
      <w:r>
        <w:rPr>
          <w:rFonts w:eastAsia="楷体"/>
          <w:sz w:val="24"/>
        </w:rPr>
        <w:instrText xml:space="preserve"> PAGEREF _Toc18264 \h </w:instrText>
      </w:r>
      <w:r>
        <w:rPr>
          <w:rFonts w:eastAsia="楷体"/>
          <w:sz w:val="24"/>
        </w:rPr>
        <w:fldChar w:fldCharType="separate"/>
      </w:r>
      <w:r>
        <w:rPr>
          <w:rFonts w:eastAsia="楷体"/>
          <w:sz w:val="24"/>
        </w:rPr>
        <w:t>9</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54F257AF">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_Toc8198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【风险漏洞】英伟达GPU爆出硬件漏洞，可导致AI大模型“脑瘫”</w:t>
      </w:r>
      <w:r>
        <w:rPr>
          <w:rFonts w:eastAsia="楷体"/>
          <w:sz w:val="24"/>
        </w:rPr>
        <w:tab/>
      </w:r>
      <w:r>
        <w:rPr>
          <w:rFonts w:eastAsia="楷体"/>
          <w:sz w:val="24"/>
        </w:rPr>
        <w:fldChar w:fldCharType="begin"/>
      </w:r>
      <w:r>
        <w:rPr>
          <w:rFonts w:eastAsia="楷体"/>
          <w:sz w:val="24"/>
        </w:rPr>
        <w:instrText xml:space="preserve"> PAGEREF _Toc8198 \h </w:instrText>
      </w:r>
      <w:r>
        <w:rPr>
          <w:rFonts w:eastAsia="楷体"/>
          <w:sz w:val="24"/>
        </w:rPr>
        <w:fldChar w:fldCharType="separate"/>
      </w:r>
      <w:r>
        <w:rPr>
          <w:rFonts w:eastAsia="楷体"/>
          <w:sz w:val="24"/>
        </w:rPr>
        <w:t>9</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5A03DA9D">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_Toc4570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【风险漏洞】KatzStealer信息窃取恶意软件风险通告</w:t>
      </w:r>
      <w:r>
        <w:rPr>
          <w:rFonts w:eastAsia="楷体"/>
          <w:sz w:val="24"/>
        </w:rPr>
        <w:tab/>
      </w:r>
      <w:r>
        <w:rPr>
          <w:rFonts w:eastAsia="楷体"/>
          <w:sz w:val="24"/>
        </w:rPr>
        <w:fldChar w:fldCharType="begin"/>
      </w:r>
      <w:r>
        <w:rPr>
          <w:rFonts w:eastAsia="楷体"/>
          <w:sz w:val="24"/>
        </w:rPr>
        <w:instrText xml:space="preserve"> PAGEREF _Toc4570 \h </w:instrText>
      </w:r>
      <w:r>
        <w:rPr>
          <w:rFonts w:eastAsia="楷体"/>
          <w:sz w:val="24"/>
        </w:rPr>
        <w:fldChar w:fldCharType="separate"/>
      </w:r>
      <w:r>
        <w:rPr>
          <w:rFonts w:eastAsia="楷体"/>
          <w:sz w:val="24"/>
        </w:rPr>
        <w:t>9</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3C89CDB6">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_Toc7863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【风险漏洞】微软发布多个安全漏洞通报</w:t>
      </w:r>
      <w:r>
        <w:rPr>
          <w:rFonts w:eastAsia="楷体"/>
          <w:sz w:val="24"/>
        </w:rPr>
        <w:tab/>
      </w:r>
      <w:r>
        <w:rPr>
          <w:rFonts w:eastAsia="楷体"/>
          <w:sz w:val="24"/>
        </w:rPr>
        <w:fldChar w:fldCharType="begin"/>
      </w:r>
      <w:r>
        <w:rPr>
          <w:rFonts w:eastAsia="楷体"/>
          <w:sz w:val="24"/>
        </w:rPr>
        <w:instrText xml:space="preserve"> PAGEREF _Toc7863 \h </w:instrText>
      </w:r>
      <w:r>
        <w:rPr>
          <w:rFonts w:eastAsia="楷体"/>
          <w:sz w:val="24"/>
        </w:rPr>
        <w:fldChar w:fldCharType="separate"/>
      </w:r>
      <w:r>
        <w:rPr>
          <w:rFonts w:eastAsia="楷体"/>
          <w:sz w:val="24"/>
        </w:rPr>
        <w:t>10</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330BCF7E">
      <w:pPr>
        <w:pStyle w:val="11"/>
        <w:tabs>
          <w:tab w:val="right" w:leader="dot" w:pos="8306"/>
          <w:tab w:val="clear" w:pos="8296"/>
        </w:tabs>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_Toc3907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【风险漏洞】Google Chrome V8存在类型混淆漏洞</w:t>
      </w:r>
      <w:r>
        <w:rPr>
          <w:rFonts w:eastAsia="楷体"/>
          <w:sz w:val="24"/>
        </w:rPr>
        <w:tab/>
      </w:r>
      <w:r>
        <w:rPr>
          <w:rFonts w:eastAsia="楷体"/>
          <w:sz w:val="24"/>
        </w:rPr>
        <w:fldChar w:fldCharType="begin"/>
      </w:r>
      <w:r>
        <w:rPr>
          <w:rFonts w:eastAsia="楷体"/>
          <w:sz w:val="24"/>
        </w:rPr>
        <w:instrText xml:space="preserve"> PAGEREF _Toc3907 \h </w:instrText>
      </w:r>
      <w:r>
        <w:rPr>
          <w:rFonts w:eastAsia="楷体"/>
          <w:sz w:val="24"/>
        </w:rPr>
        <w:fldChar w:fldCharType="separate"/>
      </w:r>
      <w:r>
        <w:rPr>
          <w:rFonts w:eastAsia="楷体"/>
          <w:sz w:val="24"/>
        </w:rPr>
        <w:t>10</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71842F59">
      <w:pPr>
        <w:pStyle w:val="17"/>
        <w:tabs>
          <w:tab w:val="right" w:leader="dot" w:pos="8306"/>
          <w:tab w:val="clear" w:pos="8296"/>
        </w:tabs>
      </w:pPr>
      <w:r>
        <w:rPr>
          <w:rFonts w:ascii="Times New Roman" w:hAnsi="Times New Roman" w:eastAsia="仿宋" w:cs="Times New Roman"/>
          <w:bCs/>
          <w:color w:val="000000" w:themeColor="text1"/>
          <w:highlight w:val="cyan"/>
          <w:lang w:val="zh-CN"/>
          <w14:textFill>
            <w14:solidFill>
              <w14:schemeClr w14:val="tx1"/>
            </w14:solidFill>
          </w14:textFill>
        </w:rPr>
        <w:fldChar w:fldCharType="begin"/>
      </w:r>
      <w:r>
        <w:rPr>
          <w:rFonts w:ascii="Times New Roman" w:hAnsi="Times New Roman" w:eastAsia="仿宋" w:cs="Times New Roman"/>
          <w:bCs/>
          <w:highlight w:val="cyan"/>
          <w:lang w:val="zh-CN"/>
        </w:rPr>
        <w:instrText xml:space="preserve"> HYPERLINK \l _Toc32167 </w:instrText>
      </w:r>
      <w:r>
        <w:rPr>
          <w:rFonts w:ascii="Times New Roman" w:hAnsi="Times New Roman" w:eastAsia="仿宋" w:cs="Times New Roman"/>
          <w:bCs/>
          <w:highlight w:val="cyan"/>
          <w:lang w:val="zh-CN"/>
        </w:rPr>
        <w:fldChar w:fldCharType="separate"/>
      </w:r>
      <w:r>
        <w:rPr>
          <w:rFonts w:hint="eastAsia"/>
          <w:lang w:val="en-US" w:eastAsia="zh-CN"/>
        </w:rPr>
        <w:t>四</w:t>
      </w:r>
      <w:r>
        <w:rPr>
          <w:rFonts w:hint="eastAsia"/>
        </w:rPr>
        <w:t>、</w:t>
      </w:r>
      <w:r>
        <w:rPr>
          <w:rFonts w:hint="eastAsia"/>
          <w:lang w:val="en-US" w:eastAsia="zh-CN"/>
        </w:rPr>
        <w:t>热点聚焦-WAIC大会</w:t>
      </w:r>
      <w:r>
        <w:tab/>
      </w:r>
      <w:r>
        <w:fldChar w:fldCharType="begin"/>
      </w:r>
      <w:r>
        <w:instrText xml:space="preserve"> PAGEREF _Toc32167 \h </w:instrText>
      </w:r>
      <w:r>
        <w:fldChar w:fldCharType="separate"/>
      </w:r>
      <w:r>
        <w:t>10</w:t>
      </w:r>
      <w:r>
        <w:fldChar w:fldCharType="end"/>
      </w: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1AAC75B5">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_Toc8723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【WAIC】《中国人工智能安全承诺框架》发布</w:t>
      </w:r>
      <w:r>
        <w:rPr>
          <w:rFonts w:eastAsia="楷体"/>
          <w:sz w:val="24"/>
        </w:rPr>
        <w:tab/>
      </w:r>
      <w:r>
        <w:rPr>
          <w:rFonts w:eastAsia="楷体"/>
          <w:sz w:val="24"/>
        </w:rPr>
        <w:fldChar w:fldCharType="begin"/>
      </w:r>
      <w:r>
        <w:rPr>
          <w:rFonts w:eastAsia="楷体"/>
          <w:sz w:val="24"/>
        </w:rPr>
        <w:instrText xml:space="preserve"> PAGEREF _Toc8723 \h </w:instrText>
      </w:r>
      <w:r>
        <w:rPr>
          <w:rFonts w:eastAsia="楷体"/>
          <w:sz w:val="24"/>
        </w:rPr>
        <w:fldChar w:fldCharType="separate"/>
      </w:r>
      <w:r>
        <w:rPr>
          <w:rFonts w:eastAsia="楷体"/>
          <w:sz w:val="24"/>
        </w:rPr>
        <w:t>10</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664F10CC">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_Toc5879 </w:instrText>
      </w:r>
      <w:r>
        <w:rPr>
          <w:rFonts w:ascii="Times New Roman" w:hAnsi="Times New Roman" w:eastAsia="楷体" w:cs="Times New Roman"/>
          <w:bCs/>
          <w:sz w:val="24"/>
          <w:highlight w:val="cyan"/>
          <w:lang w:val="zh-CN"/>
        </w:rPr>
        <w:fldChar w:fldCharType="separate"/>
      </w:r>
      <w:r>
        <w:rPr>
          <w:rFonts w:hint="eastAsia" w:ascii="Times New Roman" w:hAnsi="Times New Roman" w:eastAsia="楷体" w:cs="Times New Roman"/>
          <w:bCs w:val="0"/>
          <w:sz w:val="24"/>
          <w:szCs w:val="24"/>
          <w:lang w:val="en-US" w:eastAsia="zh-CN"/>
        </w:rPr>
        <w:t>【WAIC】行业首发《终端智能体安全2025》研究报告</w:t>
      </w:r>
      <w:r>
        <w:rPr>
          <w:rFonts w:eastAsia="楷体"/>
          <w:sz w:val="24"/>
        </w:rPr>
        <w:tab/>
      </w:r>
      <w:r>
        <w:rPr>
          <w:rFonts w:eastAsia="楷体"/>
          <w:sz w:val="24"/>
        </w:rPr>
        <w:fldChar w:fldCharType="begin"/>
      </w:r>
      <w:r>
        <w:rPr>
          <w:rFonts w:eastAsia="楷体"/>
          <w:sz w:val="24"/>
        </w:rPr>
        <w:instrText xml:space="preserve"> PAGEREF _Toc5879 \h </w:instrText>
      </w:r>
      <w:r>
        <w:rPr>
          <w:rFonts w:eastAsia="楷体"/>
          <w:sz w:val="24"/>
        </w:rPr>
        <w:fldChar w:fldCharType="separate"/>
      </w:r>
      <w:r>
        <w:rPr>
          <w:rFonts w:eastAsia="楷体"/>
          <w:sz w:val="24"/>
        </w:rPr>
        <w:t>10</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685164B4">
      <w:pPr>
        <w:pStyle w:val="11"/>
        <w:tabs>
          <w:tab w:val="right" w:leader="dot" w:pos="8306"/>
          <w:tab w:val="clear" w:pos="8296"/>
        </w:tabs>
        <w:rPr>
          <w:rFonts w:eastAsia="楷体"/>
          <w:sz w:val="24"/>
        </w:rPr>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_Toc16127 </w:instrText>
      </w:r>
      <w:r>
        <w:rPr>
          <w:rFonts w:ascii="Times New Roman" w:hAnsi="Times New Roman" w:eastAsia="楷体" w:cs="Times New Roman"/>
          <w:bCs/>
          <w:sz w:val="24"/>
          <w:highlight w:val="cyan"/>
          <w:lang w:val="zh-CN"/>
        </w:rPr>
        <w:fldChar w:fldCharType="separate"/>
      </w:r>
      <w:r>
        <w:rPr>
          <w:rFonts w:hint="default" w:ascii="Times New Roman" w:hAnsi="Times New Roman" w:eastAsia="楷体" w:cs="Times New Roman"/>
          <w:bCs w:val="0"/>
          <w:sz w:val="24"/>
          <w:szCs w:val="24"/>
          <w:lang w:val="en-US" w:eastAsia="zh-CN"/>
        </w:rPr>
        <w:t>【WAIC】《大模型开源安全倡议》于2025 WAIC 大模型智塑全球产业新秩序论坛正式发布！</w:t>
      </w:r>
      <w:r>
        <w:rPr>
          <w:rFonts w:eastAsia="楷体"/>
          <w:sz w:val="24"/>
        </w:rPr>
        <w:tab/>
      </w:r>
      <w:r>
        <w:rPr>
          <w:rFonts w:eastAsia="楷体"/>
          <w:sz w:val="24"/>
        </w:rPr>
        <w:fldChar w:fldCharType="begin"/>
      </w:r>
      <w:r>
        <w:rPr>
          <w:rFonts w:eastAsia="楷体"/>
          <w:sz w:val="24"/>
        </w:rPr>
        <w:instrText xml:space="preserve"> PAGEREF _Toc16127 \h </w:instrText>
      </w:r>
      <w:r>
        <w:rPr>
          <w:rFonts w:eastAsia="楷体"/>
          <w:sz w:val="24"/>
        </w:rPr>
        <w:fldChar w:fldCharType="separate"/>
      </w:r>
      <w:r>
        <w:rPr>
          <w:rFonts w:eastAsia="楷体"/>
          <w:sz w:val="24"/>
        </w:rPr>
        <w:t>11</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4FCD01ED">
      <w:pPr>
        <w:pStyle w:val="11"/>
        <w:tabs>
          <w:tab w:val="right" w:leader="dot" w:pos="8306"/>
          <w:tab w:val="clear" w:pos="8296"/>
        </w:tabs>
      </w:pP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begin"/>
      </w:r>
      <w:r>
        <w:rPr>
          <w:rFonts w:ascii="Times New Roman" w:hAnsi="Times New Roman" w:eastAsia="楷体" w:cs="Times New Roman"/>
          <w:bCs/>
          <w:sz w:val="24"/>
          <w:highlight w:val="cyan"/>
          <w:lang w:val="zh-CN"/>
        </w:rPr>
        <w:instrText xml:space="preserve"> HYPERLINK \l _Toc27454 </w:instrText>
      </w:r>
      <w:r>
        <w:rPr>
          <w:rFonts w:ascii="Times New Roman" w:hAnsi="Times New Roman" w:eastAsia="楷体" w:cs="Times New Roman"/>
          <w:bCs/>
          <w:sz w:val="24"/>
          <w:highlight w:val="cyan"/>
          <w:lang w:val="zh-CN"/>
        </w:rPr>
        <w:fldChar w:fldCharType="separate"/>
      </w:r>
      <w:r>
        <w:rPr>
          <w:rFonts w:hint="default" w:ascii="Times New Roman" w:hAnsi="Times New Roman" w:eastAsia="楷体" w:cs="Times New Roman"/>
          <w:bCs w:val="0"/>
          <w:sz w:val="24"/>
          <w:szCs w:val="24"/>
          <w:lang w:val="en-US" w:eastAsia="zh-CN"/>
        </w:rPr>
        <w:t>【WAIC】 电信安全重磅发布“见微”大模型安全能力</w:t>
      </w:r>
      <w:r>
        <w:rPr>
          <w:rFonts w:eastAsia="楷体"/>
          <w:sz w:val="24"/>
        </w:rPr>
        <w:tab/>
      </w:r>
      <w:r>
        <w:rPr>
          <w:rFonts w:eastAsia="楷体"/>
          <w:sz w:val="24"/>
        </w:rPr>
        <w:fldChar w:fldCharType="begin"/>
      </w:r>
      <w:r>
        <w:rPr>
          <w:rFonts w:eastAsia="楷体"/>
          <w:sz w:val="24"/>
        </w:rPr>
        <w:instrText xml:space="preserve"> PAGEREF _Toc27454 \h </w:instrText>
      </w:r>
      <w:r>
        <w:rPr>
          <w:rFonts w:eastAsia="楷体"/>
          <w:sz w:val="24"/>
        </w:rPr>
        <w:fldChar w:fldCharType="separate"/>
      </w:r>
      <w:r>
        <w:rPr>
          <w:rFonts w:eastAsia="楷体"/>
          <w:sz w:val="24"/>
        </w:rPr>
        <w:t>11</w:t>
      </w:r>
      <w:r>
        <w:rPr>
          <w:rFonts w:eastAsia="楷体"/>
          <w:sz w:val="24"/>
        </w:rPr>
        <w:fldChar w:fldCharType="end"/>
      </w:r>
      <w:r>
        <w:rPr>
          <w:rFonts w:ascii="Times New Roman" w:hAnsi="Times New Roman" w:eastAsia="楷体" w:cs="Times New Roman"/>
          <w:bCs/>
          <w:color w:val="000000" w:themeColor="text1"/>
          <w:sz w:val="24"/>
          <w:highlight w:val="cyan"/>
          <w:lang w:val="zh-CN"/>
          <w14:textFill>
            <w14:solidFill>
              <w14:schemeClr w14:val="tx1"/>
            </w14:solidFill>
          </w14:textFill>
        </w:rPr>
        <w:fldChar w:fldCharType="end"/>
      </w:r>
    </w:p>
    <w:p w14:paraId="0B01F548">
      <w:pPr>
        <w:spacing w:line="360" w:lineRule="auto"/>
        <w:rPr>
          <w:rFonts w:ascii="Times New Roman" w:hAnsi="Times New Roman" w:eastAsia="仿宋" w:cs="Times New Roman"/>
          <w:color w:val="000000" w:themeColor="text1"/>
          <w:highlight w:val="cyan"/>
          <w14:textFill>
            <w14:solidFill>
              <w14:schemeClr w14:val="tx1"/>
            </w14:solidFill>
          </w14:textFill>
        </w:rPr>
        <w:sectPr>
          <w:headerReference r:id="rId8" w:type="first"/>
          <w:headerReference r:id="rId7" w:type="default"/>
          <w:footerReference r:id="rId9" w:type="default"/>
          <w:pgSz w:w="11906" w:h="16838"/>
          <w:pgMar w:top="1440" w:right="1800" w:bottom="1440" w:left="1800" w:header="851" w:footer="992" w:gutter="0"/>
          <w:pgNumType w:start="1"/>
          <w:cols w:space="720" w:num="1"/>
          <w:docGrid w:type="lines" w:linePitch="326" w:charSpace="0"/>
        </w:sectPr>
      </w:pPr>
      <w:r>
        <w:rPr>
          <w:rFonts w:ascii="Times New Roman" w:hAnsi="Times New Roman" w:eastAsia="仿宋" w:cs="Times New Roman"/>
          <w:bCs/>
          <w:color w:val="000000" w:themeColor="text1"/>
          <w:highlight w:val="cyan"/>
          <w:lang w:val="zh-CN"/>
          <w14:textFill>
            <w14:solidFill>
              <w14:schemeClr w14:val="tx1"/>
            </w14:solidFill>
          </w14:textFill>
        </w:rPr>
        <w:fldChar w:fldCharType="end"/>
      </w:r>
    </w:p>
    <w:p w14:paraId="193A9AD0">
      <w:pPr>
        <w:pStyle w:val="2"/>
        <w:rPr>
          <w:rFonts w:hint="default" w:eastAsia="宋体"/>
          <w:lang w:val="en-US" w:eastAsia="zh-CN"/>
        </w:rPr>
      </w:pPr>
      <w:bookmarkStart w:id="3" w:name="_【本期精彩导读】"/>
      <w:bookmarkEnd w:id="3"/>
      <w:bookmarkStart w:id="4" w:name="_Toc2219"/>
      <w:r>
        <w:rPr>
          <w:rFonts w:hint="eastAsia"/>
          <w:lang w:val="en-US" w:eastAsia="zh-CN"/>
        </w:rPr>
        <w:t>一</w:t>
      </w:r>
      <w:r>
        <w:rPr>
          <w:rFonts w:hint="eastAsia"/>
        </w:rPr>
        <w:t>、</w:t>
      </w:r>
      <w:r>
        <w:rPr>
          <w:rFonts w:hint="eastAsia"/>
          <w:lang w:val="en-US" w:eastAsia="zh-CN"/>
        </w:rPr>
        <w:t>政策环境</w:t>
      </w:r>
      <w:bookmarkEnd w:id="4"/>
    </w:p>
    <w:p w14:paraId="22F94556">
      <w:pPr>
        <w:pStyle w:val="4"/>
        <w:spacing w:after="0" w:line="360" w:lineRule="auto"/>
        <w:rPr>
          <w:rFonts w:hint="eastAsia" w:ascii="Times New Roman" w:hAnsi="Times New Roman" w:eastAsia="楷体_GB2312" w:cs="Times New Roman"/>
          <w:color w:val="0563C1"/>
          <w:sz w:val="24"/>
          <w:szCs w:val="32"/>
          <w:u w:val="single"/>
          <w:lang w:val="en-US" w:eastAsia="zh-CN"/>
        </w:rPr>
      </w:pPr>
      <w:bookmarkStart w:id="5" w:name="_Toc9060"/>
      <w:r>
        <w:rPr>
          <w:rFonts w:hint="eastAsia" w:ascii="Times New Roman" w:hAnsi="Times New Roman" w:eastAsia="楷体_GB2312" w:cs="Times New Roman"/>
          <w:color w:val="0563C1"/>
          <w:sz w:val="24"/>
          <w:szCs w:val="32"/>
          <w:u w:val="single"/>
          <w:lang w:val="en-US" w:eastAsia="zh-CN"/>
        </w:rPr>
        <w:fldChar w:fldCharType="begin"/>
      </w:r>
      <w:r>
        <w:rPr>
          <w:rFonts w:hint="eastAsia" w:ascii="Times New Roman" w:hAnsi="Times New Roman" w:eastAsia="楷体_GB2312" w:cs="Times New Roman"/>
          <w:color w:val="0563C1"/>
          <w:sz w:val="24"/>
          <w:szCs w:val="32"/>
          <w:u w:val="single"/>
          <w:lang w:val="en-US" w:eastAsia="zh-CN"/>
        </w:rPr>
        <w:instrText xml:space="preserve"> HYPERLINK "https://www.news.cn/tech/20250704/501875e9333f465397045880fd387f4c/c.html" </w:instrText>
      </w:r>
      <w:r>
        <w:rPr>
          <w:rFonts w:hint="eastAsia" w:ascii="Times New Roman" w:hAnsi="Times New Roman" w:eastAsia="楷体_GB2312" w:cs="Times New Roman"/>
          <w:color w:val="0563C1"/>
          <w:sz w:val="24"/>
          <w:szCs w:val="32"/>
          <w:u w:val="single"/>
          <w:lang w:val="en-US" w:eastAsia="zh-CN"/>
        </w:rPr>
        <w:fldChar w:fldCharType="separate"/>
      </w:r>
      <w:r>
        <w:rPr>
          <w:rFonts w:hint="eastAsia" w:ascii="Times New Roman" w:hAnsi="Times New Roman" w:eastAsia="楷体_GB2312" w:cs="Times New Roman"/>
          <w:color w:val="0563C1"/>
          <w:sz w:val="24"/>
          <w:szCs w:val="32"/>
          <w:u w:val="single"/>
          <w:lang w:val="en-US" w:eastAsia="zh-CN"/>
        </w:rPr>
        <w:t>【国内政策法规】工信部印发《2025年护航新型工业化网络安全专项行动方案》</w:t>
      </w:r>
      <w:r>
        <w:rPr>
          <w:rFonts w:hint="eastAsia" w:ascii="Times New Roman" w:hAnsi="Times New Roman" w:eastAsia="楷体_GB2312" w:cs="Times New Roman"/>
          <w:color w:val="0563C1"/>
          <w:sz w:val="24"/>
          <w:szCs w:val="32"/>
          <w:u w:val="single"/>
          <w:lang w:val="en-US" w:eastAsia="zh-CN"/>
        </w:rPr>
        <w:fldChar w:fldCharType="end"/>
      </w:r>
      <w:bookmarkEnd w:id="5"/>
    </w:p>
    <w:p w14:paraId="2B84C179">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为深入学习贯彻习近平总书记关于新型工业化的重要论述，全面贯彻落实中央经济工作会议精神和全国新型工业化推进大会部署，扎实推进2025年护航新型工业化网络安全专项行动，7月2日，工业和信息化部印发《2025年护航新型工业化网络安全专项行动方案》，聚焦突出重点管理、做优服务模式，以推动重点企业、重要系统、关键产品防护能力升级为核心，提出3方面、8项重点任务，推动提高工业领域网络安全保障水平，着力支撑制造业高质量发展，为实现“十五五”良好开局奠定坚实基础。</w:t>
      </w:r>
    </w:p>
    <w:p w14:paraId="2E2FABE9">
      <w:pPr>
        <w:numPr>
          <w:ilvl w:val="0"/>
          <w:numId w:val="0"/>
        </w:numPr>
        <w:spacing w:line="360" w:lineRule="auto"/>
        <w:ind w:firstLine="482" w:firstLineChars="200"/>
        <w:jc w:val="both"/>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bCs/>
          <w:color w:val="000000" w:themeColor="text1"/>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lang w:val="en-US" w:eastAsia="zh-CN"/>
          <w14:textFill>
            <w14:solidFill>
              <w14:schemeClr w14:val="tx1"/>
            </w14:solidFill>
          </w14:textFill>
        </w:rPr>
        <w:t>此次专项行动凸显了网络安全在新型工业化中的核心地位，通过政策牵引、标准落地和服务创新，系统性破解工业数字化转型中的安全短板，支撑制造业高质量发展，为“十五五”良好开局奠定坚实基础。运营商需深化产业链支撑角色：一方面协助企业识别和消除网络风险，提升重点产业链安全防护水平，另一方面牵头生态共建，推动安全技术赋能工业场景，实现从单点防御到生态协同的跃升。</w:t>
      </w:r>
    </w:p>
    <w:p w14:paraId="39D1DFF6">
      <w:pPr>
        <w:pStyle w:val="4"/>
        <w:spacing w:after="0" w:line="360" w:lineRule="auto"/>
        <w:rPr>
          <w:rStyle w:val="31"/>
          <w:rFonts w:hint="eastAsia" w:ascii="Times New Roman" w:hAnsi="Times New Roman" w:eastAsia="楷体_GB2312" w:cs="Times New Roman"/>
          <w:b/>
          <w:bCs/>
          <w:lang w:val="en-US" w:eastAsia="zh-CN"/>
        </w:rPr>
      </w:pPr>
      <w:bookmarkStart w:id="6" w:name="_Toc29890"/>
      <w:r>
        <w:rPr>
          <w:rStyle w:val="31"/>
          <w:rFonts w:hint="eastAsia" w:ascii="Times New Roman" w:hAnsi="Times New Roman" w:eastAsia="楷体_GB2312" w:cs="Times New Roman"/>
          <w:b/>
          <w:bCs/>
          <w:lang w:val="en-US" w:eastAsia="zh-CN"/>
        </w:rPr>
        <w:fldChar w:fldCharType="begin"/>
      </w:r>
      <w:r>
        <w:rPr>
          <w:rStyle w:val="31"/>
          <w:rFonts w:hint="eastAsia" w:ascii="Times New Roman" w:hAnsi="Times New Roman" w:eastAsia="楷体_GB2312" w:cs="Times New Roman"/>
          <w:b/>
          <w:bCs/>
          <w:lang w:val="en-US" w:eastAsia="zh-CN"/>
        </w:rPr>
        <w:instrText xml:space="preserve"> HYPERLINK "https://www.secrss.com/articles/80535" </w:instrText>
      </w:r>
      <w:r>
        <w:rPr>
          <w:rStyle w:val="31"/>
          <w:rFonts w:hint="eastAsia" w:ascii="Times New Roman" w:hAnsi="Times New Roman" w:eastAsia="楷体_GB2312" w:cs="Times New Roman"/>
          <w:b/>
          <w:bCs/>
          <w:lang w:val="en-US" w:eastAsia="zh-CN"/>
        </w:rPr>
        <w:fldChar w:fldCharType="separate"/>
      </w:r>
      <w:r>
        <w:rPr>
          <w:rStyle w:val="31"/>
          <w:rFonts w:hint="eastAsia" w:ascii="Times New Roman" w:hAnsi="Times New Roman" w:eastAsia="楷体_GB2312" w:cs="Times New Roman"/>
          <w:b/>
          <w:bCs/>
          <w:lang w:val="en-US" w:eastAsia="zh-CN"/>
        </w:rPr>
        <w:t>【国内政策法规】《网络安全技术信息安全管理体系要求》等3项网络安全国家标准获批发布</w:t>
      </w:r>
      <w:r>
        <w:rPr>
          <w:rStyle w:val="31"/>
          <w:rFonts w:hint="eastAsia" w:ascii="Times New Roman" w:hAnsi="Times New Roman" w:eastAsia="楷体_GB2312" w:cs="Times New Roman"/>
          <w:b/>
          <w:bCs/>
          <w:lang w:val="en-US" w:eastAsia="zh-CN"/>
        </w:rPr>
        <w:fldChar w:fldCharType="end"/>
      </w:r>
      <w:bookmarkEnd w:id="6"/>
    </w:p>
    <w:p w14:paraId="3A8D2CA4">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4日，国家市场监督管理总局、国家标准化管理委员会发布的2025年第14号《中华人民共和国国家标准公告》，由全国网络安全标准化技术委员会归口的3项国家标准正式发布。本次三项网络安全标准包括《网络安全技术-信息系统灾难恢复规范》、《网络安全技术-信息安全管理体系要求》、《网络安全技术-数字水印技术实现指南》，以上标准将于2026年1月1日起正式实施。</w:t>
      </w:r>
    </w:p>
    <w:p w14:paraId="0ABA2F7D">
      <w:pPr>
        <w:numPr>
          <w:ilvl w:val="0"/>
          <w:numId w:val="0"/>
        </w:numPr>
        <w:spacing w:line="360" w:lineRule="auto"/>
        <w:ind w:firstLine="482" w:firstLineChars="200"/>
        <w:jc w:val="both"/>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bCs/>
          <w:color w:val="000000" w:themeColor="text1"/>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lang w:val="en-US" w:eastAsia="zh-CN"/>
          <w14:textFill>
            <w14:solidFill>
              <w14:schemeClr w14:val="tx1"/>
            </w14:solidFill>
          </w14:textFill>
        </w:rPr>
        <w:t>网络安全技术标准的推新，能动态应对威胁，保障关键基础设施，推动技术协同与产业升级，助力法律法规落地，全面提升我国网络安全防护水平，有力保障国家、企业和个人信息安全。运营商作为关键信息基础设施运营主体，需立即对标新国标要求，完善自身信息安全管理体系，构建智能化安全防护与自动化响应机制，并强化数据跨境与用户隐私保护，提升网络安全防护的科学性与有效性。</w:t>
      </w:r>
    </w:p>
    <w:p w14:paraId="1FDD739A">
      <w:pPr>
        <w:pStyle w:val="4"/>
        <w:spacing w:after="0" w:line="360" w:lineRule="auto"/>
        <w:rPr>
          <w:rStyle w:val="31"/>
          <w:rFonts w:hint="eastAsia" w:ascii="Times New Roman" w:hAnsi="Times New Roman" w:eastAsia="楷体_GB2312" w:cs="Times New Roman"/>
          <w:b/>
          <w:bCs/>
          <w:lang w:val="en-US" w:eastAsia="zh-CN"/>
        </w:rPr>
      </w:pPr>
      <w:bookmarkStart w:id="7" w:name="_Toc26105"/>
      <w:r>
        <w:rPr>
          <w:rFonts w:hint="eastAsia" w:ascii="Times New Roman" w:hAnsi="Times New Roman" w:eastAsia="楷体_GB2312" w:cs="Times New Roman"/>
          <w:b/>
          <w:bCs/>
          <w:color w:val="0563C1"/>
          <w:u w:val="single"/>
          <w:lang w:val="en-US" w:eastAsia="zh-CN"/>
        </w:rPr>
        <w:fldChar w:fldCharType="begin"/>
      </w:r>
      <w:r>
        <w:rPr>
          <w:rFonts w:hint="eastAsia" w:ascii="Times New Roman" w:hAnsi="Times New Roman" w:eastAsia="楷体_GB2312" w:cs="Times New Roman"/>
          <w:b/>
          <w:bCs/>
          <w:color w:val="0563C1"/>
          <w:u w:val="single"/>
          <w:lang w:val="en-US" w:eastAsia="zh-CN"/>
        </w:rPr>
        <w:instrText xml:space="preserve"> HYPERLINK "https://www.secrss.com/articles/81283" </w:instrText>
      </w:r>
      <w:r>
        <w:rPr>
          <w:rFonts w:hint="eastAsia" w:ascii="Times New Roman" w:hAnsi="Times New Roman" w:eastAsia="楷体_GB2312" w:cs="Times New Roman"/>
          <w:b/>
          <w:bCs/>
          <w:color w:val="0563C1"/>
          <w:u w:val="single"/>
          <w:lang w:val="en-US" w:eastAsia="zh-CN"/>
        </w:rPr>
        <w:fldChar w:fldCharType="separate"/>
      </w:r>
      <w:r>
        <w:rPr>
          <w:rStyle w:val="30"/>
          <w:rFonts w:hint="eastAsia" w:ascii="Times New Roman" w:hAnsi="Times New Roman" w:eastAsia="楷体_GB2312" w:cs="Times New Roman"/>
          <w:b/>
          <w:bCs/>
          <w:lang w:val="en-US" w:eastAsia="zh-CN"/>
        </w:rPr>
        <w:t>【国内政策法规】工业和信息化领域人工智能安全治理标准体系发布</w:t>
      </w:r>
      <w:r>
        <w:rPr>
          <w:rFonts w:hint="eastAsia" w:ascii="Times New Roman" w:hAnsi="Times New Roman" w:eastAsia="楷体_GB2312" w:cs="Times New Roman"/>
          <w:b/>
          <w:bCs/>
          <w:color w:val="0563C1"/>
          <w:u w:val="single"/>
          <w:lang w:val="en-US" w:eastAsia="zh-CN"/>
        </w:rPr>
        <w:fldChar w:fldCharType="end"/>
      </w:r>
      <w:bookmarkEnd w:id="7"/>
    </w:p>
    <w:p w14:paraId="6D085A7C">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highlight w:val="none"/>
          <w:lang w:val="en-US" w:eastAsia="zh-CN"/>
          <w14:textFill>
            <w14:solidFill>
              <w14:schemeClr w14:val="tx1"/>
            </w14:solidFill>
          </w14:textFill>
        </w:rPr>
      </w:pPr>
      <w:r>
        <w:rPr>
          <w:rFonts w:hint="eastAsia" w:ascii="Times New Roman" w:hAnsi="Times New Roman" w:eastAsia="楷体" w:cs="Times New Roman"/>
          <w:b w:val="0"/>
          <w:bCs w:val="0"/>
          <w:color w:val="000000" w:themeColor="text1"/>
          <w:highlight w:val="none"/>
          <w:lang w:val="en-US" w:eastAsia="zh-CN"/>
          <w14:textFill>
            <w14:solidFill>
              <w14:schemeClr w14:val="tx1"/>
            </w14:solidFill>
          </w14:textFill>
        </w:rPr>
        <w:t>7月17日，在工业和信息化部人工智能标准化技术委员会第一次成员大会上，正式发布《工业和信息化领域人工智能安全治理标准体系建设指南（2025版）》。旨在构建人工智能安全治理体系，推动产业高质量发展。标准体系涵盖治理能力、基础安全、网络安全、数据安全等7大领域，设立阶段性目标，未来将加大重点领域标准研制力度，推进国际标准协调，强化产业主体作用，加速培育安全可靠的人工智能产业生态。</w:t>
      </w:r>
    </w:p>
    <w:p w14:paraId="754AAA80">
      <w:pPr>
        <w:numPr>
          <w:ilvl w:val="0"/>
          <w:numId w:val="0"/>
        </w:numPr>
        <w:spacing w:line="360" w:lineRule="auto"/>
        <w:ind w:firstLine="482" w:firstLineChars="200"/>
        <w:jc w:val="both"/>
        <w:rPr>
          <w:rFonts w:hint="default" w:ascii="Times New Roman" w:hAnsi="Times New Roman" w:eastAsia="楷体" w:cs="Times New Roman"/>
          <w:b w:val="0"/>
          <w:bCs w:val="0"/>
          <w:color w:val="000000" w:themeColor="text1"/>
          <w:highlight w:val="none"/>
          <w:lang w:val="en-US" w:eastAsia="zh-CN"/>
          <w14:textFill>
            <w14:solidFill>
              <w14:schemeClr w14:val="tx1"/>
            </w14:solidFill>
          </w14:textFill>
        </w:rPr>
      </w:pPr>
      <w:r>
        <w:rPr>
          <w:rFonts w:hint="eastAsia" w:ascii="Times New Roman" w:hAnsi="Times New Roman" w:eastAsia="楷体" w:cs="Times New Roman"/>
          <w:b/>
          <w:bCs/>
          <w:color w:val="000000" w:themeColor="text1"/>
          <w:highlight w:val="none"/>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highlight w:val="none"/>
          <w:lang w:val="en-US" w:eastAsia="zh-CN"/>
          <w14:textFill>
            <w14:solidFill>
              <w14:schemeClr w14:val="tx1"/>
            </w14:solidFill>
          </w14:textFill>
        </w:rPr>
        <w:t>该标准的发布，标志着我国AI安全治理进入系统化、标准化新阶段。通过构建</w:t>
      </w:r>
      <w:r>
        <w:rPr>
          <w:rFonts w:hint="default" w:ascii="Times New Roman" w:hAnsi="Times New Roman" w:eastAsia="楷体" w:cs="Times New Roman"/>
          <w:b w:val="0"/>
          <w:bCs w:val="0"/>
          <w:color w:val="000000" w:themeColor="text1"/>
          <w:highlight w:val="none"/>
          <w:lang w:val="en-US" w:eastAsia="zh-CN"/>
          <w14:textFill>
            <w14:solidFill>
              <w14:schemeClr w14:val="tx1"/>
            </w14:solidFill>
          </w14:textFill>
        </w:rPr>
        <w:t>安全治理体系，解决此前标准“点状化、分散性”问题，为产业提供全生命周期安全规范</w:t>
      </w:r>
      <w:r>
        <w:rPr>
          <w:rFonts w:hint="eastAsia" w:ascii="Times New Roman" w:hAnsi="Times New Roman" w:eastAsia="楷体" w:cs="Times New Roman"/>
          <w:b w:val="0"/>
          <w:bCs w:val="0"/>
          <w:color w:val="000000" w:themeColor="text1"/>
          <w:highlight w:val="none"/>
          <w:lang w:val="en-US" w:eastAsia="zh-CN"/>
          <w14:textFill>
            <w14:solidFill>
              <w14:schemeClr w14:val="tx1"/>
            </w14:solidFill>
          </w14:textFill>
        </w:rPr>
        <w:t>。该指南以短期急用先行（1-2年）、长期全面保障（3-5年）为路径，为运营商提供明确的合规指引，助力其在AI赋能浪潮中兼顾创新与安全壁垒。</w:t>
      </w:r>
    </w:p>
    <w:p w14:paraId="00D7A392">
      <w:pPr>
        <w:pStyle w:val="4"/>
        <w:spacing w:after="0" w:line="360" w:lineRule="auto"/>
        <w:rPr>
          <w:rFonts w:hint="eastAsia" w:ascii="Times New Roman" w:hAnsi="Times New Roman" w:eastAsia="楷体" w:cs="Times New Roman"/>
          <w:bCs w:val="0"/>
          <w:color w:val="000000" w:themeColor="text1"/>
          <w:szCs w:val="24"/>
          <w:lang w:val="en-US" w:eastAsia="zh-CN"/>
          <w14:textFill>
            <w14:solidFill>
              <w14:schemeClr w14:val="tx1"/>
            </w14:solidFill>
          </w14:textFill>
        </w:rPr>
      </w:pPr>
      <w:bookmarkStart w:id="8" w:name="_Toc17549"/>
      <w:r>
        <w:rPr>
          <w:rFonts w:hint="eastAsia" w:ascii="Times New Roman" w:hAnsi="Times New Roman" w:eastAsia="楷体" w:cs="Times New Roman"/>
          <w:bCs w:val="0"/>
          <w:color w:val="000000" w:themeColor="text1"/>
          <w:szCs w:val="24"/>
          <w:lang w:val="en-US" w:eastAsia="zh-CN"/>
          <w14:textFill>
            <w14:solidFill>
              <w14:schemeClr w14:val="tx1"/>
            </w14:solidFill>
          </w14:textFill>
        </w:rPr>
        <w:fldChar w:fldCharType="begin"/>
      </w:r>
      <w:r>
        <w:rPr>
          <w:rFonts w:hint="eastAsia" w:ascii="Times New Roman" w:hAnsi="Times New Roman" w:eastAsia="楷体" w:cs="Times New Roman"/>
          <w:bCs w:val="0"/>
          <w:color w:val="000000" w:themeColor="text1"/>
          <w:szCs w:val="24"/>
          <w:lang w:val="en-US" w:eastAsia="zh-CN"/>
          <w14:textFill>
            <w14:solidFill>
              <w14:schemeClr w14:val="tx1"/>
            </w14:solidFill>
          </w14:textFill>
        </w:rPr>
        <w:instrText xml:space="preserve"> HYPERLINK "https://mp.weixin.qq.com/s/95jlOrjJF5n4N3bKyfxCjQ" </w:instrText>
      </w:r>
      <w:r>
        <w:rPr>
          <w:rFonts w:hint="eastAsia" w:ascii="Times New Roman" w:hAnsi="Times New Roman" w:eastAsia="楷体" w:cs="Times New Roman"/>
          <w:bCs w:val="0"/>
          <w:color w:val="000000" w:themeColor="text1"/>
          <w:szCs w:val="24"/>
          <w:lang w:val="en-US" w:eastAsia="zh-CN"/>
          <w14:textFill>
            <w14:solidFill>
              <w14:schemeClr w14:val="tx1"/>
            </w14:solidFill>
          </w14:textFill>
        </w:rPr>
        <w:fldChar w:fldCharType="separate"/>
      </w:r>
      <w:r>
        <w:rPr>
          <w:rStyle w:val="31"/>
          <w:rFonts w:hint="eastAsia" w:ascii="Times New Roman" w:hAnsi="Times New Roman" w:eastAsia="楷体" w:cs="Times New Roman"/>
          <w:bCs w:val="0"/>
          <w:szCs w:val="24"/>
          <w:lang w:val="en-US" w:eastAsia="zh-CN"/>
        </w:rPr>
        <w:t>【国外重大动向】美国《大而美法案》将向美军网络攻防项目提供大量拨款</w:t>
      </w:r>
      <w:r>
        <w:rPr>
          <w:rFonts w:hint="eastAsia" w:ascii="Times New Roman" w:hAnsi="Times New Roman" w:eastAsia="楷体" w:cs="Times New Roman"/>
          <w:bCs w:val="0"/>
          <w:color w:val="000000" w:themeColor="text1"/>
          <w:szCs w:val="24"/>
          <w:lang w:val="en-US" w:eastAsia="zh-CN"/>
          <w14:textFill>
            <w14:solidFill>
              <w14:schemeClr w14:val="tx1"/>
            </w14:solidFill>
          </w14:textFill>
        </w:rPr>
        <w:fldChar w:fldCharType="end"/>
      </w:r>
      <w:bookmarkEnd w:id="8"/>
    </w:p>
    <w:p w14:paraId="2322A938">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美国“大而美法案”及国防部2026财年预算文件显示，美国网络司令部将获得2.5亿美元专项拨款，用于开发人工智能网络作战能力。法案要求建立核心数据标准并投资基础设施，支持漏洞利用、威胁检测等5类AI应用。国家网络任务部队（CNMF）将主导试点，重点减少人工工作量并提升任务效率，标志着美军加速推进AI在实战化网络攻防中的深度整合。</w:t>
      </w:r>
    </w:p>
    <w:p w14:paraId="4EA6781A">
      <w:pPr>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default" w:ascii="楷体" w:hAnsi="楷体" w:eastAsia="楷体" w:cs="楷体"/>
          <w:b w:val="0"/>
          <w:bCs w:val="0"/>
          <w:color w:val="000000" w:themeColor="text1"/>
          <w:lang w:val="en-US" w:eastAsia="zh-CN"/>
          <w14:textFill>
            <w14:solidFill>
              <w14:schemeClr w14:val="tx1"/>
            </w14:solidFill>
          </w14:textFill>
        </w:rPr>
      </w:pPr>
      <w:r>
        <w:rPr>
          <w:rFonts w:hint="eastAsia" w:ascii="楷体" w:hAnsi="楷体" w:eastAsia="楷体" w:cs="楷体"/>
          <w:b/>
          <w:bCs/>
          <w:color w:val="000000" w:themeColor="text1"/>
          <w:lang w:val="en-US" w:eastAsia="zh-CN"/>
          <w14:textFill>
            <w14:solidFill>
              <w14:schemeClr w14:val="tx1"/>
            </w14:solidFill>
          </w14:textFill>
        </w:rPr>
        <w:t>点评：</w:t>
      </w:r>
      <w:r>
        <w:rPr>
          <w:rFonts w:hint="eastAsia" w:ascii="楷体" w:hAnsi="楷体" w:eastAsia="楷体" w:cs="楷体"/>
          <w:b w:val="0"/>
          <w:bCs w:val="0"/>
          <w:color w:val="000000" w:themeColor="text1"/>
          <w:lang w:val="en-US" w:eastAsia="zh-CN"/>
          <w14:textFill>
            <w14:solidFill>
              <w14:schemeClr w14:val="tx1"/>
            </w14:solidFill>
          </w14:textFill>
        </w:rPr>
        <w:t>美国《大而美法案》向美军网络攻防项目投入巨额资金，旨在通过快速技术迭代强化网络攻防能力，巩固其数字霸权。该政策凸显美国将网络安全视为国家战略支柱，意图通过技术优势维持军事主导地位。中国需警惕其网络作战体系与AI技术的实战化应用，加强自主创新与防御体系建设。</w:t>
      </w:r>
    </w:p>
    <w:p w14:paraId="4959C060">
      <w:pPr>
        <w:pStyle w:val="4"/>
        <w:spacing w:after="0" w:line="360" w:lineRule="auto"/>
        <w:rPr>
          <w:rStyle w:val="31"/>
          <w:rFonts w:hint="eastAsia" w:ascii="Times New Roman" w:hAnsi="Times New Roman" w:eastAsia="楷体_GB2312" w:cs="Times New Roman"/>
          <w:lang w:val="en-US" w:eastAsia="zh-CN"/>
        </w:rPr>
      </w:pPr>
      <w:bookmarkStart w:id="9" w:name="_Toc11162"/>
      <w:r>
        <w:rPr>
          <w:rFonts w:hint="eastAsia" w:ascii="Times New Roman" w:hAnsi="Times New Roman" w:eastAsia="楷体_GB2312" w:cs="Times New Roman"/>
          <w:color w:val="0563C1"/>
          <w:u w:val="single"/>
          <w:lang w:val="en-US" w:eastAsia="zh-CN"/>
        </w:rPr>
        <w:fldChar w:fldCharType="begin"/>
      </w:r>
      <w:r>
        <w:rPr>
          <w:rFonts w:hint="eastAsia" w:ascii="Times New Roman" w:hAnsi="Times New Roman" w:eastAsia="楷体_GB2312" w:cs="Times New Roman"/>
          <w:color w:val="0563C1"/>
          <w:u w:val="single"/>
          <w:lang w:val="en-US" w:eastAsia="zh-CN"/>
        </w:rPr>
        <w:instrText xml:space="preserve"> HYPERLINK "https://mp.weixin.qq.com/s/gqhYTgCE9z2mpwqAeYrydQ" </w:instrText>
      </w:r>
      <w:r>
        <w:rPr>
          <w:rFonts w:hint="eastAsia" w:ascii="Times New Roman" w:hAnsi="Times New Roman" w:eastAsia="楷体_GB2312" w:cs="Times New Roman"/>
          <w:color w:val="0563C1"/>
          <w:u w:val="single"/>
          <w:lang w:val="en-US" w:eastAsia="zh-CN"/>
        </w:rPr>
        <w:fldChar w:fldCharType="separate"/>
      </w:r>
      <w:r>
        <w:rPr>
          <w:rStyle w:val="31"/>
          <w:rFonts w:hint="eastAsia" w:ascii="Times New Roman" w:hAnsi="Times New Roman" w:eastAsia="楷体_GB2312" w:cs="Times New Roman"/>
          <w:lang w:val="en-US" w:eastAsia="zh-CN"/>
        </w:rPr>
        <w:t>【国外重大动向】日本内阁官房成立国家网络安全办公室</w:t>
      </w:r>
      <w:r>
        <w:rPr>
          <w:rFonts w:hint="eastAsia" w:ascii="Times New Roman" w:hAnsi="Times New Roman" w:eastAsia="楷体_GB2312" w:cs="Times New Roman"/>
          <w:color w:val="0563C1"/>
          <w:u w:val="single"/>
          <w:lang w:val="en-US" w:eastAsia="zh-CN"/>
        </w:rPr>
        <w:fldChar w:fldCharType="end"/>
      </w:r>
      <w:bookmarkEnd w:id="9"/>
    </w:p>
    <w:p w14:paraId="61D84B39">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日本内阁官房于2025年7月1日成立国家网络安全办公室（亦称"国家网络统括室"），由原内阁网络安全中心（NISC）改组而成，设"内阁网络官"统管。其核心职能是实施《增强网络应对能力强化法》确立的"主动网络防御"策略，允许政府监控关键基础设施运营商通信，并在批准后授权警察厅和自卫队直接访问攻击源服务器进行处置，旨在提升日本网络防御能力至"与欧美相当水平"。</w:t>
      </w:r>
    </w:p>
    <w:p w14:paraId="3F748FC1">
      <w:pPr>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楷体" w:hAnsi="楷体" w:eastAsia="楷体" w:cs="楷体"/>
          <w:b/>
          <w:bCs/>
          <w:color w:val="000000" w:themeColor="text1"/>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lang w:val="en-US" w:eastAsia="zh-CN"/>
          <w14:textFill>
            <w14:solidFill>
              <w14:schemeClr w14:val="tx1"/>
            </w14:solidFill>
          </w14:textFill>
        </w:rPr>
        <w:t>日本通过机构升级和法律授权强化网络攻防能力，国家网络安全办公室被定位为网络安全"司令塔"，加强跨境网络行动能力，可能加剧亚太网络空间博弈。其“能动性防御”扩大网络行动权限，可能联合美澳等盟友强化对华网络围堵，加剧地区网络冲突风险。中国需警惕其"主动防御"衍生的跨境行动风险及盟友联动带来的技术政治化风险，同时强化自身防御与国际规则话语权建设。</w:t>
      </w:r>
    </w:p>
    <w:p w14:paraId="5D1D24CA">
      <w:pPr>
        <w:pStyle w:val="4"/>
        <w:spacing w:after="0" w:line="360" w:lineRule="auto"/>
        <w:rPr>
          <w:rStyle w:val="31"/>
          <w:rFonts w:hint="eastAsia" w:ascii="Times New Roman" w:hAnsi="Times New Roman" w:eastAsia="楷体_GB2312" w:cs="Times New Roman"/>
          <w:lang w:val="en-US" w:eastAsia="zh-CN"/>
        </w:rPr>
      </w:pPr>
      <w:bookmarkStart w:id="10" w:name="_Toc25030"/>
      <w:r>
        <w:rPr>
          <w:rFonts w:hint="eastAsia" w:ascii="Times New Roman" w:hAnsi="Times New Roman" w:eastAsia="楷体_GB2312" w:cs="Times New Roman"/>
          <w:color w:val="0563C1"/>
          <w:u w:val="single"/>
          <w:lang w:val="en-US" w:eastAsia="zh-CN"/>
        </w:rPr>
        <w:fldChar w:fldCharType="begin"/>
      </w:r>
      <w:r>
        <w:rPr>
          <w:rFonts w:hint="eastAsia" w:ascii="Times New Roman" w:hAnsi="Times New Roman" w:eastAsia="楷体_GB2312" w:cs="Times New Roman"/>
          <w:color w:val="0563C1"/>
          <w:u w:val="single"/>
          <w:lang w:val="en-US" w:eastAsia="zh-CN"/>
        </w:rPr>
        <w:instrText xml:space="preserve"> HYPERLINK "https://www.secrss.com/articles/81220" </w:instrText>
      </w:r>
      <w:r>
        <w:rPr>
          <w:rFonts w:hint="eastAsia" w:ascii="Times New Roman" w:hAnsi="Times New Roman" w:eastAsia="楷体_GB2312" w:cs="Times New Roman"/>
          <w:color w:val="0563C1"/>
          <w:u w:val="single"/>
          <w:lang w:val="en-US" w:eastAsia="zh-CN"/>
        </w:rPr>
        <w:fldChar w:fldCharType="separate"/>
      </w:r>
      <w:r>
        <w:rPr>
          <w:rStyle w:val="30"/>
          <w:rFonts w:hint="eastAsia" w:ascii="Times New Roman" w:hAnsi="Times New Roman" w:eastAsia="楷体_GB2312" w:cs="Times New Roman"/>
          <w:lang w:val="en-US" w:eastAsia="zh-CN"/>
        </w:rPr>
        <w:t>【国外重大动向】特朗普政府发布《人工智能行动计划》推动关键基础设施网络防御</w:t>
      </w:r>
      <w:r>
        <w:rPr>
          <w:rFonts w:hint="eastAsia" w:ascii="Times New Roman" w:hAnsi="Times New Roman" w:eastAsia="楷体_GB2312" w:cs="Times New Roman"/>
          <w:color w:val="0563C1"/>
          <w:u w:val="single"/>
          <w:lang w:val="en-US" w:eastAsia="zh-CN"/>
        </w:rPr>
        <w:fldChar w:fldCharType="end"/>
      </w:r>
      <w:bookmarkEnd w:id="10"/>
    </w:p>
    <w:p w14:paraId="29C4445F">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7月23日</w:t>
      </w:r>
      <w:r>
        <w:rPr>
          <w:rFonts w:hint="default" w:ascii="Times New Roman" w:hAnsi="Times New Roman" w:eastAsia="楷体" w:cs="Times New Roman"/>
          <w:b w:val="0"/>
          <w:bCs w:val="0"/>
          <w:color w:val="000000" w:themeColor="text1"/>
          <w:lang w:val="en-US" w:eastAsia="zh-CN"/>
          <w14:textFill>
            <w14:solidFill>
              <w14:schemeClr w14:val="tx1"/>
            </w14:solidFill>
          </w14:textFill>
        </w:rPr>
        <w:t>，特朗普政府发布《美国人工智能行动计划》，以加速创新、建设基础设施和引领外交三大支柱为核心，强调放松政府监管，鼓励开放模型与开源生态，推动AI在政府和产业间广泛部署，旨在确立美国在全球AI竞争中的主导地位。其中，网络安全被提升至国家战略层面，提出在关键基础设施中部署AI防御工具、推动“安全设计”原则成为行业标准、 建设AI信息共享与分析中心（AI-ISAC）、强化联邦事件响应机制等系列措施，提升AI系统的抗攻击能力，并减少系统操纵或泄露敏感数据的风险。</w:t>
      </w:r>
    </w:p>
    <w:p w14:paraId="032D9018">
      <w:pPr>
        <w:keepNext w:val="0"/>
        <w:keepLines w:val="0"/>
        <w:pageBreakBefore w:val="0"/>
        <w:widowControl/>
        <w:kinsoku/>
        <w:wordWrap/>
        <w:overflowPunct/>
        <w:topLinePunct w:val="0"/>
        <w:autoSpaceDE/>
        <w:autoSpaceDN/>
        <w:bidi w:val="0"/>
        <w:adjustRightInd/>
        <w:snapToGrid/>
        <w:spacing w:line="360" w:lineRule="auto"/>
        <w:ind w:firstLine="482" w:firstLineChars="200"/>
        <w:textAlignment w:val="auto"/>
        <w:rPr>
          <w:rFonts w:hint="eastAsia" w:ascii="楷体" w:hAnsi="楷体" w:eastAsia="楷体" w:cs="楷体"/>
          <w:b w:val="0"/>
          <w:bCs w:val="0"/>
          <w:color w:val="000000" w:themeColor="text1"/>
          <w:highlight w:val="none"/>
          <w:lang w:val="en-US" w:eastAsia="zh-CN"/>
          <w14:textFill>
            <w14:solidFill>
              <w14:schemeClr w14:val="tx1"/>
            </w14:solidFill>
          </w14:textFill>
        </w:rPr>
      </w:pPr>
      <w:r>
        <w:rPr>
          <w:rFonts w:hint="eastAsia" w:ascii="楷体" w:hAnsi="楷体" w:eastAsia="楷体" w:cs="楷体"/>
          <w:b/>
          <w:bCs/>
          <w:color w:val="000000" w:themeColor="text1"/>
          <w:lang w:val="en-US" w:eastAsia="zh-CN"/>
          <w14:textFill>
            <w14:solidFill>
              <w14:schemeClr w14:val="tx1"/>
            </w14:solidFill>
          </w14:textFill>
        </w:rPr>
        <w:t>点评：</w:t>
      </w:r>
      <w:r>
        <w:rPr>
          <w:rFonts w:hint="eastAsia" w:ascii="楷体" w:hAnsi="楷体" w:eastAsia="楷体" w:cs="楷体"/>
          <w:b w:val="0"/>
          <w:bCs w:val="0"/>
          <w:color w:val="000000" w:themeColor="text1"/>
          <w:highlight w:val="none"/>
          <w:lang w:val="en-US" w:eastAsia="zh-CN"/>
          <w14:textFill>
            <w14:solidFill>
              <w14:schemeClr w14:val="tx1"/>
            </w14:solidFill>
          </w14:textFill>
        </w:rPr>
        <w:t>该计划的发布旨在通过放松监管、加速基建及推动技术出口，巩固美国在AI领域的全球领导地位，同时明确将中国视为战略竞争对手，计划收紧对华AI芯片出口并试图削弱中国在国际治理中的影响力。对中国而言，该计划将加剧中美技术竞争：一方面，出口管制可能短期制约中国AI发展，倒逼自主创新；另一方面，美国以“防御前置”策略渗透他国关键设施，可能威胁中国网络主权。中国需警惕其借网络安全之名行遏制之实，强化关键信息基础设施防护，并深化技术自主与国际合作以应对挑战。</w:t>
      </w:r>
    </w:p>
    <w:p w14:paraId="4AA1670B">
      <w:pPr>
        <w:pStyle w:val="2"/>
        <w:rPr>
          <w:rFonts w:ascii="Times New Roman" w:hAnsi="Times New Roman" w:eastAsia="楷体" w:cs="Times New Roman"/>
          <w:color w:val="000000" w:themeColor="text1"/>
          <w14:textFill>
            <w14:solidFill>
              <w14:schemeClr w14:val="tx1"/>
            </w14:solidFill>
          </w14:textFill>
        </w:rPr>
      </w:pPr>
      <w:bookmarkStart w:id="11" w:name="_Toc25141"/>
      <w:r>
        <w:rPr>
          <w:rFonts w:hint="eastAsia"/>
          <w:lang w:val="en-US" w:eastAsia="zh-CN"/>
        </w:rPr>
        <w:t>二</w:t>
      </w:r>
      <w:r>
        <w:rPr>
          <w:rFonts w:hint="eastAsia"/>
        </w:rPr>
        <w:t>、</w:t>
      </w:r>
      <w:r>
        <w:rPr>
          <w:rFonts w:hint="eastAsia"/>
          <w:lang w:val="en-US" w:eastAsia="zh-CN"/>
        </w:rPr>
        <w:t>行业动态</w:t>
      </w:r>
      <w:bookmarkEnd w:id="11"/>
    </w:p>
    <w:p w14:paraId="6F32BF2D">
      <w:pPr>
        <w:pStyle w:val="4"/>
        <w:spacing w:after="0" w:line="360" w:lineRule="auto"/>
        <w:rPr>
          <w:rStyle w:val="31"/>
          <w:rFonts w:hint="eastAsia" w:ascii="Times New Roman" w:hAnsi="Times New Roman" w:eastAsia="楷体" w:cs="Times New Roman"/>
          <w:bCs w:val="0"/>
          <w:szCs w:val="24"/>
          <w:lang w:val="en-US" w:eastAsia="zh-CN"/>
        </w:rPr>
      </w:pPr>
      <w:bookmarkStart w:id="12" w:name="_Toc2370"/>
      <w:r>
        <w:rPr>
          <w:rFonts w:hint="eastAsia" w:ascii="Times New Roman" w:hAnsi="Times New Roman" w:eastAsia="楷体_GB2312" w:cs="Times New Roman"/>
          <w:color w:val="0563C1"/>
          <w:u w:val="single"/>
          <w:lang w:val="en-US" w:eastAsia="zh-CN"/>
        </w:rPr>
        <w:fldChar w:fldCharType="begin"/>
      </w:r>
      <w:r>
        <w:rPr>
          <w:rFonts w:hint="eastAsia" w:ascii="Times New Roman" w:hAnsi="Times New Roman" w:eastAsia="楷体_GB2312" w:cs="Times New Roman"/>
          <w:color w:val="0563C1"/>
          <w:u w:val="single"/>
          <w:lang w:val="en-US" w:eastAsia="zh-CN"/>
        </w:rPr>
        <w:instrText xml:space="preserve"> HYPERLINK "https://mp.weixin.qq.com/s/ns0Zo11PFfoLsnR0dezfcw" </w:instrText>
      </w:r>
      <w:r>
        <w:rPr>
          <w:rFonts w:hint="eastAsia" w:ascii="Times New Roman" w:hAnsi="Times New Roman" w:eastAsia="楷体_GB2312" w:cs="Times New Roman"/>
          <w:color w:val="0563C1"/>
          <w:u w:val="single"/>
          <w:lang w:val="en-US" w:eastAsia="zh-CN"/>
        </w:rPr>
        <w:fldChar w:fldCharType="separate"/>
      </w:r>
      <w:r>
        <w:rPr>
          <w:rStyle w:val="31"/>
          <w:rFonts w:hint="eastAsia" w:ascii="Times New Roman" w:hAnsi="Times New Roman" w:eastAsia="楷体_GB2312" w:cs="Times New Roman"/>
          <w:lang w:val="en-US" w:eastAsia="zh-CN"/>
        </w:rPr>
        <w:t>【技术创新】</w:t>
      </w:r>
      <w:r>
        <w:rPr>
          <w:rStyle w:val="31"/>
          <w:rFonts w:hint="eastAsia" w:ascii="Times New Roman" w:hAnsi="Times New Roman" w:cs="Times New Roman"/>
          <w:bCs w:val="0"/>
          <w:szCs w:val="24"/>
          <w:lang w:val="en-US" w:eastAsia="zh-CN"/>
        </w:rPr>
        <w:t>国内首张芯片级后量子密码卡问世</w:t>
      </w:r>
      <w:bookmarkEnd w:id="12"/>
    </w:p>
    <w:p w14:paraId="24AE43C1">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_GB2312" w:cs="Times New Roman"/>
          <w:color w:val="0563C1"/>
          <w:u w:val="single"/>
          <w:lang w:val="en-US" w:eastAsia="zh-CN"/>
        </w:rPr>
        <w:fldChar w:fldCharType="end"/>
      </w:r>
      <w:r>
        <w:rPr>
          <w:rFonts w:hint="eastAsia" w:ascii="Times New Roman" w:hAnsi="Times New Roman" w:eastAsia="楷体" w:cs="Times New Roman"/>
          <w:b w:val="0"/>
          <w:bCs w:val="0"/>
          <w:color w:val="000000" w:themeColor="text1"/>
          <w:lang w:val="en-US" w:eastAsia="zh-CN"/>
          <w14:textFill>
            <w14:solidFill>
              <w14:schemeClr w14:val="tx1"/>
            </w14:solidFill>
          </w14:textFill>
        </w:rPr>
        <w:t>近日，安徽问天量子科技股份有限公司联合华中科技大学团队成功研发国内首张芯片级后量子密码卡。该卡创新采用后量子密码SoC芯片与量子随机数芯片架构，支持多种后量子算法，兼容传统国密算法，实现签名、加解密等安全功能。这标志着我国在量子安全技术的工程化应用取得突破性进展，为后量子密码迁移奠定基础。</w:t>
      </w:r>
    </w:p>
    <w:p w14:paraId="6591DCB8">
      <w:pPr>
        <w:spacing w:line="360" w:lineRule="auto"/>
        <w:ind w:firstLine="482" w:firstLineChars="200"/>
        <w:jc w:val="both"/>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bCs/>
          <w:color w:val="000000" w:themeColor="text1"/>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lang w:val="en-US" w:eastAsia="zh-CN"/>
          <w14:textFill>
            <w14:solidFill>
              <w14:schemeClr w14:val="tx1"/>
            </w14:solidFill>
          </w14:textFill>
        </w:rPr>
        <w:t>后量子密码卡的问世为应对未来量子计算机对现有加密体系的威胁提供了国产化、芯片级的高性能解决方案，是保障国家信息安全基础设施长远安全的基石性进展，正式开启了后量子密码迁移的实践进程。</w:t>
      </w:r>
      <w:r>
        <w:rPr>
          <w:rFonts w:hint="eastAsia" w:ascii="Times New Roman" w:hAnsi="Times New Roman" w:eastAsia="楷体" w:cs="Times New Roman"/>
          <w:b w:val="0"/>
          <w:bCs w:val="0"/>
          <w:color w:val="000000" w:themeColor="text1"/>
          <w14:textFill>
            <w14:solidFill>
              <w14:schemeClr w14:val="tx1"/>
            </w14:solidFill>
          </w14:textFill>
        </w:rPr>
        <w:t>中国电信等运营商应加大在后量子密码技术方面的研发投入，部署标准化量子安全算法，联合产业伙伴制定兼容传统与后量子密码的平滑迁移方案；并加强专业团队建设</w:t>
      </w:r>
      <w:r>
        <w:rPr>
          <w:rFonts w:hint="eastAsia" w:ascii="Times New Roman" w:hAnsi="Times New Roman" w:eastAsia="楷体" w:cs="Times New Roman"/>
          <w:b w:val="0"/>
          <w:bCs w:val="0"/>
          <w:color w:val="000000" w:themeColor="text1"/>
          <w:lang w:eastAsia="zh-CN"/>
          <w14:textFill>
            <w14:solidFill>
              <w14:schemeClr w14:val="tx1"/>
            </w14:solidFill>
          </w14:textFill>
        </w:rPr>
        <w:t>，为即将到来的大规模密码体系换代做好技术储备与标准对接</w:t>
      </w:r>
      <w:r>
        <w:rPr>
          <w:rFonts w:hint="eastAsia" w:ascii="Times New Roman" w:hAnsi="Times New Roman" w:eastAsia="楷体" w:cs="Times New Roman"/>
          <w:b w:val="0"/>
          <w:bCs w:val="0"/>
          <w:color w:val="000000" w:themeColor="text1"/>
          <w14:textFill>
            <w14:solidFill>
              <w14:schemeClr w14:val="tx1"/>
            </w14:solidFill>
          </w14:textFill>
        </w:rPr>
        <w:t>。</w:t>
      </w:r>
    </w:p>
    <w:p w14:paraId="49502D2A">
      <w:pPr>
        <w:pStyle w:val="4"/>
        <w:spacing w:after="0" w:line="360" w:lineRule="auto"/>
        <w:rPr>
          <w:rStyle w:val="31"/>
          <w:rFonts w:hint="eastAsia" w:ascii="Times New Roman" w:hAnsi="Times New Roman" w:eastAsia="楷体" w:cs="Times New Roman"/>
          <w:bCs w:val="0"/>
          <w:szCs w:val="24"/>
          <w:lang w:val="en-US" w:eastAsia="zh-CN"/>
        </w:rPr>
      </w:pPr>
      <w:bookmarkStart w:id="13" w:name="_Toc10112"/>
      <w:r>
        <w:rPr>
          <w:rFonts w:hint="eastAsia" w:ascii="Times New Roman" w:hAnsi="Times New Roman" w:eastAsia="楷体_GB2312" w:cs="Times New Roman"/>
          <w:color w:val="0563C1"/>
          <w:u w:val="single"/>
          <w:lang w:val="en-US" w:eastAsia="zh-CN"/>
        </w:rPr>
        <w:fldChar w:fldCharType="begin"/>
      </w:r>
      <w:r>
        <w:rPr>
          <w:rFonts w:hint="eastAsia" w:ascii="Times New Roman" w:hAnsi="Times New Roman" w:eastAsia="楷体_GB2312" w:cs="Times New Roman"/>
          <w:color w:val="0563C1"/>
          <w:u w:val="single"/>
          <w:lang w:val="en-US" w:eastAsia="zh-CN"/>
        </w:rPr>
        <w:instrText xml:space="preserve"> HYPERLINK "https://mp.weixin.qq.com/s/gdJRDwU7JKw3ee8g7WwMPA" </w:instrText>
      </w:r>
      <w:r>
        <w:rPr>
          <w:rFonts w:hint="eastAsia" w:ascii="Times New Roman" w:hAnsi="Times New Roman" w:eastAsia="楷体_GB2312" w:cs="Times New Roman"/>
          <w:color w:val="0563C1"/>
          <w:u w:val="single"/>
          <w:lang w:val="en-US" w:eastAsia="zh-CN"/>
        </w:rPr>
        <w:fldChar w:fldCharType="separate"/>
      </w:r>
      <w:r>
        <w:rPr>
          <w:rStyle w:val="31"/>
          <w:rFonts w:hint="eastAsia" w:ascii="Times New Roman" w:hAnsi="Times New Roman" w:eastAsia="楷体_GB2312" w:cs="Times New Roman"/>
          <w:lang w:val="en-US" w:eastAsia="zh-CN"/>
        </w:rPr>
        <w:t>【技术创新】</w:t>
      </w:r>
      <w:r>
        <w:rPr>
          <w:rStyle w:val="31"/>
          <w:rFonts w:hint="eastAsia" w:ascii="Times New Roman" w:hAnsi="Times New Roman" w:cs="Times New Roman"/>
          <w:bCs w:val="0"/>
          <w:szCs w:val="24"/>
          <w:lang w:val="en-US" w:eastAsia="zh-CN"/>
        </w:rPr>
        <w:t>全球首个AI智能体安全测试标准发布，蚂蚁集团、清华大学、中国电信等联合编制</w:t>
      </w:r>
      <w:bookmarkEnd w:id="13"/>
    </w:p>
    <w:p w14:paraId="509DEE83">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_GB2312" w:cs="Times New Roman"/>
          <w:color w:val="0563C1"/>
          <w:u w:val="single"/>
          <w:lang w:val="en-US" w:eastAsia="zh-CN"/>
        </w:rPr>
        <w:fldChar w:fldCharType="end"/>
      </w:r>
      <w:r>
        <w:rPr>
          <w:rFonts w:hint="eastAsia" w:ascii="Times New Roman" w:hAnsi="Times New Roman" w:eastAsia="楷体" w:cs="Times New Roman"/>
          <w:b w:val="0"/>
          <w:bCs w:val="0"/>
          <w:color w:val="000000" w:themeColor="text1"/>
          <w:lang w:val="en-US" w:eastAsia="zh-CN"/>
          <w14:textFill>
            <w14:solidFill>
              <w14:schemeClr w14:val="tx1"/>
            </w14:solidFill>
          </w14:textFill>
        </w:rPr>
        <w:t>7月14日，世界数字科学院（WDTA）在联合国正式发布AISTR系列新标准《AI智能体运行安全测试标准》，标准由蚂蚁集团、清华大学、中国电信牵头，联合普华永道、新加坡南洋理工大学、美国华盛顿大学等二十余家国内外机构、企业及高校共同编制，为全球首个单智能体运行安全测试标准。该标准针对智能体跨越“语言墙”所带来的“行为”风险，构建了全链路风险分析框架；同时细分了智能体风险类型，弥补了智能体安全测试技术标准的空白。</w:t>
      </w:r>
    </w:p>
    <w:p w14:paraId="654CC031">
      <w:pPr>
        <w:spacing w:line="360" w:lineRule="auto"/>
        <w:ind w:firstLine="482" w:firstLineChars="200"/>
        <w:jc w:val="both"/>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bCs/>
          <w:color w:val="000000" w:themeColor="text1"/>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lang w:val="en-US" w:eastAsia="zh-CN"/>
          <w14:textFill>
            <w14:solidFill>
              <w14:schemeClr w14:val="tx1"/>
            </w14:solidFill>
          </w14:textFill>
        </w:rPr>
        <w:t>该标准不仅为智能体安全确立了切实可行的基准，也为全球AI智能体生态的安全、可信与长远发展贡献了宝贵经验。制定单智能体标准是构建AI治理体系的“基石”，而多智能体治理则是未来“大厦”的关键支柱，行业下一步应致力于从单点突破转向共建多智能体治理生态。中国电信等运营商需继续深度参与相关标准的制定工作，护航AI技术在安全可控的轨道上发展，增强我国在全球AI治理领域的影响力与话语权。</w:t>
      </w:r>
    </w:p>
    <w:p w14:paraId="013F115E">
      <w:pPr>
        <w:pStyle w:val="4"/>
        <w:spacing w:after="0" w:line="360" w:lineRule="auto"/>
        <w:rPr>
          <w:rFonts w:hint="eastAsia" w:ascii="Times New Roman" w:hAnsi="Times New Roman" w:cs="Times New Roman"/>
          <w:bCs w:val="0"/>
          <w:color w:val="000000" w:themeColor="text1"/>
          <w:szCs w:val="24"/>
          <w:lang w:val="en-US" w:eastAsia="zh-CN"/>
          <w14:textFill>
            <w14:solidFill>
              <w14:schemeClr w14:val="tx1"/>
            </w14:solidFill>
          </w14:textFill>
        </w:rPr>
      </w:pPr>
      <w:bookmarkStart w:id="14" w:name="_Toc11588"/>
      <w:r>
        <w:rPr>
          <w:rFonts w:hint="eastAsia" w:ascii="Times New Roman" w:hAnsi="Times New Roman" w:cs="Times New Roman"/>
          <w:bCs w:val="0"/>
          <w:color w:val="000000" w:themeColor="text1"/>
          <w:szCs w:val="24"/>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lang w:val="en-US" w:eastAsia="zh-CN"/>
          <w14:textFill>
            <w14:solidFill>
              <w14:schemeClr w14:val="tx1"/>
            </w14:solidFill>
          </w14:textFill>
        </w:rPr>
        <w:instrText xml:space="preserve"> HYPERLINK "https://mp.weixin.qq.com/s/xba5XaHDRSTZO-3PWQ2K1w" </w:instrText>
      </w:r>
      <w:r>
        <w:rPr>
          <w:rFonts w:hint="eastAsia" w:ascii="Times New Roman" w:hAnsi="Times New Roman" w:cs="Times New Roman"/>
          <w:bCs w:val="0"/>
          <w:color w:val="000000" w:themeColor="text1"/>
          <w:szCs w:val="24"/>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【企业发展】SK将投入超36亿元加强数据安全建设</w:t>
      </w:r>
      <w:r>
        <w:rPr>
          <w:rFonts w:hint="eastAsia" w:ascii="Times New Roman" w:hAnsi="Times New Roman" w:cs="Times New Roman"/>
          <w:bCs w:val="0"/>
          <w:color w:val="000000" w:themeColor="text1"/>
          <w:szCs w:val="24"/>
          <w:lang w:val="en-US" w:eastAsia="zh-CN"/>
          <w14:textFill>
            <w14:solidFill>
              <w14:schemeClr w14:val="tx1"/>
            </w14:solidFill>
          </w14:textFill>
        </w:rPr>
        <w:fldChar w:fldCharType="end"/>
      </w:r>
      <w:bookmarkEnd w:id="14"/>
    </w:p>
    <w:p w14:paraId="175512B5">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8日消息，因2024年网络攻击导致2696万用户USIM卡数据泄露，SK被政府处以3000万韩元（约15.75万元人民币）罚款，并责令加强安全措施。为弥补用户损失，SK公司将投入7000亿韩元（约36.75亿元人民币）用于五年期数据安全升级。SK电讯已启动2300万用户免费换卡计划，截至6月底完成939万张USIM卡更换，并向用户提供8月通信费五折补偿。</w:t>
      </w:r>
    </w:p>
    <w:p w14:paraId="178D6776">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2" w:firstLineChars="200"/>
        <w:jc w:val="both"/>
        <w:textAlignment w:val="auto"/>
        <w:rPr>
          <w:rFonts w:hint="default"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bCs/>
          <w:color w:val="000000" w:themeColor="text1"/>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lang w:val="en-US" w:eastAsia="zh-CN"/>
          <w14:textFill>
            <w14:solidFill>
              <w14:schemeClr w14:val="tx1"/>
            </w14:solidFill>
          </w14:textFill>
        </w:rPr>
        <w:t>此次事件暴露了SK加密系统老旧、开发环境未隔离、数据传输未加密等基础安全漏洞。SK的USIM泄露案例并非个例，全球78%运营商仍使用老旧SIM管理系统，易成攻击目标，全球运营商需以SK为鉴，在用户数据保护、网络安全等方面持续加强投入，针对SIM卡更换等高风险操作增设多重认证，完善应急机制，将安全防线从被动补救转向主动构建。</w:t>
      </w:r>
    </w:p>
    <w:p w14:paraId="5B2D6F4F">
      <w:pPr>
        <w:pStyle w:val="4"/>
        <w:spacing w:after="0" w:line="360" w:lineRule="auto"/>
        <w:rPr>
          <w:rFonts w:hint="eastAsia" w:ascii="Times New Roman" w:hAnsi="Times New Roman" w:cs="Times New Roman"/>
          <w:bCs w:val="0"/>
          <w:color w:val="000000" w:themeColor="text1"/>
          <w:szCs w:val="24"/>
          <w:u w:val="none"/>
          <w:lang w:val="en-US" w:eastAsia="zh-CN"/>
        </w:rPr>
      </w:pPr>
      <w:bookmarkStart w:id="15" w:name="_Toc27254"/>
      <w:r>
        <w:rPr>
          <w:rFonts w:hint="eastAsia" w:ascii="Times New Roman" w:hAnsi="Times New Roman" w:cs="Times New Roman"/>
          <w:bCs w:val="0"/>
          <w:color w:val="000000" w:themeColor="text1"/>
          <w:szCs w:val="24"/>
          <w:u w:val="none"/>
          <w:lang w:val="en-US" w:eastAsia="zh-CN"/>
        </w:rPr>
        <w:fldChar w:fldCharType="begin"/>
      </w:r>
      <w:r>
        <w:rPr>
          <w:rFonts w:hint="eastAsia" w:ascii="Times New Roman" w:hAnsi="Times New Roman" w:cs="Times New Roman"/>
          <w:bCs w:val="0"/>
          <w:color w:val="000000" w:themeColor="text1"/>
          <w:szCs w:val="24"/>
          <w:u w:val="none"/>
          <w:lang w:val="en-US" w:eastAsia="zh-CN"/>
        </w:rPr>
        <w:instrText xml:space="preserve"> HYPERLINK "https://thehackernews.com/2025/07/google-launches-oss-rebuild-to-expose.html" </w:instrText>
      </w:r>
      <w:r>
        <w:rPr>
          <w:rFonts w:hint="eastAsia" w:ascii="Times New Roman" w:hAnsi="Times New Roman" w:cs="Times New Roman"/>
          <w:bCs w:val="0"/>
          <w:color w:val="000000" w:themeColor="text1"/>
          <w:szCs w:val="24"/>
          <w:u w:val="none"/>
          <w:lang w:val="en-US" w:eastAsia="zh-CN"/>
        </w:rPr>
        <w:fldChar w:fldCharType="separate"/>
      </w:r>
      <w:r>
        <w:rPr>
          <w:rStyle w:val="30"/>
          <w:rFonts w:hint="eastAsia" w:ascii="Times New Roman" w:hAnsi="Times New Roman" w:cs="Times New Roman"/>
          <w:bCs w:val="0"/>
          <w:szCs w:val="24"/>
          <w:lang w:val="en-US" w:eastAsia="zh-CN"/>
        </w:rPr>
        <w:t>【企业发展】谷歌公司拟推出OSS Rebuild计划，增强开源软件包生态系统安全性</w:t>
      </w:r>
      <w:r>
        <w:rPr>
          <w:rFonts w:hint="eastAsia" w:ascii="Times New Roman" w:hAnsi="Times New Roman" w:cs="Times New Roman"/>
          <w:bCs w:val="0"/>
          <w:color w:val="000000" w:themeColor="text1"/>
          <w:szCs w:val="24"/>
          <w:u w:val="none"/>
          <w:lang w:val="en-US" w:eastAsia="zh-CN"/>
        </w:rPr>
        <w:fldChar w:fldCharType="end"/>
      </w:r>
      <w:bookmarkEnd w:id="15"/>
    </w:p>
    <w:p w14:paraId="7715DFB7">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在软件供应链攻击频发的当下，谷歌宣布推出OSS Rebuild 计划，旨在强化开源包生态系统的安全性，有效抵御供应链攻击。OSS Rebuild能够协助检测多种供应链泄露情况，包括发布的软件包中含有公共源代码存储库不存在的代码，以及软件包中嵌入异常执行路径或可疑操作。除了保障软件供应链安全，该解决方案还能完善软件物料清单（SBOM），加快漏洞响应速度，增强软件包信任度等。</w:t>
      </w:r>
    </w:p>
    <w:p w14:paraId="178A00A1">
      <w:pPr>
        <w:spacing w:line="360" w:lineRule="auto"/>
        <w:ind w:firstLine="482" w:firstLineChars="200"/>
        <w:jc w:val="both"/>
        <w:rPr>
          <w:rFonts w:hint="eastAsia" w:ascii="Times New Roman" w:hAnsi="Times New Roman" w:eastAsia="楷体" w:cs="Times New Roman"/>
          <w:b w:val="0"/>
          <w:bCs w:val="0"/>
          <w:color w:val="000000" w:themeColor="text1"/>
          <w:highlight w:val="none"/>
          <w:lang w:val="en-US" w:eastAsia="zh-CN"/>
          <w14:textFill>
            <w14:solidFill>
              <w14:schemeClr w14:val="tx1"/>
            </w14:solidFill>
          </w14:textFill>
        </w:rPr>
      </w:pPr>
      <w:r>
        <w:rPr>
          <w:rFonts w:hint="eastAsia" w:ascii="Times New Roman" w:hAnsi="Times New Roman" w:eastAsia="楷体" w:cs="Times New Roman"/>
          <w:b/>
          <w:bCs/>
          <w:color w:val="000000" w:themeColor="text1"/>
          <w:highlight w:val="none"/>
          <w:lang w:val="en-US" w:eastAsia="zh-CN"/>
          <w14:textFill>
            <w14:solidFill>
              <w14:schemeClr w14:val="tx1"/>
            </w14:solidFill>
          </w14:textFill>
        </w:rPr>
        <w:t>点评：</w:t>
      </w:r>
      <w:r>
        <w:rPr>
          <w:rFonts w:hint="eastAsia" w:ascii="Times New Roman" w:hAnsi="Times New Roman" w:eastAsia="楷体" w:cs="Times New Roman"/>
          <w:b w:val="0"/>
          <w:bCs w:val="0"/>
          <w:color w:val="000000" w:themeColor="text1"/>
          <w:highlight w:val="none"/>
          <w:lang w:val="en-US" w:eastAsia="zh-CN"/>
          <w14:textFill>
            <w14:solidFill>
              <w14:schemeClr w14:val="tx1"/>
            </w14:solidFill>
          </w14:textFill>
        </w:rPr>
        <w:t>谷歌OSS Rebuild计划是应对软件供应链安全危机的关键举措，它从源头阻断常见攻击方式，并完善SBOM、加速漏洞响应和提升包可信度，为整个开源生态构建了可验证的安全基线。该计划为软件供应链提供了"从构建到分发"的可信基础，但运营商需将其与自身安全框架结合，才能系统性抵御供应链攻击。</w:t>
      </w:r>
    </w:p>
    <w:p w14:paraId="05126E6E">
      <w:pPr>
        <w:pStyle w:val="2"/>
        <w:rPr>
          <w:rFonts w:hint="default" w:ascii="Times New Roman" w:hAnsi="Times New Roman" w:eastAsia="宋体" w:cs="Times New Roman"/>
          <w:b/>
          <w:bCs/>
          <w:color w:val="000000" w:themeColor="text1"/>
          <w:lang w:val="en-US" w:eastAsia="zh-CN"/>
          <w14:textFill>
            <w14:solidFill>
              <w14:schemeClr w14:val="tx1"/>
            </w14:solidFill>
          </w14:textFill>
        </w:rPr>
      </w:pPr>
      <w:bookmarkStart w:id="16" w:name="_Toc14229"/>
      <w:r>
        <w:rPr>
          <w:rFonts w:hint="eastAsia"/>
          <w:lang w:val="en-US" w:eastAsia="zh-CN"/>
        </w:rPr>
        <w:t>三</w:t>
      </w:r>
      <w:r>
        <w:rPr>
          <w:rFonts w:hint="eastAsia"/>
        </w:rPr>
        <w:t>、</w:t>
      </w:r>
      <w:r>
        <w:rPr>
          <w:rFonts w:hint="eastAsia"/>
          <w:lang w:val="en-US" w:eastAsia="zh-CN"/>
        </w:rPr>
        <w:t>安全情报</w:t>
      </w:r>
      <w:bookmarkEnd w:id="16"/>
    </w:p>
    <w:p w14:paraId="714B9DF8">
      <w:pPr>
        <w:pStyle w:val="4"/>
        <w:spacing w:after="0" w:line="360" w:lineRule="auto"/>
        <w:rPr>
          <w:rFonts w:hint="eastAsia" w:ascii="Times New Roman" w:hAnsi="Times New Roman" w:cs="Times New Roman"/>
          <w:bCs w:val="0"/>
          <w:color w:val="000000" w:themeColor="text1"/>
          <w:szCs w:val="24"/>
          <w:u w:val="none"/>
          <w:lang w:val="en-US" w:eastAsia="zh-CN"/>
          <w14:textFill>
            <w14:solidFill>
              <w14:schemeClr w14:val="tx1"/>
            </w14:solidFill>
          </w14:textFill>
        </w:rPr>
      </w:pPr>
      <w:bookmarkStart w:id="17" w:name="_Toc12681"/>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"https://www.secrss.com/articles/80819"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【安全事件】麦当劳AI招聘助手暴露了约6400万条应聘者个人数据</w: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17"/>
    </w:p>
    <w:p w14:paraId="39B1F17A">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近日，全球快餐巨头麦当劳因其AI招聘平台McHire的安全漏洞陷入舆论漩涡。据报道，该平台使用默认密码“123456”作为管理员账号凭证，导致两位网络安全研究人员竟在短短30分钟内成功获取权限，访问了存储着6400万求职者敏感信息的“数据仓库”。这一事件不仅暴露了企业在AI系统安全管理上的严重疏漏，更为所有依赖数字化工具的机构敲响警钟：在技术高速发展的当下，数据安全仍是不可逾越的生命线。</w:t>
      </w:r>
    </w:p>
    <w:p w14:paraId="7FFE5F08">
      <w:pPr>
        <w:pStyle w:val="4"/>
        <w:spacing w:after="0" w:line="360" w:lineRule="auto"/>
        <w:rPr>
          <w:rFonts w:hint="eastAsia" w:ascii="Times New Roman" w:hAnsi="Times New Roman" w:cs="Times New Roman"/>
          <w:bCs w:val="0"/>
          <w:color w:val="000000" w:themeColor="text1"/>
          <w:szCs w:val="24"/>
          <w:u w:val="none"/>
          <w:lang w:val="en-US" w:eastAsia="zh-CN"/>
          <w14:textFill>
            <w14:solidFill>
              <w14:schemeClr w14:val="tx1"/>
            </w14:solidFill>
          </w14:textFill>
        </w:rPr>
      </w:pPr>
      <w:bookmarkStart w:id="18" w:name="_Toc4459"/>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"https://mp.weixin.qq.com/s/BClXBChXE-eGAnBi9Jc-5w"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【安全事件】全球IT分销巨头英迈国际遭勒索攻击，重大系统瘫痪导致全球业务宕机</w: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18"/>
    </w:p>
    <w:p w14:paraId="607A4DAA">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color w:val="000000" w:themeColor="text1"/>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7月3日，全球IT分销巨头英迈国际 (Ingram Micro)遭遇重大系统瘫痪，该集团面向欧美亚三大洲的IT运营平台、在线采购系统及官方网站等全面中断。在持续48小时的业务停摆后，官网发布声明确认遭勒索软件攻击，黑客窃取了包括财务、法务、客户及交易的机密文件，并索要赎金。此次攻击导致公司网站下线，客户服务、订单处理和供应链管理都受到影响，部分员工被迫居家办公等待通知。据报道，这是两年内英迈国际第二次遭受重大网络安全事件，再次凸显其作为全球供应链关键节点面临的严峻网络安全挑战。</w:t>
      </w:r>
    </w:p>
    <w:p w14:paraId="2F9B4BE0">
      <w:pPr>
        <w:pStyle w:val="4"/>
        <w:spacing w:after="0" w:line="360" w:lineRule="auto"/>
        <w:rPr>
          <w:rFonts w:hint="eastAsia" w:ascii="Times New Roman" w:hAnsi="Times New Roman" w:cs="Times New Roman"/>
          <w:bCs w:val="0"/>
          <w:color w:val="000000" w:themeColor="text1"/>
          <w:szCs w:val="24"/>
          <w:u w:val="none"/>
          <w:lang w:val="en-US" w:eastAsia="zh-CN"/>
          <w14:textFill>
            <w14:solidFill>
              <w14:schemeClr w14:val="tx1"/>
            </w14:solidFill>
          </w14:textFill>
        </w:rPr>
      </w:pPr>
      <w:bookmarkStart w:id="19" w:name="_Toc29563"/>
      <w:r>
        <w:rPr>
          <w:rFonts w:hint="eastAsia" w:ascii="Times New Roman" w:hAnsi="Times New Roman" w:cs="Times New Roman"/>
          <w:bCs w:val="0"/>
          <w:color w:val="000000" w:themeColor="text1"/>
          <w:szCs w:val="24"/>
          <w:u w:val="none"/>
          <w:lang w:val="en-US" w:eastAsia="zh-CN"/>
        </w:rPr>
        <w:fldChar w:fldCharType="begin"/>
      </w:r>
      <w:r>
        <w:rPr>
          <w:rFonts w:hint="eastAsia" w:ascii="Times New Roman" w:hAnsi="Times New Roman" w:cs="Times New Roman"/>
          <w:bCs w:val="0"/>
          <w:color w:val="000000" w:themeColor="text1"/>
          <w:szCs w:val="24"/>
          <w:u w:val="none"/>
          <w:lang w:val="en-US" w:eastAsia="zh-CN"/>
        </w:rPr>
        <w:instrText xml:space="preserve"> HYPERLINK "https://mp.weixin.qq.com/s/OKx3J06uKh6VJVyF59S87Q" </w:instrText>
      </w:r>
      <w:r>
        <w:rPr>
          <w:rFonts w:hint="eastAsia" w:ascii="Times New Roman" w:hAnsi="Times New Roman" w:cs="Times New Roman"/>
          <w:bCs w:val="0"/>
          <w:color w:val="000000" w:themeColor="text1"/>
          <w:szCs w:val="24"/>
          <w:u w:val="none"/>
          <w:lang w:val="en-US" w:eastAsia="zh-CN"/>
        </w:rPr>
        <w:fldChar w:fldCharType="separate"/>
      </w:r>
      <w:r>
        <w:rPr>
          <w:rStyle w:val="31"/>
          <w:rFonts w:hint="eastAsia" w:ascii="Times New Roman" w:hAnsi="Times New Roman" w:cs="Times New Roman"/>
          <w:bCs w:val="0"/>
          <w:szCs w:val="24"/>
          <w:lang w:val="en-US" w:eastAsia="zh-CN"/>
        </w:rPr>
        <w:t>【安全事件】法国电信巨头Orange遭网络攻击致服务中断</w:t>
      </w:r>
      <w:r>
        <w:rPr>
          <w:rFonts w:hint="eastAsia" w:ascii="Times New Roman" w:hAnsi="Times New Roman" w:cs="Times New Roman"/>
          <w:bCs w:val="0"/>
          <w:color w:val="000000" w:themeColor="text1"/>
          <w:szCs w:val="24"/>
          <w:u w:val="none"/>
          <w:lang w:val="en-US" w:eastAsia="zh-CN"/>
        </w:rPr>
        <w:fldChar w:fldCharType="end"/>
      </w:r>
      <w:bookmarkEnd w:id="19"/>
    </w:p>
    <w:p w14:paraId="42CC14AD">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25日，法国最大电信运营商Orange公司报告一内部系统遭受网络攻击，影响其在欧洲和非洲部分业务运营。此次事件导致法国部分企业客户与消费者服务中断。Orange在其网络安全子公司OrangeCyberdefense的协助下，迅速隔离受影响系统以控制事态扩散，但隔离操作本身造成部分服务平台临时中断。Orange表示正持续开展恢复工作，计划于7月30日逐步恢复主要服务。</w:t>
      </w:r>
    </w:p>
    <w:p w14:paraId="745E6F65">
      <w:pPr>
        <w:pStyle w:val="4"/>
        <w:spacing w:after="0" w:line="360" w:lineRule="auto"/>
        <w:rPr>
          <w:rStyle w:val="31"/>
          <w:rFonts w:hint="eastAsia" w:ascii="Times New Roman" w:hAnsi="Times New Roman" w:cs="Times New Roman"/>
          <w:bCs w:val="0"/>
          <w:szCs w:val="24"/>
          <w:lang w:val="en-US" w:eastAsia="zh-CN"/>
        </w:rPr>
      </w:pPr>
      <w:bookmarkStart w:id="20" w:name="_Toc18264"/>
      <w:r>
        <w:rPr>
          <w:rFonts w:hint="eastAsia" w:ascii="Times New Roman" w:hAnsi="Times New Roman" w:cs="Times New Roman"/>
          <w:bCs w:val="0"/>
          <w:color w:val="000000" w:themeColor="text1"/>
          <w:szCs w:val="24"/>
          <w:u w:val="none"/>
          <w:lang w:val="en-US" w:eastAsia="zh-CN"/>
        </w:rPr>
        <w:fldChar w:fldCharType="begin"/>
      </w:r>
      <w:r>
        <w:rPr>
          <w:rFonts w:hint="eastAsia" w:ascii="Times New Roman" w:hAnsi="Times New Roman" w:cs="Times New Roman"/>
          <w:bCs w:val="0"/>
          <w:color w:val="000000" w:themeColor="text1"/>
          <w:szCs w:val="24"/>
          <w:u w:val="none"/>
          <w:lang w:val="en-US" w:eastAsia="zh-CN"/>
        </w:rPr>
        <w:instrText xml:space="preserve"> HYPERLINK "https://www.secrss.com/articles/81079" </w:instrText>
      </w:r>
      <w:r>
        <w:rPr>
          <w:rFonts w:hint="eastAsia" w:ascii="Times New Roman" w:hAnsi="Times New Roman" w:cs="Times New Roman"/>
          <w:bCs w:val="0"/>
          <w:color w:val="000000" w:themeColor="text1"/>
          <w:szCs w:val="24"/>
          <w:u w:val="none"/>
          <w:lang w:val="en-US" w:eastAsia="zh-CN"/>
        </w:rPr>
        <w:fldChar w:fldCharType="separate"/>
      </w:r>
      <w:r>
        <w:rPr>
          <w:rStyle w:val="31"/>
          <w:rFonts w:hint="eastAsia" w:ascii="Times New Roman" w:hAnsi="Times New Roman" w:cs="Times New Roman"/>
          <w:bCs w:val="0"/>
          <w:szCs w:val="24"/>
          <w:lang w:val="en-US" w:eastAsia="zh-CN"/>
        </w:rPr>
        <w:t>【风险漏洞】APT28首次将大型语言模型集成至恶意软件，实现AI驱动的动态攻击</w:t>
      </w:r>
      <w:bookmarkEnd w:id="20"/>
    </w:p>
    <w:p w14:paraId="799214B7">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cs="Times New Roman"/>
          <w:bCs w:val="0"/>
          <w:color w:val="000000" w:themeColor="text1"/>
          <w:szCs w:val="24"/>
          <w:u w:val="none"/>
          <w:lang w:val="en-US" w:eastAsia="zh-CN"/>
        </w:rPr>
        <w:fldChar w:fldCharType="end"/>
      </w:r>
      <w:r>
        <w:rPr>
          <w:rFonts w:hint="eastAsia" w:ascii="Times New Roman" w:hAnsi="Times New Roman" w:eastAsia="楷体" w:cs="Times New Roman"/>
          <w:b w:val="0"/>
          <w:bCs w:val="0"/>
          <w:color w:val="000000" w:themeColor="text1"/>
          <w:lang w:val="en-US" w:eastAsia="zh-CN"/>
          <w14:textFill>
            <w14:solidFill>
              <w14:schemeClr w14:val="tx1"/>
            </w14:solidFill>
          </w14:textFill>
        </w:rPr>
        <w:t>近日，乌克兰计算机应急响应小组发现首款利用 LLM 生成攻击指令的恶意软件 LameHug，推测其与俄罗斯 APT28组织存在关联。LameHug使用大语言模型(LLM)生成命令，并在受感染的Windows系统上执行。LameHug利用钓鱼攻击方式传播，伪装成政府文件，通过ZIP压缩包将恶意软件隐藏为.pif文件，感染系统后调用大语言模型生成数据窃取命令，收集Word、PDF、txt等类型文件。</w:t>
      </w:r>
    </w:p>
    <w:p w14:paraId="243634BE">
      <w:pPr>
        <w:pStyle w:val="4"/>
        <w:spacing w:after="0" w:line="360" w:lineRule="auto"/>
        <w:rPr>
          <w:rFonts w:hint="eastAsia"/>
          <w:lang w:val="en-US" w:eastAsia="zh-CN"/>
        </w:rPr>
      </w:pPr>
      <w:bookmarkStart w:id="21" w:name="_Toc8198"/>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"https://mp.weixin.qq.com/s/3aJy0HQxq0TBl_T-g8EGAQ"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【风险漏洞】英伟达GPU爆出硬件漏洞，可导致AI大模型“脑瘫”</w: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21"/>
    </w:p>
    <w:p w14:paraId="7B6B94A3">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近日，显卡制造巨头英伟达发布安全公告，警告用户尽快启用系统级纠错码（ECC），以防御一种名为“GPUHammer”的新型RowHammer攻击方式。该攻击由多所大学研究人员首次实证验证，可通过诱发GPU显存中的比特翻转（bit flip）现象，对AI模型等关键数据进行破坏性篡改。该项漏洞标志着曾广泛威胁DRAM和CPU的硬件漏洞正在向GPU扩散，对AI基础设施的构成重大风险。</w:t>
      </w:r>
    </w:p>
    <w:p w14:paraId="13B553E6">
      <w:pPr>
        <w:pStyle w:val="4"/>
        <w:spacing w:after="0" w:line="360" w:lineRule="auto"/>
        <w:rPr>
          <w:rFonts w:hint="eastAsia" w:ascii="Times New Roman" w:hAnsi="Times New Roman" w:cs="Times New Roman"/>
          <w:bCs w:val="0"/>
          <w:color w:val="000000" w:themeColor="text1"/>
          <w:szCs w:val="24"/>
          <w:u w:val="none"/>
          <w:lang w:val="en-US" w:eastAsia="zh-CN"/>
          <w14:textFill>
            <w14:solidFill>
              <w14:schemeClr w14:val="tx1"/>
            </w14:solidFill>
          </w14:textFill>
        </w:rPr>
      </w:pPr>
      <w:bookmarkStart w:id="22" w:name="_Toc4570"/>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"https://mp.weixin.qq.com/s/sAKDukXY5NTbwoRalObAIw"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【风险漏洞】KatzStealer信息窃取恶意软件风险通告</w: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22"/>
    </w:p>
    <w:p w14:paraId="10B65352">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9日消息，工信部网络安全威胁和漏洞信息共享平台监测发现KatzStealer恶意软件持续活跃，可导致敏感信息窃取。KatzStealer是一款采用恶意软件即服务模式的恶意软件，主要通过钓鱼邮件或被篡改的合法软件包进行传播。攻击者通过投递包含混淆JavaScript代码的恶意GZIP压缩包以绕过安全检测，利用系统工具cmstp.exe（系统配置管理器）绕过用户账户控制获取管理员权限，创建计划任务实现持久化驻留，并借助进程镂空技术注入MSBuild.exe进程，伪装成可信应用程序运行。植入成功后，可窃取浏览器密码、会话令牌、CVV码、VPN/邮件凭证、Discord/Telegram令牌及多种加密货币钱包数据，甚至篡改Discord文件实现自动重感染，窃取的数据最终通过伪装成Chrome代理流量的隐蔽通道传输。建议用户立即排查，及时更新防病毒软件。</w:t>
      </w:r>
    </w:p>
    <w:p w14:paraId="03D1DE64">
      <w:pPr>
        <w:pStyle w:val="4"/>
        <w:spacing w:after="0" w:line="360" w:lineRule="auto"/>
        <w:rPr>
          <w:rStyle w:val="31"/>
          <w:rFonts w:hint="default" w:ascii="Times New Roman" w:hAnsi="Times New Roman" w:cs="Times New Roman"/>
          <w:bCs w:val="0"/>
          <w:szCs w:val="24"/>
          <w:lang w:val="en-US" w:eastAsia="zh-CN"/>
        </w:rPr>
      </w:pPr>
      <w:bookmarkStart w:id="23" w:name="_Toc7863"/>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"https://mp.weixin.qq.com/s/BIBebiuU0O9VW8F8Z27X3Q"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【风险漏洞】微软发布多个安全漏洞通报</w:t>
      </w:r>
      <w:bookmarkEnd w:id="23"/>
    </w:p>
    <w:p w14:paraId="6A9ECA4D">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r>
        <w:rPr>
          <w:rFonts w:hint="eastAsia" w:ascii="Times New Roman" w:hAnsi="Times New Roman" w:eastAsia="楷体" w:cs="Times New Roman"/>
          <w:b w:val="0"/>
          <w:bCs w:val="0"/>
          <w:color w:val="000000" w:themeColor="text1"/>
          <w:lang w:val="en-US" w:eastAsia="zh-CN"/>
          <w14:textFill>
            <w14:solidFill>
              <w14:schemeClr w14:val="tx1"/>
            </w14:solidFill>
          </w14:textFill>
        </w:rPr>
        <w:t>近日，微软官方发布了多个安全漏洞的公告，其中微软产品本身漏洞135个，影响到微软产品的其他厂商漏洞10个。微软Microsoft Windows、Microsoft Windows Event Tracing、Microsoft Universal Print Management Service、Microsoft Windows Secure Kernel Mode等多个产品和系统受漏洞影响。目前，微软官方已经发布了漏洞修复补丁，建议用户及时确认是否受到漏洞影响，尽快采取修补措施。</w:t>
      </w:r>
    </w:p>
    <w:p w14:paraId="3C501ACB">
      <w:pPr>
        <w:pStyle w:val="4"/>
        <w:spacing w:after="0" w:line="360" w:lineRule="auto"/>
        <w:rPr>
          <w:rFonts w:hint="eastAsia" w:ascii="Times New Roman" w:hAnsi="Times New Roman" w:cs="Times New Roman"/>
          <w:bCs w:val="0"/>
          <w:color w:val="000000" w:themeColor="text1"/>
          <w:szCs w:val="24"/>
          <w:u w:val="none"/>
          <w:lang w:val="en-US" w:eastAsia="zh-CN"/>
          <w14:textFill>
            <w14:solidFill>
              <w14:schemeClr w14:val="tx1"/>
            </w14:solidFill>
          </w14:textFill>
        </w:rPr>
      </w:pPr>
      <w:bookmarkStart w:id="24" w:name="_Toc3907"/>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"https://mp.weixin.qq.com/s/MrniUKVsVNs7AvMUh2XB_Q"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【风险漏洞】Google Chrome V8存在类型混淆漏洞</w: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24"/>
    </w:p>
    <w:p w14:paraId="6D2B991C">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2025年7月2日，国家信息安全漏洞共享平台（CNVD）收录了Google Chrome V8类型混淆漏洞（CNVD-2025-14800，对应CVE-2025-6554）。攻击者利用该漏洞，可通过诱骗用户访问恶意页面，实现远程代码执行攻击。目前，谷歌公司表示该漏洞已发现在野利用，并发布Chrome新版本。CNVD建议受影响的单位和用户立即升级至最新版本。</w:t>
      </w:r>
    </w:p>
    <w:p w14:paraId="4D533453">
      <w:pPr>
        <w:pStyle w:val="2"/>
        <w:rPr>
          <w:rFonts w:hint="default" w:ascii="Times New Roman" w:hAnsi="Times New Roman" w:eastAsia="宋体" w:cs="Times New Roman"/>
          <w:b/>
          <w:bCs/>
          <w:color w:val="000000" w:themeColor="text1"/>
          <w:lang w:val="en-US" w:eastAsia="zh-CN"/>
          <w14:textFill>
            <w14:solidFill>
              <w14:schemeClr w14:val="tx1"/>
            </w14:solidFill>
          </w14:textFill>
        </w:rPr>
      </w:pPr>
      <w:bookmarkStart w:id="25" w:name="_Toc32167"/>
      <w:r>
        <w:rPr>
          <w:rFonts w:hint="eastAsia"/>
          <w:lang w:val="en-US" w:eastAsia="zh-CN"/>
        </w:rPr>
        <w:t>四</w:t>
      </w:r>
      <w:r>
        <w:rPr>
          <w:rFonts w:hint="eastAsia"/>
        </w:rPr>
        <w:t>、</w:t>
      </w:r>
      <w:r>
        <w:rPr>
          <w:rFonts w:hint="eastAsia"/>
          <w:lang w:val="en-US" w:eastAsia="zh-CN"/>
        </w:rPr>
        <w:t>热点聚焦-WAIC大会</w:t>
      </w:r>
      <w:bookmarkEnd w:id="25"/>
    </w:p>
    <w:p w14:paraId="1F6B0D86">
      <w:pPr>
        <w:pStyle w:val="4"/>
        <w:spacing w:after="0" w:line="360" w:lineRule="auto"/>
        <w:rPr>
          <w:rFonts w:hint="default" w:ascii="Times New Roman" w:hAnsi="Times New Roman" w:cs="Times New Roman"/>
          <w:bCs w:val="0"/>
          <w:color w:val="000000" w:themeColor="text1"/>
          <w:szCs w:val="24"/>
          <w:u w:val="none"/>
          <w:lang w:val="en-US" w:eastAsia="zh-CN"/>
          <w14:textFill>
            <w14:solidFill>
              <w14:schemeClr w14:val="tx1"/>
            </w14:solidFill>
          </w14:textFill>
        </w:rPr>
      </w:pPr>
      <w:bookmarkStart w:id="26" w:name="_Toc8723"/>
      <w:r>
        <w:rPr>
          <w:rFonts w:hint="eastAsia" w:ascii="Times New Roman" w:hAnsi="Times New Roman" w:cs="Times New Roman"/>
          <w:bCs w:val="0"/>
          <w:color w:val="000000" w:themeColor="text1"/>
          <w:szCs w:val="24"/>
          <w:u w:val="none"/>
          <w:lang w:val="en-US" w:eastAsia="zh-CN"/>
        </w:rPr>
        <w:fldChar w:fldCharType="begin"/>
      </w:r>
      <w:r>
        <w:rPr>
          <w:rFonts w:hint="eastAsia" w:ascii="Times New Roman" w:hAnsi="Times New Roman" w:cs="Times New Roman"/>
          <w:bCs w:val="0"/>
          <w:color w:val="000000" w:themeColor="text1"/>
          <w:szCs w:val="24"/>
          <w:u w:val="none"/>
          <w:lang w:val="en-US" w:eastAsia="zh-CN"/>
        </w:rPr>
        <w:instrText xml:space="preserve"> HYPERLINK "https://mp.weixin.qq.com/s/jwtALdsfXLMN_ohfsOF5Dw" </w:instrText>
      </w:r>
      <w:r>
        <w:rPr>
          <w:rFonts w:hint="eastAsia" w:ascii="Times New Roman" w:hAnsi="Times New Roman" w:cs="Times New Roman"/>
          <w:bCs w:val="0"/>
          <w:color w:val="000000" w:themeColor="text1"/>
          <w:szCs w:val="24"/>
          <w:u w:val="none"/>
          <w:lang w:val="en-US" w:eastAsia="zh-CN"/>
        </w:rPr>
        <w:fldChar w:fldCharType="separate"/>
      </w:r>
      <w:r>
        <w:rPr>
          <w:rStyle w:val="31"/>
          <w:rFonts w:hint="eastAsia" w:ascii="Times New Roman" w:hAnsi="Times New Roman" w:cs="Times New Roman"/>
          <w:bCs w:val="0"/>
          <w:szCs w:val="24"/>
          <w:lang w:val="en-US" w:eastAsia="zh-CN"/>
        </w:rPr>
        <w:t>【WAIC】《中国人工智能安全承诺框架》发布</w:t>
      </w:r>
      <w:r>
        <w:rPr>
          <w:rFonts w:hint="eastAsia" w:ascii="Times New Roman" w:hAnsi="Times New Roman" w:cs="Times New Roman"/>
          <w:bCs w:val="0"/>
          <w:color w:val="000000" w:themeColor="text1"/>
          <w:szCs w:val="24"/>
          <w:u w:val="none"/>
          <w:lang w:val="en-US" w:eastAsia="zh-CN"/>
        </w:rPr>
        <w:fldChar w:fldCharType="end"/>
      </w:r>
      <w:bookmarkEnd w:id="26"/>
    </w:p>
    <w:p w14:paraId="099A9713">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26日下午，在2025世界人工智能大会暨人工智能全球治理高级别会议“人工智能发展与安全”全体会议上，中国电子信息产业发展研究院、中国信息通信研究院、清华大学、上海人工智能实验室4家网络成员单位代表网络联合发布《中国人工智能安全承诺框架》。该《框架》在AIIA《人工智能安全承诺》（2024年12月发布）的基础上，新增了加强人工智能安全治理国际合作、防范前沿人工智能安全风险等内容，体现了中国产业界愿与全球各方紧密携手，共促人工智能向善发展的坚定决心和开放态度。</w:t>
      </w:r>
    </w:p>
    <w:p w14:paraId="2AC2D651">
      <w:pPr>
        <w:pStyle w:val="4"/>
        <w:spacing w:after="0" w:line="360" w:lineRule="auto"/>
        <w:rPr>
          <w:rFonts w:hint="default" w:ascii="Times New Roman" w:hAnsi="Times New Roman" w:cs="Times New Roman"/>
          <w:bCs w:val="0"/>
          <w:color w:val="000000" w:themeColor="text1"/>
          <w:szCs w:val="24"/>
          <w:u w:val="none"/>
          <w:lang w:val="en-US" w:eastAsia="zh-CN"/>
          <w14:textFill>
            <w14:solidFill>
              <w14:schemeClr w14:val="tx1"/>
            </w14:solidFill>
          </w14:textFill>
        </w:rPr>
      </w:pPr>
      <w:bookmarkStart w:id="27" w:name="_Toc5879"/>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eastAsia"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"https://mp.weixin.qq.com/s/X6LqvUvglB4_svpkzDBjsw" </w:instrTex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eastAsia" w:ascii="Times New Roman" w:hAnsi="Times New Roman" w:cs="Times New Roman"/>
          <w:bCs w:val="0"/>
          <w:szCs w:val="24"/>
          <w:lang w:val="en-US" w:eastAsia="zh-CN"/>
        </w:rPr>
        <w:t>【WAIC】行业首发《终端智能体安全2025》研究报告</w:t>
      </w:r>
      <w:r>
        <w:rPr>
          <w:rFonts w:hint="eastAsia"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27"/>
    </w:p>
    <w:p w14:paraId="7893203F">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28日，在世界人工智能大会（WAIC）期间由中国信息通信研究院举办的“大模型智塑全球产业新秩序论坛”上，上海人工智能实验室‌、信通院、蚂蚁、IIFAA联盟联合发布《终端智能体安全2025》研究报告，首次系统梳理了智能体（AI Agent）风险分类、如何发现风险、如何防御风险，并覆盖了单智能体设备、多智能体协同，以及AI终端生态的全面挑战，成为终端智能体安全提供风险评估指南。</w:t>
      </w:r>
    </w:p>
    <w:p w14:paraId="44045BFC">
      <w:pPr>
        <w:pStyle w:val="4"/>
        <w:spacing w:after="0" w:line="360" w:lineRule="auto"/>
        <w:rPr>
          <w:rFonts w:hint="default" w:ascii="Times New Roman" w:hAnsi="Times New Roman" w:cs="Times New Roman"/>
          <w:bCs w:val="0"/>
          <w:color w:val="000000" w:themeColor="text1"/>
          <w:szCs w:val="24"/>
          <w:u w:val="none"/>
          <w:lang w:val="en-US" w:eastAsia="zh-CN"/>
          <w14:textFill>
            <w14:solidFill>
              <w14:schemeClr w14:val="tx1"/>
            </w14:solidFill>
          </w14:textFill>
        </w:rPr>
      </w:pPr>
      <w:bookmarkStart w:id="28" w:name="_Toc16127"/>
      <w:r>
        <w:rPr>
          <w:rFonts w:hint="default" w:ascii="Times New Roman" w:hAnsi="Times New Roman" w:cs="Times New Roman"/>
          <w:bCs w:val="0"/>
          <w:color w:val="000000" w:themeColor="text1"/>
          <w:szCs w:val="24"/>
          <w:u w:val="none"/>
          <w:lang w:val="en-US" w:eastAsia="zh-CN"/>
          <w14:textFill>
            <w14:solidFill>
              <w14:schemeClr w14:val="tx1"/>
            </w14:solidFill>
          </w14:textFill>
        </w:rPr>
        <w:fldChar w:fldCharType="begin"/>
      </w:r>
      <w:r>
        <w:rPr>
          <w:rFonts w:hint="default" w:ascii="Times New Roman" w:hAnsi="Times New Roman" w:cs="Times New Roman"/>
          <w:bCs w:val="0"/>
          <w:color w:val="000000" w:themeColor="text1"/>
          <w:szCs w:val="24"/>
          <w:u w:val="none"/>
          <w:lang w:val="en-US" w:eastAsia="zh-CN"/>
          <w14:textFill>
            <w14:solidFill>
              <w14:schemeClr w14:val="tx1"/>
            </w14:solidFill>
          </w14:textFill>
        </w:rPr>
        <w:instrText xml:space="preserve"> HYPERLINK "https://mp.weixin.qq.com/s/JyrGQR1vho0qyV0fFufIUg" </w:instrText>
      </w:r>
      <w:r>
        <w:rPr>
          <w:rFonts w:hint="default" w:ascii="Times New Roman" w:hAnsi="Times New Roman" w:cs="Times New Roman"/>
          <w:bCs w:val="0"/>
          <w:color w:val="000000" w:themeColor="text1"/>
          <w:szCs w:val="24"/>
          <w:u w:val="none"/>
          <w:lang w:val="en-US" w:eastAsia="zh-CN"/>
          <w14:textFill>
            <w14:solidFill>
              <w14:schemeClr w14:val="tx1"/>
            </w14:solidFill>
          </w14:textFill>
        </w:rPr>
        <w:fldChar w:fldCharType="separate"/>
      </w:r>
      <w:r>
        <w:rPr>
          <w:rStyle w:val="31"/>
          <w:rFonts w:hint="default" w:ascii="Times New Roman" w:hAnsi="Times New Roman" w:cs="Times New Roman"/>
          <w:bCs w:val="0"/>
          <w:szCs w:val="24"/>
          <w:lang w:val="en-US" w:eastAsia="zh-CN"/>
        </w:rPr>
        <w:t>【WAIC】《大模型开源安全倡议》于2025 WAIC 大模型智塑全球产业新秩序论坛正式发布！</w:t>
      </w:r>
      <w:r>
        <w:rPr>
          <w:rFonts w:hint="default" w:ascii="Times New Roman" w:hAnsi="Times New Roman" w:cs="Times New Roman"/>
          <w:bCs w:val="0"/>
          <w:color w:val="000000" w:themeColor="text1"/>
          <w:szCs w:val="24"/>
          <w:u w:val="none"/>
          <w:lang w:val="en-US" w:eastAsia="zh-CN"/>
          <w14:textFill>
            <w14:solidFill>
              <w14:schemeClr w14:val="tx1"/>
            </w14:solidFill>
          </w14:textFill>
        </w:rPr>
        <w:fldChar w:fldCharType="end"/>
      </w:r>
      <w:bookmarkEnd w:id="28"/>
    </w:p>
    <w:p w14:paraId="2524CDA1">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jc w:val="both"/>
        <w:textAlignment w:val="auto"/>
        <w:rPr>
          <w:rFonts w:hint="eastAsia"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7月28日，2025世界人工智能大会“大模型智塑全球产业新秩序”论坛在上海徐汇西岸成功召开。论坛上，为防范人工智能大规模应用安全风险，进一步加强开源大模型的安全与治理，《大模型开源安全倡议》面向全球正式发布。本倡议在开源大模型广泛应用的关键阶段，针对开源生态繁荣伴随的多维度、跨行业的复杂安全风险，旨在倡导人工智能产学研各界加快形成开源安全与治理共识，充分发挥大模型产业与应用赋能价值。倡议发布后迅速获得各界广泛响应。各方将围绕落实倡议展开持续合作，积极推动标准评测体系共建、治理经验共享与高质量创新要素流通，凝聚全球智慧构建开源安全生态信任基石，为大模型产业高质量发展与应用保驾护航。</w:t>
      </w:r>
    </w:p>
    <w:p w14:paraId="52508B9F">
      <w:pPr>
        <w:rPr>
          <w:rFonts w:hint="eastAsia"/>
          <w:lang w:val="en-US" w:eastAsia="zh-CN"/>
        </w:rPr>
      </w:pPr>
    </w:p>
    <w:p w14:paraId="3EDB4566">
      <w:pPr>
        <w:pStyle w:val="4"/>
        <w:spacing w:after="0" w:line="360" w:lineRule="auto"/>
        <w:rPr>
          <w:rFonts w:hint="default" w:ascii="Times New Roman" w:hAnsi="Times New Roman" w:cs="Times New Roman"/>
          <w:bCs w:val="0"/>
          <w:color w:val="000000" w:themeColor="text1"/>
          <w:szCs w:val="24"/>
          <w:u w:val="none"/>
          <w:lang w:val="en-US" w:eastAsia="zh-CN"/>
          <w14:textFill>
            <w14:solidFill>
              <w14:schemeClr w14:val="tx1"/>
            </w14:solidFill>
          </w14:textFill>
        </w:rPr>
      </w:pPr>
      <w:bookmarkStart w:id="29" w:name="_Toc27454"/>
      <w:r>
        <w:rPr>
          <w:rFonts w:hint="default" w:ascii="Times New Roman" w:hAnsi="Times New Roman" w:cs="Times New Roman"/>
          <w:bCs w:val="0"/>
          <w:color w:val="000000" w:themeColor="text1"/>
          <w:szCs w:val="24"/>
          <w:u w:val="none"/>
          <w:lang w:val="en-US" w:eastAsia="zh-CN"/>
        </w:rPr>
        <w:fldChar w:fldCharType="begin"/>
      </w:r>
      <w:r>
        <w:rPr>
          <w:rFonts w:hint="default" w:ascii="Times New Roman" w:hAnsi="Times New Roman" w:cs="Times New Roman"/>
          <w:bCs w:val="0"/>
          <w:color w:val="000000" w:themeColor="text1"/>
          <w:szCs w:val="24"/>
          <w:u w:val="none"/>
          <w:lang w:val="en-US" w:eastAsia="zh-CN"/>
        </w:rPr>
        <w:instrText xml:space="preserve"> HYPERLINK "https://mp.weixin.qq.com/s/lGpbW5wO56kGPkt2oiv65w" </w:instrText>
      </w:r>
      <w:r>
        <w:rPr>
          <w:rFonts w:hint="default" w:ascii="Times New Roman" w:hAnsi="Times New Roman" w:cs="Times New Roman"/>
          <w:bCs w:val="0"/>
          <w:color w:val="000000" w:themeColor="text1"/>
          <w:szCs w:val="24"/>
          <w:u w:val="none"/>
          <w:lang w:val="en-US" w:eastAsia="zh-CN"/>
        </w:rPr>
        <w:fldChar w:fldCharType="separate"/>
      </w:r>
      <w:r>
        <w:rPr>
          <w:rStyle w:val="31"/>
          <w:rFonts w:hint="default" w:ascii="Times New Roman" w:hAnsi="Times New Roman" w:cs="Times New Roman"/>
          <w:bCs w:val="0"/>
          <w:szCs w:val="24"/>
          <w:lang w:val="en-US" w:eastAsia="zh-CN"/>
        </w:rPr>
        <w:t>【WAIC】 电信安全重磅发布“见微”大模型安全能力</w:t>
      </w:r>
      <w:r>
        <w:rPr>
          <w:rFonts w:hint="default" w:ascii="Times New Roman" w:hAnsi="Times New Roman" w:cs="Times New Roman"/>
          <w:bCs w:val="0"/>
          <w:color w:val="000000" w:themeColor="text1"/>
          <w:szCs w:val="24"/>
          <w:u w:val="none"/>
          <w:lang w:val="en-US" w:eastAsia="zh-CN"/>
        </w:rPr>
        <w:fldChar w:fldCharType="end"/>
      </w:r>
      <w:bookmarkEnd w:id="29"/>
    </w:p>
    <w:p w14:paraId="3CAADDE5">
      <w:pPr>
        <w:keepNext w:val="0"/>
        <w:keepLines w:val="0"/>
        <w:pageBreakBefore w:val="0"/>
        <w:widowControl/>
        <w:numPr>
          <w:ilvl w:val="0"/>
          <w:numId w:val="0"/>
        </w:numPr>
        <w:kinsoku/>
        <w:wordWrap/>
        <w:overflowPunct/>
        <w:topLinePunct w:val="0"/>
        <w:autoSpaceDE/>
        <w:autoSpaceDN/>
        <w:bidi w:val="0"/>
        <w:adjustRightInd/>
        <w:snapToGrid/>
        <w:spacing w:before="157" w:beforeLines="50" w:line="360" w:lineRule="auto"/>
        <w:ind w:firstLine="480" w:firstLineChars="200"/>
        <w:textAlignment w:val="auto"/>
        <w:rPr>
          <w:rFonts w:hint="default" w:ascii="Times New Roman" w:hAnsi="Times New Roman" w:eastAsia="楷体" w:cs="Times New Roman"/>
          <w:b w:val="0"/>
          <w:bCs w:val="0"/>
          <w:color w:val="000000" w:themeColor="text1"/>
          <w:lang w:val="en-US" w:eastAsia="zh-CN"/>
          <w14:textFill>
            <w14:solidFill>
              <w14:schemeClr w14:val="tx1"/>
            </w14:solidFill>
          </w14:textFill>
        </w:rPr>
      </w:pPr>
      <w:r>
        <w:rPr>
          <w:rFonts w:hint="eastAsia" w:ascii="Times New Roman" w:hAnsi="Times New Roman" w:eastAsia="楷体" w:cs="Times New Roman"/>
          <w:b w:val="0"/>
          <w:bCs w:val="0"/>
          <w:color w:val="000000" w:themeColor="text1"/>
          <w:lang w:val="en-US" w:eastAsia="zh-CN"/>
          <w14:textFill>
            <w14:solidFill>
              <w14:schemeClr w14:val="tx1"/>
            </w14:solidFill>
          </w14:textFill>
        </w:rPr>
        <w:t>作为WAIC大会战略合作伙伴，中国电信于7月27日举办了以“星辰智惠 共治共享”为主题的2025中国电信人工智能生态论坛，会上，天翼安全科技有限公司重磅发布“见微”大模型安全能力，并开源国内首个大模型基础护栏。电信安全聚焦构建一站式大模型安全能力平台，重点打造三大核心能力：大模型应用安全态势精准感知、大模型安全扫描器高效检测、大模型基础护栏规范防护。依托多层次、立体化的安全体系，以坚实的技术底座夯实AI时代的安全根基。</w:t>
      </w:r>
    </w:p>
    <w:sectPr>
      <w:headerReference r:id="rId10" w:type="default"/>
      <w:footerReference r:id="rId11"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2DE73">
    <w:pPr>
      <w:pStyle w:val="15"/>
      <w:jc w:val="center"/>
      <w:rPr>
        <w:rFonts w:hint="eastAsia"/>
      </w:rPr>
    </w:pPr>
  </w:p>
  <w:p w14:paraId="032BACD8">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453C4">
    <w:pPr>
      <w:pStyle w:val="15"/>
      <w:jc w:val="center"/>
      <w:rPr>
        <w:rFonts w:hint="eastAsia"/>
      </w:rPr>
    </w:pPr>
    <w:r>
      <w:fldChar w:fldCharType="begin"/>
    </w:r>
    <w:r>
      <w:instrText xml:space="preserve">PAGE   \* MERGEFORMAT</w:instrText>
    </w:r>
    <w:r>
      <w:fldChar w:fldCharType="separate"/>
    </w:r>
    <w:r>
      <w:rPr>
        <w:lang w:val="zh-CN"/>
      </w:rPr>
      <w:t>3</w:t>
    </w:r>
    <w:r>
      <w:rPr>
        <w:lang w:val="zh-CN"/>
      </w:rPr>
      <w:fldChar w:fldCharType="end"/>
    </w:r>
  </w:p>
  <w:p w14:paraId="4196AE23">
    <w:pPr>
      <w:pStyle w:val="1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6EF93">
    <w:pPr>
      <w:pStyle w:val="15"/>
      <w:jc w:val="center"/>
      <w:rPr>
        <w:rFonts w:hint="eastAsia"/>
      </w:rPr>
    </w:pPr>
    <w:r>
      <w:fldChar w:fldCharType="begin"/>
    </w:r>
    <w:r>
      <w:instrText xml:space="preserve">PAGE   \* MERGEFORMAT</w:instrText>
    </w:r>
    <w:r>
      <w:fldChar w:fldCharType="separate"/>
    </w:r>
    <w:r>
      <w:rPr>
        <w:lang w:val="zh-CN"/>
      </w:rPr>
      <w:t>32</w:t>
    </w:r>
    <w:r>
      <w:rPr>
        <w:lang w:val="zh-CN"/>
      </w:rPr>
      <w:fldChar w:fldCharType="end"/>
    </w:r>
  </w:p>
  <w:p w14:paraId="55DE1279">
    <w:pPr>
      <w:pStyle w:val="1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56B2C">
    <w:pPr>
      <w:pStyle w:val="16"/>
      <w:jc w:val="right"/>
      <w:rPr>
        <w:rFonts w:hint="eastAsia"/>
      </w:rPr>
    </w:pPr>
    <w:r>
      <w:drawing>
        <wp:inline distT="0" distB="0" distL="0" distR="0">
          <wp:extent cx="2404745" cy="381000"/>
          <wp:effectExtent l="0" t="0" r="0" b="0"/>
          <wp:docPr id="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5"/>
                  <pic:cNvPicPr>
                    <a:picLocks noChangeAspect="1" noChangeArrowheads="1"/>
                  </pic:cNvPicPr>
                </pic:nvPicPr>
                <pic:blipFill>
                  <a:blip r:embed="rId1"/>
                  <a:srcRect/>
                  <a:stretch>
                    <a:fillRect/>
                  </a:stretch>
                </pic:blipFill>
                <pic:spPr>
                  <a:xfrm>
                    <a:off x="0" y="0"/>
                    <a:ext cx="2404745" cy="3810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3331A">
    <w:pPr>
      <w:pStyle w:val="40"/>
    </w:pPr>
    <w:r>
      <w:drawing>
        <wp:inline distT="0" distB="0" distL="0" distR="0">
          <wp:extent cx="5302250" cy="40322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
                  <a:stretch>
                    <a:fillRect/>
                  </a:stretch>
                </pic:blipFill>
                <pic:spPr>
                  <a:xfrm>
                    <a:off x="0" y="0"/>
                    <a:ext cx="5304051" cy="403362"/>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13D4F">
    <w:pPr>
      <w:pStyle w:val="16"/>
      <w:jc w:val="right"/>
      <w:rPr>
        <w:rFonts w:hint="eastAsia"/>
      </w:rPr>
    </w:pPr>
    <w:r>
      <w:drawing>
        <wp:inline distT="0" distB="0" distL="0" distR="0">
          <wp:extent cx="2667000" cy="423545"/>
          <wp:effectExtent l="0" t="0" r="0" b="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noChangeArrowheads="1"/>
                  </pic:cNvPicPr>
                </pic:nvPicPr>
                <pic:blipFill>
                  <a:blip r:embed="rId1"/>
                  <a:srcRect/>
                  <a:stretch>
                    <a:fillRect/>
                  </a:stretch>
                </pic:blipFill>
                <pic:spPr>
                  <a:xfrm>
                    <a:off x="0" y="0"/>
                    <a:ext cx="2667000" cy="423545"/>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C14D9">
    <w:pPr>
      <w:pStyle w:val="40"/>
    </w:pPr>
    <w:r>
      <w:drawing>
        <wp:inline distT="0" distB="0" distL="0" distR="0">
          <wp:extent cx="5302250" cy="40322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5304051" cy="403362"/>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724"/>
    <w:rsid w:val="00000A2E"/>
    <w:rsid w:val="0000252F"/>
    <w:rsid w:val="00002F1F"/>
    <w:rsid w:val="0000361C"/>
    <w:rsid w:val="00003AA6"/>
    <w:rsid w:val="000042AF"/>
    <w:rsid w:val="00005A27"/>
    <w:rsid w:val="00006FDF"/>
    <w:rsid w:val="00007FF4"/>
    <w:rsid w:val="000151E4"/>
    <w:rsid w:val="00015BF8"/>
    <w:rsid w:val="00016EAB"/>
    <w:rsid w:val="00016FDE"/>
    <w:rsid w:val="00017152"/>
    <w:rsid w:val="000171BE"/>
    <w:rsid w:val="00020AB0"/>
    <w:rsid w:val="0002185C"/>
    <w:rsid w:val="00021E39"/>
    <w:rsid w:val="00021E3C"/>
    <w:rsid w:val="00022119"/>
    <w:rsid w:val="0002423A"/>
    <w:rsid w:val="000242BD"/>
    <w:rsid w:val="00024F91"/>
    <w:rsid w:val="0002574F"/>
    <w:rsid w:val="00025F65"/>
    <w:rsid w:val="00026CF3"/>
    <w:rsid w:val="00027575"/>
    <w:rsid w:val="0003104E"/>
    <w:rsid w:val="00032645"/>
    <w:rsid w:val="00033583"/>
    <w:rsid w:val="00033F64"/>
    <w:rsid w:val="000346F0"/>
    <w:rsid w:val="0003660A"/>
    <w:rsid w:val="00036D50"/>
    <w:rsid w:val="00036DA1"/>
    <w:rsid w:val="0003715A"/>
    <w:rsid w:val="00037902"/>
    <w:rsid w:val="00037F76"/>
    <w:rsid w:val="00042C21"/>
    <w:rsid w:val="00043EAB"/>
    <w:rsid w:val="00045E36"/>
    <w:rsid w:val="00045EA6"/>
    <w:rsid w:val="00046C3C"/>
    <w:rsid w:val="00047496"/>
    <w:rsid w:val="00047D8A"/>
    <w:rsid w:val="000518F6"/>
    <w:rsid w:val="00052BFE"/>
    <w:rsid w:val="00054A64"/>
    <w:rsid w:val="00054BD5"/>
    <w:rsid w:val="0005514B"/>
    <w:rsid w:val="00055CB2"/>
    <w:rsid w:val="000561FC"/>
    <w:rsid w:val="0005705D"/>
    <w:rsid w:val="00057331"/>
    <w:rsid w:val="00057872"/>
    <w:rsid w:val="00057F26"/>
    <w:rsid w:val="0006023C"/>
    <w:rsid w:val="000604D4"/>
    <w:rsid w:val="000605BB"/>
    <w:rsid w:val="0006154F"/>
    <w:rsid w:val="00061832"/>
    <w:rsid w:val="0006291B"/>
    <w:rsid w:val="00063336"/>
    <w:rsid w:val="00063E84"/>
    <w:rsid w:val="00064DC2"/>
    <w:rsid w:val="00065CB0"/>
    <w:rsid w:val="00067A40"/>
    <w:rsid w:val="00067E64"/>
    <w:rsid w:val="00067FE0"/>
    <w:rsid w:val="00070F76"/>
    <w:rsid w:val="0007246F"/>
    <w:rsid w:val="00072F6A"/>
    <w:rsid w:val="00075846"/>
    <w:rsid w:val="00075F3E"/>
    <w:rsid w:val="000764E7"/>
    <w:rsid w:val="00076A9A"/>
    <w:rsid w:val="00077096"/>
    <w:rsid w:val="0007755E"/>
    <w:rsid w:val="00080782"/>
    <w:rsid w:val="00080C30"/>
    <w:rsid w:val="00080DDA"/>
    <w:rsid w:val="00081681"/>
    <w:rsid w:val="000831CE"/>
    <w:rsid w:val="00083B90"/>
    <w:rsid w:val="00084356"/>
    <w:rsid w:val="000849CC"/>
    <w:rsid w:val="00084C9D"/>
    <w:rsid w:val="00084DE8"/>
    <w:rsid w:val="0008688B"/>
    <w:rsid w:val="00086981"/>
    <w:rsid w:val="00086D3B"/>
    <w:rsid w:val="000903B1"/>
    <w:rsid w:val="0009161B"/>
    <w:rsid w:val="00091762"/>
    <w:rsid w:val="0009461C"/>
    <w:rsid w:val="00094796"/>
    <w:rsid w:val="000958CB"/>
    <w:rsid w:val="0009652A"/>
    <w:rsid w:val="000A001A"/>
    <w:rsid w:val="000A074B"/>
    <w:rsid w:val="000A08E9"/>
    <w:rsid w:val="000A0D1B"/>
    <w:rsid w:val="000A1FA6"/>
    <w:rsid w:val="000A274F"/>
    <w:rsid w:val="000A2965"/>
    <w:rsid w:val="000A3537"/>
    <w:rsid w:val="000A3FCA"/>
    <w:rsid w:val="000A4D25"/>
    <w:rsid w:val="000A5444"/>
    <w:rsid w:val="000A58CC"/>
    <w:rsid w:val="000A5A86"/>
    <w:rsid w:val="000A6BE9"/>
    <w:rsid w:val="000A72EF"/>
    <w:rsid w:val="000A7D0B"/>
    <w:rsid w:val="000B1321"/>
    <w:rsid w:val="000B212C"/>
    <w:rsid w:val="000B2378"/>
    <w:rsid w:val="000B35ED"/>
    <w:rsid w:val="000B47F6"/>
    <w:rsid w:val="000B4C17"/>
    <w:rsid w:val="000B69A2"/>
    <w:rsid w:val="000B7C93"/>
    <w:rsid w:val="000C2575"/>
    <w:rsid w:val="000C3025"/>
    <w:rsid w:val="000C3470"/>
    <w:rsid w:val="000C3B0A"/>
    <w:rsid w:val="000C3D61"/>
    <w:rsid w:val="000C44F5"/>
    <w:rsid w:val="000C56F6"/>
    <w:rsid w:val="000C5E9C"/>
    <w:rsid w:val="000C71B2"/>
    <w:rsid w:val="000C7423"/>
    <w:rsid w:val="000C7784"/>
    <w:rsid w:val="000C7FCF"/>
    <w:rsid w:val="000D167D"/>
    <w:rsid w:val="000D1DA5"/>
    <w:rsid w:val="000D2E8C"/>
    <w:rsid w:val="000D3C1C"/>
    <w:rsid w:val="000D4315"/>
    <w:rsid w:val="000D431A"/>
    <w:rsid w:val="000D4B22"/>
    <w:rsid w:val="000D54C4"/>
    <w:rsid w:val="000D6274"/>
    <w:rsid w:val="000D672A"/>
    <w:rsid w:val="000D689C"/>
    <w:rsid w:val="000D6F07"/>
    <w:rsid w:val="000D7223"/>
    <w:rsid w:val="000E0293"/>
    <w:rsid w:val="000E0324"/>
    <w:rsid w:val="000E0592"/>
    <w:rsid w:val="000E224F"/>
    <w:rsid w:val="000E3764"/>
    <w:rsid w:val="000E41F0"/>
    <w:rsid w:val="000E4441"/>
    <w:rsid w:val="000E4C10"/>
    <w:rsid w:val="000F0230"/>
    <w:rsid w:val="000F115E"/>
    <w:rsid w:val="000F1354"/>
    <w:rsid w:val="000F2130"/>
    <w:rsid w:val="000F2E83"/>
    <w:rsid w:val="000F3346"/>
    <w:rsid w:val="000F39D4"/>
    <w:rsid w:val="000F41D3"/>
    <w:rsid w:val="000F4A69"/>
    <w:rsid w:val="000F54E1"/>
    <w:rsid w:val="000F5BA3"/>
    <w:rsid w:val="000F649C"/>
    <w:rsid w:val="000F7270"/>
    <w:rsid w:val="001001EB"/>
    <w:rsid w:val="001014E1"/>
    <w:rsid w:val="001018CA"/>
    <w:rsid w:val="00101EA7"/>
    <w:rsid w:val="00102923"/>
    <w:rsid w:val="001034B7"/>
    <w:rsid w:val="00103991"/>
    <w:rsid w:val="00103B83"/>
    <w:rsid w:val="001052D0"/>
    <w:rsid w:val="00106608"/>
    <w:rsid w:val="00107A44"/>
    <w:rsid w:val="001101CF"/>
    <w:rsid w:val="001109E3"/>
    <w:rsid w:val="00110EDD"/>
    <w:rsid w:val="00111FF7"/>
    <w:rsid w:val="001130D2"/>
    <w:rsid w:val="00113DD0"/>
    <w:rsid w:val="001140A9"/>
    <w:rsid w:val="00114A64"/>
    <w:rsid w:val="001158A5"/>
    <w:rsid w:val="00116532"/>
    <w:rsid w:val="00117820"/>
    <w:rsid w:val="00120F78"/>
    <w:rsid w:val="00122DE5"/>
    <w:rsid w:val="0012342A"/>
    <w:rsid w:val="0012419A"/>
    <w:rsid w:val="00124245"/>
    <w:rsid w:val="00124C36"/>
    <w:rsid w:val="001257EC"/>
    <w:rsid w:val="00126271"/>
    <w:rsid w:val="001269B2"/>
    <w:rsid w:val="00126E1B"/>
    <w:rsid w:val="00126F63"/>
    <w:rsid w:val="00127F0F"/>
    <w:rsid w:val="0013055C"/>
    <w:rsid w:val="00130FDF"/>
    <w:rsid w:val="0013388D"/>
    <w:rsid w:val="00136023"/>
    <w:rsid w:val="00136877"/>
    <w:rsid w:val="0013695C"/>
    <w:rsid w:val="001407B9"/>
    <w:rsid w:val="00140840"/>
    <w:rsid w:val="001416FC"/>
    <w:rsid w:val="001417A3"/>
    <w:rsid w:val="00141FC3"/>
    <w:rsid w:val="00142F11"/>
    <w:rsid w:val="00143447"/>
    <w:rsid w:val="00143912"/>
    <w:rsid w:val="00144119"/>
    <w:rsid w:val="001448E8"/>
    <w:rsid w:val="001454E1"/>
    <w:rsid w:val="00145CA4"/>
    <w:rsid w:val="00146A73"/>
    <w:rsid w:val="00146DE9"/>
    <w:rsid w:val="00146F65"/>
    <w:rsid w:val="001472E3"/>
    <w:rsid w:val="001476E3"/>
    <w:rsid w:val="001478EE"/>
    <w:rsid w:val="00150833"/>
    <w:rsid w:val="001517CA"/>
    <w:rsid w:val="00152571"/>
    <w:rsid w:val="00154ABD"/>
    <w:rsid w:val="00154F8E"/>
    <w:rsid w:val="00155654"/>
    <w:rsid w:val="00156171"/>
    <w:rsid w:val="0015624B"/>
    <w:rsid w:val="001578CA"/>
    <w:rsid w:val="001601A7"/>
    <w:rsid w:val="00161829"/>
    <w:rsid w:val="00161915"/>
    <w:rsid w:val="00161BBA"/>
    <w:rsid w:val="0016209B"/>
    <w:rsid w:val="00162C33"/>
    <w:rsid w:val="001666C7"/>
    <w:rsid w:val="00167D23"/>
    <w:rsid w:val="001701B9"/>
    <w:rsid w:val="0017053A"/>
    <w:rsid w:val="0017226B"/>
    <w:rsid w:val="00172F1D"/>
    <w:rsid w:val="00173214"/>
    <w:rsid w:val="00173E16"/>
    <w:rsid w:val="00175E36"/>
    <w:rsid w:val="00176264"/>
    <w:rsid w:val="00176786"/>
    <w:rsid w:val="0017754D"/>
    <w:rsid w:val="00181380"/>
    <w:rsid w:val="001819B0"/>
    <w:rsid w:val="00182244"/>
    <w:rsid w:val="00182A26"/>
    <w:rsid w:val="00182A5C"/>
    <w:rsid w:val="00183980"/>
    <w:rsid w:val="00184060"/>
    <w:rsid w:val="001845A7"/>
    <w:rsid w:val="001847A5"/>
    <w:rsid w:val="00185DC9"/>
    <w:rsid w:val="0018667F"/>
    <w:rsid w:val="001869AE"/>
    <w:rsid w:val="00186DB8"/>
    <w:rsid w:val="0018760C"/>
    <w:rsid w:val="0018762E"/>
    <w:rsid w:val="001909F6"/>
    <w:rsid w:val="00191A34"/>
    <w:rsid w:val="00192669"/>
    <w:rsid w:val="00192C16"/>
    <w:rsid w:val="00193043"/>
    <w:rsid w:val="00194309"/>
    <w:rsid w:val="00194447"/>
    <w:rsid w:val="001948F2"/>
    <w:rsid w:val="00196904"/>
    <w:rsid w:val="00197403"/>
    <w:rsid w:val="001975CD"/>
    <w:rsid w:val="001A153E"/>
    <w:rsid w:val="001A24A9"/>
    <w:rsid w:val="001A2DF2"/>
    <w:rsid w:val="001A3509"/>
    <w:rsid w:val="001A3957"/>
    <w:rsid w:val="001A4F7A"/>
    <w:rsid w:val="001A50F5"/>
    <w:rsid w:val="001A7732"/>
    <w:rsid w:val="001A79AF"/>
    <w:rsid w:val="001B0019"/>
    <w:rsid w:val="001B002B"/>
    <w:rsid w:val="001B0AE8"/>
    <w:rsid w:val="001B19FF"/>
    <w:rsid w:val="001B1DCF"/>
    <w:rsid w:val="001B2C54"/>
    <w:rsid w:val="001B2C8D"/>
    <w:rsid w:val="001B3905"/>
    <w:rsid w:val="001B3CF1"/>
    <w:rsid w:val="001B4261"/>
    <w:rsid w:val="001B703D"/>
    <w:rsid w:val="001B7ABF"/>
    <w:rsid w:val="001C00D7"/>
    <w:rsid w:val="001C09B4"/>
    <w:rsid w:val="001C2A85"/>
    <w:rsid w:val="001C3859"/>
    <w:rsid w:val="001C546F"/>
    <w:rsid w:val="001C5517"/>
    <w:rsid w:val="001C5A01"/>
    <w:rsid w:val="001C62AB"/>
    <w:rsid w:val="001C6366"/>
    <w:rsid w:val="001C63AB"/>
    <w:rsid w:val="001C67E9"/>
    <w:rsid w:val="001C697E"/>
    <w:rsid w:val="001C6A9C"/>
    <w:rsid w:val="001C7AE0"/>
    <w:rsid w:val="001D1CC1"/>
    <w:rsid w:val="001D2A33"/>
    <w:rsid w:val="001D3218"/>
    <w:rsid w:val="001D3525"/>
    <w:rsid w:val="001D3F56"/>
    <w:rsid w:val="001D5A4C"/>
    <w:rsid w:val="001D5C74"/>
    <w:rsid w:val="001D6822"/>
    <w:rsid w:val="001D710F"/>
    <w:rsid w:val="001E05C4"/>
    <w:rsid w:val="001E0BF8"/>
    <w:rsid w:val="001E0E96"/>
    <w:rsid w:val="001E13C1"/>
    <w:rsid w:val="001E1A02"/>
    <w:rsid w:val="001E2266"/>
    <w:rsid w:val="001E37A8"/>
    <w:rsid w:val="001E48B1"/>
    <w:rsid w:val="001E5818"/>
    <w:rsid w:val="001E5932"/>
    <w:rsid w:val="001E5CD0"/>
    <w:rsid w:val="001F0A51"/>
    <w:rsid w:val="001F0D34"/>
    <w:rsid w:val="001F1AD1"/>
    <w:rsid w:val="001F1D17"/>
    <w:rsid w:val="001F1ED5"/>
    <w:rsid w:val="001F237A"/>
    <w:rsid w:val="001F264C"/>
    <w:rsid w:val="001F32D0"/>
    <w:rsid w:val="001F3A7C"/>
    <w:rsid w:val="001F4AB6"/>
    <w:rsid w:val="001F4D28"/>
    <w:rsid w:val="001F635D"/>
    <w:rsid w:val="001F6B58"/>
    <w:rsid w:val="002009CB"/>
    <w:rsid w:val="00201E95"/>
    <w:rsid w:val="0020257D"/>
    <w:rsid w:val="0020337E"/>
    <w:rsid w:val="00203788"/>
    <w:rsid w:val="0020455C"/>
    <w:rsid w:val="0020482D"/>
    <w:rsid w:val="00204CE3"/>
    <w:rsid w:val="00204DBF"/>
    <w:rsid w:val="00205454"/>
    <w:rsid w:val="00205987"/>
    <w:rsid w:val="0020639B"/>
    <w:rsid w:val="00206D34"/>
    <w:rsid w:val="00210670"/>
    <w:rsid w:val="00210AD8"/>
    <w:rsid w:val="00210E7B"/>
    <w:rsid w:val="00211B39"/>
    <w:rsid w:val="00211C6B"/>
    <w:rsid w:val="00211D04"/>
    <w:rsid w:val="00212869"/>
    <w:rsid w:val="002153F7"/>
    <w:rsid w:val="0021582D"/>
    <w:rsid w:val="002159D8"/>
    <w:rsid w:val="00216222"/>
    <w:rsid w:val="00216B2A"/>
    <w:rsid w:val="00220624"/>
    <w:rsid w:val="0022106D"/>
    <w:rsid w:val="00221794"/>
    <w:rsid w:val="00222495"/>
    <w:rsid w:val="00223071"/>
    <w:rsid w:val="002232A7"/>
    <w:rsid w:val="002253FC"/>
    <w:rsid w:val="002256C7"/>
    <w:rsid w:val="00225DC0"/>
    <w:rsid w:val="00225FBA"/>
    <w:rsid w:val="00226658"/>
    <w:rsid w:val="0022692A"/>
    <w:rsid w:val="002315C7"/>
    <w:rsid w:val="00233A5A"/>
    <w:rsid w:val="00233C06"/>
    <w:rsid w:val="00234B93"/>
    <w:rsid w:val="00234E2E"/>
    <w:rsid w:val="002354EF"/>
    <w:rsid w:val="0023571C"/>
    <w:rsid w:val="002362F0"/>
    <w:rsid w:val="00236432"/>
    <w:rsid w:val="00237FB8"/>
    <w:rsid w:val="00241118"/>
    <w:rsid w:val="00241D32"/>
    <w:rsid w:val="00242C42"/>
    <w:rsid w:val="00243B01"/>
    <w:rsid w:val="002444D2"/>
    <w:rsid w:val="00244597"/>
    <w:rsid w:val="00246379"/>
    <w:rsid w:val="00246445"/>
    <w:rsid w:val="00247AFA"/>
    <w:rsid w:val="00250094"/>
    <w:rsid w:val="00251839"/>
    <w:rsid w:val="00251ADC"/>
    <w:rsid w:val="00252A3A"/>
    <w:rsid w:val="00252D96"/>
    <w:rsid w:val="00253805"/>
    <w:rsid w:val="002539CD"/>
    <w:rsid w:val="00253C08"/>
    <w:rsid w:val="00254118"/>
    <w:rsid w:val="00254B00"/>
    <w:rsid w:val="0025504C"/>
    <w:rsid w:val="002556FF"/>
    <w:rsid w:val="00256235"/>
    <w:rsid w:val="00256324"/>
    <w:rsid w:val="002574EB"/>
    <w:rsid w:val="0025751C"/>
    <w:rsid w:val="002576B1"/>
    <w:rsid w:val="002624FD"/>
    <w:rsid w:val="002626E4"/>
    <w:rsid w:val="00263C20"/>
    <w:rsid w:val="00264DBD"/>
    <w:rsid w:val="002653D0"/>
    <w:rsid w:val="002657E9"/>
    <w:rsid w:val="00265C58"/>
    <w:rsid w:val="00265D00"/>
    <w:rsid w:val="0026619C"/>
    <w:rsid w:val="00267A0D"/>
    <w:rsid w:val="00267B48"/>
    <w:rsid w:val="00267D1B"/>
    <w:rsid w:val="002703B6"/>
    <w:rsid w:val="002707FC"/>
    <w:rsid w:val="00270CF9"/>
    <w:rsid w:val="00270DD0"/>
    <w:rsid w:val="00271163"/>
    <w:rsid w:val="00271418"/>
    <w:rsid w:val="00271855"/>
    <w:rsid w:val="002718D6"/>
    <w:rsid w:val="00272BF7"/>
    <w:rsid w:val="00273821"/>
    <w:rsid w:val="00273A63"/>
    <w:rsid w:val="002745F7"/>
    <w:rsid w:val="00274CEE"/>
    <w:rsid w:val="0027691B"/>
    <w:rsid w:val="00276991"/>
    <w:rsid w:val="002771CD"/>
    <w:rsid w:val="00280D99"/>
    <w:rsid w:val="00281965"/>
    <w:rsid w:val="002824DE"/>
    <w:rsid w:val="002826CA"/>
    <w:rsid w:val="002840C6"/>
    <w:rsid w:val="00284D62"/>
    <w:rsid w:val="00286575"/>
    <w:rsid w:val="00286AA0"/>
    <w:rsid w:val="00287A1B"/>
    <w:rsid w:val="00290707"/>
    <w:rsid w:val="00290DB9"/>
    <w:rsid w:val="002920DF"/>
    <w:rsid w:val="00293816"/>
    <w:rsid w:val="00293A52"/>
    <w:rsid w:val="00293F60"/>
    <w:rsid w:val="002949F3"/>
    <w:rsid w:val="00294BFC"/>
    <w:rsid w:val="00294C25"/>
    <w:rsid w:val="00294EBD"/>
    <w:rsid w:val="002961D3"/>
    <w:rsid w:val="00296B9A"/>
    <w:rsid w:val="00297A32"/>
    <w:rsid w:val="002A13AE"/>
    <w:rsid w:val="002A1B93"/>
    <w:rsid w:val="002A2B3A"/>
    <w:rsid w:val="002A2C09"/>
    <w:rsid w:val="002A2CAD"/>
    <w:rsid w:val="002A3A93"/>
    <w:rsid w:val="002A6070"/>
    <w:rsid w:val="002A6A37"/>
    <w:rsid w:val="002A6D3C"/>
    <w:rsid w:val="002A73E0"/>
    <w:rsid w:val="002A7936"/>
    <w:rsid w:val="002B0293"/>
    <w:rsid w:val="002B052B"/>
    <w:rsid w:val="002B0F49"/>
    <w:rsid w:val="002B11E9"/>
    <w:rsid w:val="002B1563"/>
    <w:rsid w:val="002B1E81"/>
    <w:rsid w:val="002B2CB5"/>
    <w:rsid w:val="002B2DD7"/>
    <w:rsid w:val="002B32F4"/>
    <w:rsid w:val="002B3E27"/>
    <w:rsid w:val="002B405F"/>
    <w:rsid w:val="002B414D"/>
    <w:rsid w:val="002B4689"/>
    <w:rsid w:val="002B4F24"/>
    <w:rsid w:val="002B5EE0"/>
    <w:rsid w:val="002B5FE5"/>
    <w:rsid w:val="002B7732"/>
    <w:rsid w:val="002C0E2F"/>
    <w:rsid w:val="002C0F08"/>
    <w:rsid w:val="002C1685"/>
    <w:rsid w:val="002C2FDB"/>
    <w:rsid w:val="002C2FE0"/>
    <w:rsid w:val="002C37E4"/>
    <w:rsid w:val="002C40D4"/>
    <w:rsid w:val="002C4228"/>
    <w:rsid w:val="002C423E"/>
    <w:rsid w:val="002C4A68"/>
    <w:rsid w:val="002C4CE1"/>
    <w:rsid w:val="002C5F6A"/>
    <w:rsid w:val="002C7740"/>
    <w:rsid w:val="002C78C5"/>
    <w:rsid w:val="002D2737"/>
    <w:rsid w:val="002D2B59"/>
    <w:rsid w:val="002D2C4C"/>
    <w:rsid w:val="002D47D9"/>
    <w:rsid w:val="002D480E"/>
    <w:rsid w:val="002D5643"/>
    <w:rsid w:val="002D642D"/>
    <w:rsid w:val="002D69B6"/>
    <w:rsid w:val="002D6BD9"/>
    <w:rsid w:val="002D720E"/>
    <w:rsid w:val="002E1104"/>
    <w:rsid w:val="002E310C"/>
    <w:rsid w:val="002E34BF"/>
    <w:rsid w:val="002E3791"/>
    <w:rsid w:val="002E3FF0"/>
    <w:rsid w:val="002E4721"/>
    <w:rsid w:val="002E5A42"/>
    <w:rsid w:val="002E6004"/>
    <w:rsid w:val="002E6243"/>
    <w:rsid w:val="002E6E86"/>
    <w:rsid w:val="002F2ABC"/>
    <w:rsid w:val="002F32B3"/>
    <w:rsid w:val="002F3A3F"/>
    <w:rsid w:val="002F3B3F"/>
    <w:rsid w:val="002F403D"/>
    <w:rsid w:val="002F454D"/>
    <w:rsid w:val="002F5A4A"/>
    <w:rsid w:val="002F6247"/>
    <w:rsid w:val="002F68B9"/>
    <w:rsid w:val="002F741D"/>
    <w:rsid w:val="002F77CB"/>
    <w:rsid w:val="00300DB4"/>
    <w:rsid w:val="00300EA8"/>
    <w:rsid w:val="00301164"/>
    <w:rsid w:val="00301D6F"/>
    <w:rsid w:val="00302748"/>
    <w:rsid w:val="00303685"/>
    <w:rsid w:val="0030370A"/>
    <w:rsid w:val="003065B2"/>
    <w:rsid w:val="00306A38"/>
    <w:rsid w:val="0030715D"/>
    <w:rsid w:val="003072AD"/>
    <w:rsid w:val="00310DD4"/>
    <w:rsid w:val="00311176"/>
    <w:rsid w:val="00311895"/>
    <w:rsid w:val="003119D0"/>
    <w:rsid w:val="0031221D"/>
    <w:rsid w:val="00312B5A"/>
    <w:rsid w:val="00314211"/>
    <w:rsid w:val="00314E53"/>
    <w:rsid w:val="003150BD"/>
    <w:rsid w:val="00315219"/>
    <w:rsid w:val="0031584D"/>
    <w:rsid w:val="00315960"/>
    <w:rsid w:val="00315B9B"/>
    <w:rsid w:val="003162CD"/>
    <w:rsid w:val="00316320"/>
    <w:rsid w:val="00316791"/>
    <w:rsid w:val="003167B3"/>
    <w:rsid w:val="00316A67"/>
    <w:rsid w:val="00316F24"/>
    <w:rsid w:val="00320BAA"/>
    <w:rsid w:val="00321C67"/>
    <w:rsid w:val="00322047"/>
    <w:rsid w:val="00323B2B"/>
    <w:rsid w:val="00325567"/>
    <w:rsid w:val="00325AC1"/>
    <w:rsid w:val="00326475"/>
    <w:rsid w:val="0032684B"/>
    <w:rsid w:val="00327FD8"/>
    <w:rsid w:val="00330379"/>
    <w:rsid w:val="00330EA5"/>
    <w:rsid w:val="00331753"/>
    <w:rsid w:val="0033250A"/>
    <w:rsid w:val="00332A7C"/>
    <w:rsid w:val="0033382D"/>
    <w:rsid w:val="00333B65"/>
    <w:rsid w:val="00333C50"/>
    <w:rsid w:val="00333E25"/>
    <w:rsid w:val="00334064"/>
    <w:rsid w:val="00334400"/>
    <w:rsid w:val="00334CB8"/>
    <w:rsid w:val="00335985"/>
    <w:rsid w:val="00335A23"/>
    <w:rsid w:val="00336605"/>
    <w:rsid w:val="00337767"/>
    <w:rsid w:val="00340509"/>
    <w:rsid w:val="003413FE"/>
    <w:rsid w:val="00341A9A"/>
    <w:rsid w:val="00344BC9"/>
    <w:rsid w:val="00344BD9"/>
    <w:rsid w:val="00346E61"/>
    <w:rsid w:val="003472A2"/>
    <w:rsid w:val="0034768D"/>
    <w:rsid w:val="00347D96"/>
    <w:rsid w:val="00351180"/>
    <w:rsid w:val="0035135B"/>
    <w:rsid w:val="00353159"/>
    <w:rsid w:val="003536F3"/>
    <w:rsid w:val="00353A5C"/>
    <w:rsid w:val="00353D0F"/>
    <w:rsid w:val="003543E7"/>
    <w:rsid w:val="003553FC"/>
    <w:rsid w:val="00355DAC"/>
    <w:rsid w:val="00356219"/>
    <w:rsid w:val="00356565"/>
    <w:rsid w:val="00357A84"/>
    <w:rsid w:val="00357FD8"/>
    <w:rsid w:val="003615CA"/>
    <w:rsid w:val="00364023"/>
    <w:rsid w:val="00364363"/>
    <w:rsid w:val="003652ED"/>
    <w:rsid w:val="003653ED"/>
    <w:rsid w:val="003658B6"/>
    <w:rsid w:val="00366536"/>
    <w:rsid w:val="0036762D"/>
    <w:rsid w:val="00367C32"/>
    <w:rsid w:val="0037112B"/>
    <w:rsid w:val="0037141D"/>
    <w:rsid w:val="00372151"/>
    <w:rsid w:val="00372B6D"/>
    <w:rsid w:val="00372C39"/>
    <w:rsid w:val="0037387B"/>
    <w:rsid w:val="00374456"/>
    <w:rsid w:val="00376F85"/>
    <w:rsid w:val="00380B83"/>
    <w:rsid w:val="00381FCF"/>
    <w:rsid w:val="00382793"/>
    <w:rsid w:val="00383D62"/>
    <w:rsid w:val="003845E2"/>
    <w:rsid w:val="00385A63"/>
    <w:rsid w:val="00385F2C"/>
    <w:rsid w:val="0038644B"/>
    <w:rsid w:val="00387989"/>
    <w:rsid w:val="00392CA6"/>
    <w:rsid w:val="003933A5"/>
    <w:rsid w:val="00394890"/>
    <w:rsid w:val="003950CF"/>
    <w:rsid w:val="003951F0"/>
    <w:rsid w:val="0039528D"/>
    <w:rsid w:val="003953F0"/>
    <w:rsid w:val="00395DDF"/>
    <w:rsid w:val="00396875"/>
    <w:rsid w:val="00397013"/>
    <w:rsid w:val="003977A2"/>
    <w:rsid w:val="003979B8"/>
    <w:rsid w:val="003A0283"/>
    <w:rsid w:val="003A0491"/>
    <w:rsid w:val="003A151E"/>
    <w:rsid w:val="003A1C2C"/>
    <w:rsid w:val="003A2275"/>
    <w:rsid w:val="003A24F0"/>
    <w:rsid w:val="003A2500"/>
    <w:rsid w:val="003A2972"/>
    <w:rsid w:val="003A42E4"/>
    <w:rsid w:val="003A439A"/>
    <w:rsid w:val="003A4C51"/>
    <w:rsid w:val="003A5CE7"/>
    <w:rsid w:val="003A7E1D"/>
    <w:rsid w:val="003B0435"/>
    <w:rsid w:val="003B0B5C"/>
    <w:rsid w:val="003B1E36"/>
    <w:rsid w:val="003B34E2"/>
    <w:rsid w:val="003B37B2"/>
    <w:rsid w:val="003B505B"/>
    <w:rsid w:val="003B5A7E"/>
    <w:rsid w:val="003B5EA8"/>
    <w:rsid w:val="003B6141"/>
    <w:rsid w:val="003B6A5F"/>
    <w:rsid w:val="003B6E0C"/>
    <w:rsid w:val="003C2032"/>
    <w:rsid w:val="003C27A7"/>
    <w:rsid w:val="003C3733"/>
    <w:rsid w:val="003C3C23"/>
    <w:rsid w:val="003C4D98"/>
    <w:rsid w:val="003C5289"/>
    <w:rsid w:val="003C61CB"/>
    <w:rsid w:val="003C6265"/>
    <w:rsid w:val="003C6853"/>
    <w:rsid w:val="003C76A0"/>
    <w:rsid w:val="003D0553"/>
    <w:rsid w:val="003D0C4E"/>
    <w:rsid w:val="003D16A8"/>
    <w:rsid w:val="003D2CDA"/>
    <w:rsid w:val="003D30D6"/>
    <w:rsid w:val="003D3B59"/>
    <w:rsid w:val="003D4244"/>
    <w:rsid w:val="003D4D79"/>
    <w:rsid w:val="003D4FDE"/>
    <w:rsid w:val="003D50A9"/>
    <w:rsid w:val="003D6FA8"/>
    <w:rsid w:val="003D7B30"/>
    <w:rsid w:val="003E1F78"/>
    <w:rsid w:val="003E261C"/>
    <w:rsid w:val="003E3021"/>
    <w:rsid w:val="003E449E"/>
    <w:rsid w:val="003E6394"/>
    <w:rsid w:val="003E6764"/>
    <w:rsid w:val="003E6D9D"/>
    <w:rsid w:val="003E7FFA"/>
    <w:rsid w:val="003F00F2"/>
    <w:rsid w:val="003F0D78"/>
    <w:rsid w:val="003F1B28"/>
    <w:rsid w:val="003F31C5"/>
    <w:rsid w:val="003F3BA4"/>
    <w:rsid w:val="003F3FDD"/>
    <w:rsid w:val="003F4CDA"/>
    <w:rsid w:val="003F5109"/>
    <w:rsid w:val="003F51CF"/>
    <w:rsid w:val="003F5BB9"/>
    <w:rsid w:val="003F69A7"/>
    <w:rsid w:val="003F75FC"/>
    <w:rsid w:val="003F784B"/>
    <w:rsid w:val="00400835"/>
    <w:rsid w:val="00401344"/>
    <w:rsid w:val="00401E1A"/>
    <w:rsid w:val="0040209F"/>
    <w:rsid w:val="00402B6D"/>
    <w:rsid w:val="00403F88"/>
    <w:rsid w:val="0040430F"/>
    <w:rsid w:val="0040690C"/>
    <w:rsid w:val="00406EA1"/>
    <w:rsid w:val="00407193"/>
    <w:rsid w:val="00407FC3"/>
    <w:rsid w:val="00412397"/>
    <w:rsid w:val="00412B41"/>
    <w:rsid w:val="004141A2"/>
    <w:rsid w:val="00414379"/>
    <w:rsid w:val="00416790"/>
    <w:rsid w:val="0041702E"/>
    <w:rsid w:val="00421C2B"/>
    <w:rsid w:val="004233DC"/>
    <w:rsid w:val="004240F0"/>
    <w:rsid w:val="004256E9"/>
    <w:rsid w:val="00425E02"/>
    <w:rsid w:val="00426EDB"/>
    <w:rsid w:val="00430A55"/>
    <w:rsid w:val="00432706"/>
    <w:rsid w:val="00433304"/>
    <w:rsid w:val="004350CE"/>
    <w:rsid w:val="004355EC"/>
    <w:rsid w:val="004359B7"/>
    <w:rsid w:val="00435DF3"/>
    <w:rsid w:val="00440234"/>
    <w:rsid w:val="004409FF"/>
    <w:rsid w:val="004422C5"/>
    <w:rsid w:val="004424DD"/>
    <w:rsid w:val="00442A53"/>
    <w:rsid w:val="00442F4E"/>
    <w:rsid w:val="00445F62"/>
    <w:rsid w:val="00446EBF"/>
    <w:rsid w:val="00447282"/>
    <w:rsid w:val="004479F8"/>
    <w:rsid w:val="00447FAB"/>
    <w:rsid w:val="004503FF"/>
    <w:rsid w:val="004512B6"/>
    <w:rsid w:val="004514A0"/>
    <w:rsid w:val="00452FFB"/>
    <w:rsid w:val="0045478C"/>
    <w:rsid w:val="00455089"/>
    <w:rsid w:val="00456838"/>
    <w:rsid w:val="00457266"/>
    <w:rsid w:val="00457FFD"/>
    <w:rsid w:val="004605DE"/>
    <w:rsid w:val="00461715"/>
    <w:rsid w:val="00461791"/>
    <w:rsid w:val="00461B57"/>
    <w:rsid w:val="0046216F"/>
    <w:rsid w:val="00462B85"/>
    <w:rsid w:val="004636F6"/>
    <w:rsid w:val="00463918"/>
    <w:rsid w:val="00463D05"/>
    <w:rsid w:val="00464CBD"/>
    <w:rsid w:val="00464CFE"/>
    <w:rsid w:val="00470231"/>
    <w:rsid w:val="004708D0"/>
    <w:rsid w:val="00470D8E"/>
    <w:rsid w:val="00470DA9"/>
    <w:rsid w:val="004714A3"/>
    <w:rsid w:val="00471947"/>
    <w:rsid w:val="00471975"/>
    <w:rsid w:val="00472447"/>
    <w:rsid w:val="00472AF6"/>
    <w:rsid w:val="00473675"/>
    <w:rsid w:val="00473C22"/>
    <w:rsid w:val="00474DC5"/>
    <w:rsid w:val="00475075"/>
    <w:rsid w:val="00477215"/>
    <w:rsid w:val="00480D11"/>
    <w:rsid w:val="00481A2B"/>
    <w:rsid w:val="00481A61"/>
    <w:rsid w:val="00482785"/>
    <w:rsid w:val="00482A6E"/>
    <w:rsid w:val="00483DAE"/>
    <w:rsid w:val="0048658B"/>
    <w:rsid w:val="0048670F"/>
    <w:rsid w:val="004868EE"/>
    <w:rsid w:val="00486B18"/>
    <w:rsid w:val="00490362"/>
    <w:rsid w:val="00490AFD"/>
    <w:rsid w:val="00491A75"/>
    <w:rsid w:val="00491AFD"/>
    <w:rsid w:val="00493BDE"/>
    <w:rsid w:val="004942C6"/>
    <w:rsid w:val="0049501C"/>
    <w:rsid w:val="00495084"/>
    <w:rsid w:val="004966EF"/>
    <w:rsid w:val="0049741C"/>
    <w:rsid w:val="004A09B1"/>
    <w:rsid w:val="004A09C7"/>
    <w:rsid w:val="004A2493"/>
    <w:rsid w:val="004A2746"/>
    <w:rsid w:val="004A2CDB"/>
    <w:rsid w:val="004A3C2A"/>
    <w:rsid w:val="004A3F0B"/>
    <w:rsid w:val="004A4E82"/>
    <w:rsid w:val="004A5C13"/>
    <w:rsid w:val="004A68DC"/>
    <w:rsid w:val="004A73D4"/>
    <w:rsid w:val="004A7CB2"/>
    <w:rsid w:val="004B0AC5"/>
    <w:rsid w:val="004B147F"/>
    <w:rsid w:val="004B189E"/>
    <w:rsid w:val="004B1F5E"/>
    <w:rsid w:val="004B2FF3"/>
    <w:rsid w:val="004B42B3"/>
    <w:rsid w:val="004B43DD"/>
    <w:rsid w:val="004B4F9B"/>
    <w:rsid w:val="004B501F"/>
    <w:rsid w:val="004B5D78"/>
    <w:rsid w:val="004B6741"/>
    <w:rsid w:val="004B6B2E"/>
    <w:rsid w:val="004B6BE9"/>
    <w:rsid w:val="004B73B1"/>
    <w:rsid w:val="004C05A5"/>
    <w:rsid w:val="004C309B"/>
    <w:rsid w:val="004C3750"/>
    <w:rsid w:val="004C4889"/>
    <w:rsid w:val="004C48FB"/>
    <w:rsid w:val="004C4A3D"/>
    <w:rsid w:val="004C7208"/>
    <w:rsid w:val="004C72CC"/>
    <w:rsid w:val="004D02B7"/>
    <w:rsid w:val="004D03F5"/>
    <w:rsid w:val="004D21BF"/>
    <w:rsid w:val="004D25ED"/>
    <w:rsid w:val="004D27BC"/>
    <w:rsid w:val="004D29A7"/>
    <w:rsid w:val="004D3D75"/>
    <w:rsid w:val="004D50D5"/>
    <w:rsid w:val="004D5D1C"/>
    <w:rsid w:val="004D6579"/>
    <w:rsid w:val="004D6E9D"/>
    <w:rsid w:val="004D7747"/>
    <w:rsid w:val="004E02A3"/>
    <w:rsid w:val="004E079A"/>
    <w:rsid w:val="004E0A71"/>
    <w:rsid w:val="004E1851"/>
    <w:rsid w:val="004E2187"/>
    <w:rsid w:val="004E4A7B"/>
    <w:rsid w:val="004E575F"/>
    <w:rsid w:val="004E5B80"/>
    <w:rsid w:val="004E62F4"/>
    <w:rsid w:val="004E6CB5"/>
    <w:rsid w:val="004F1F50"/>
    <w:rsid w:val="004F322A"/>
    <w:rsid w:val="004F3828"/>
    <w:rsid w:val="004F4108"/>
    <w:rsid w:val="004F4518"/>
    <w:rsid w:val="004F4F25"/>
    <w:rsid w:val="004F5A8D"/>
    <w:rsid w:val="004F6808"/>
    <w:rsid w:val="004F6E1B"/>
    <w:rsid w:val="00501A40"/>
    <w:rsid w:val="00501BA4"/>
    <w:rsid w:val="0050244A"/>
    <w:rsid w:val="00503C3B"/>
    <w:rsid w:val="005040CB"/>
    <w:rsid w:val="00504E5A"/>
    <w:rsid w:val="00506858"/>
    <w:rsid w:val="00506DB7"/>
    <w:rsid w:val="00510290"/>
    <w:rsid w:val="005112FD"/>
    <w:rsid w:val="00513EE1"/>
    <w:rsid w:val="00514D2B"/>
    <w:rsid w:val="00514FF0"/>
    <w:rsid w:val="00515E55"/>
    <w:rsid w:val="0051637F"/>
    <w:rsid w:val="00517459"/>
    <w:rsid w:val="005175DD"/>
    <w:rsid w:val="005207F9"/>
    <w:rsid w:val="00520CE9"/>
    <w:rsid w:val="0052118E"/>
    <w:rsid w:val="005224D6"/>
    <w:rsid w:val="00524C39"/>
    <w:rsid w:val="00527833"/>
    <w:rsid w:val="00530667"/>
    <w:rsid w:val="005306B9"/>
    <w:rsid w:val="0053179A"/>
    <w:rsid w:val="00532CAF"/>
    <w:rsid w:val="00534186"/>
    <w:rsid w:val="0053518E"/>
    <w:rsid w:val="0053540E"/>
    <w:rsid w:val="00535CA1"/>
    <w:rsid w:val="005376DB"/>
    <w:rsid w:val="00541767"/>
    <w:rsid w:val="0054179B"/>
    <w:rsid w:val="005429CE"/>
    <w:rsid w:val="00542A18"/>
    <w:rsid w:val="00543561"/>
    <w:rsid w:val="00544454"/>
    <w:rsid w:val="0054489B"/>
    <w:rsid w:val="00545035"/>
    <w:rsid w:val="00546729"/>
    <w:rsid w:val="005471C1"/>
    <w:rsid w:val="00547EF6"/>
    <w:rsid w:val="005512EB"/>
    <w:rsid w:val="00551437"/>
    <w:rsid w:val="005520D0"/>
    <w:rsid w:val="005553C6"/>
    <w:rsid w:val="00555E82"/>
    <w:rsid w:val="005566A4"/>
    <w:rsid w:val="0055723D"/>
    <w:rsid w:val="00557E72"/>
    <w:rsid w:val="00561F76"/>
    <w:rsid w:val="00562666"/>
    <w:rsid w:val="0056321F"/>
    <w:rsid w:val="00563AF5"/>
    <w:rsid w:val="00564483"/>
    <w:rsid w:val="00564960"/>
    <w:rsid w:val="00565188"/>
    <w:rsid w:val="00566C6E"/>
    <w:rsid w:val="005718D2"/>
    <w:rsid w:val="00571ABA"/>
    <w:rsid w:val="005725A2"/>
    <w:rsid w:val="0057276B"/>
    <w:rsid w:val="005729B8"/>
    <w:rsid w:val="00572F2E"/>
    <w:rsid w:val="0057544D"/>
    <w:rsid w:val="0057574F"/>
    <w:rsid w:val="005764CB"/>
    <w:rsid w:val="005766F7"/>
    <w:rsid w:val="00576C84"/>
    <w:rsid w:val="00576D45"/>
    <w:rsid w:val="00577703"/>
    <w:rsid w:val="00577B42"/>
    <w:rsid w:val="00580400"/>
    <w:rsid w:val="005808AD"/>
    <w:rsid w:val="00581C50"/>
    <w:rsid w:val="00581F36"/>
    <w:rsid w:val="00583088"/>
    <w:rsid w:val="00584250"/>
    <w:rsid w:val="00585503"/>
    <w:rsid w:val="00585F78"/>
    <w:rsid w:val="0058704A"/>
    <w:rsid w:val="0058744C"/>
    <w:rsid w:val="0059022D"/>
    <w:rsid w:val="00590613"/>
    <w:rsid w:val="00591A02"/>
    <w:rsid w:val="00591CBA"/>
    <w:rsid w:val="00592597"/>
    <w:rsid w:val="00594EF3"/>
    <w:rsid w:val="00595922"/>
    <w:rsid w:val="00596A47"/>
    <w:rsid w:val="00597BE7"/>
    <w:rsid w:val="005A0470"/>
    <w:rsid w:val="005A111F"/>
    <w:rsid w:val="005A16B2"/>
    <w:rsid w:val="005A26BE"/>
    <w:rsid w:val="005A2A89"/>
    <w:rsid w:val="005A312B"/>
    <w:rsid w:val="005A42AE"/>
    <w:rsid w:val="005A4343"/>
    <w:rsid w:val="005A5240"/>
    <w:rsid w:val="005A59F7"/>
    <w:rsid w:val="005A5BBF"/>
    <w:rsid w:val="005A5DF5"/>
    <w:rsid w:val="005A6CB5"/>
    <w:rsid w:val="005A6E37"/>
    <w:rsid w:val="005A6F6D"/>
    <w:rsid w:val="005A788B"/>
    <w:rsid w:val="005A7B21"/>
    <w:rsid w:val="005A7E70"/>
    <w:rsid w:val="005B0637"/>
    <w:rsid w:val="005B2388"/>
    <w:rsid w:val="005B30CA"/>
    <w:rsid w:val="005B3356"/>
    <w:rsid w:val="005B3C7D"/>
    <w:rsid w:val="005B3FB4"/>
    <w:rsid w:val="005B4136"/>
    <w:rsid w:val="005B514F"/>
    <w:rsid w:val="005B580C"/>
    <w:rsid w:val="005C06BF"/>
    <w:rsid w:val="005C06D7"/>
    <w:rsid w:val="005C141A"/>
    <w:rsid w:val="005C15B1"/>
    <w:rsid w:val="005C1F66"/>
    <w:rsid w:val="005C2092"/>
    <w:rsid w:val="005C286C"/>
    <w:rsid w:val="005C3648"/>
    <w:rsid w:val="005C3EB2"/>
    <w:rsid w:val="005C441E"/>
    <w:rsid w:val="005C4D62"/>
    <w:rsid w:val="005C509E"/>
    <w:rsid w:val="005C5C49"/>
    <w:rsid w:val="005C6307"/>
    <w:rsid w:val="005C6478"/>
    <w:rsid w:val="005C72D6"/>
    <w:rsid w:val="005D19E6"/>
    <w:rsid w:val="005D225E"/>
    <w:rsid w:val="005D2C8F"/>
    <w:rsid w:val="005D3CA9"/>
    <w:rsid w:val="005D48E0"/>
    <w:rsid w:val="005D54B6"/>
    <w:rsid w:val="005D5ABA"/>
    <w:rsid w:val="005D60AC"/>
    <w:rsid w:val="005D60CD"/>
    <w:rsid w:val="005D748C"/>
    <w:rsid w:val="005D7588"/>
    <w:rsid w:val="005E03D5"/>
    <w:rsid w:val="005E043C"/>
    <w:rsid w:val="005E0769"/>
    <w:rsid w:val="005E2146"/>
    <w:rsid w:val="005E21AF"/>
    <w:rsid w:val="005E2478"/>
    <w:rsid w:val="005E2CCA"/>
    <w:rsid w:val="005E310B"/>
    <w:rsid w:val="005E37ED"/>
    <w:rsid w:val="005E4DA0"/>
    <w:rsid w:val="005E598A"/>
    <w:rsid w:val="005E698A"/>
    <w:rsid w:val="005E7B92"/>
    <w:rsid w:val="005F0FFB"/>
    <w:rsid w:val="005F1F64"/>
    <w:rsid w:val="005F3CC2"/>
    <w:rsid w:val="005F4009"/>
    <w:rsid w:val="005F623A"/>
    <w:rsid w:val="005F76C1"/>
    <w:rsid w:val="005F7998"/>
    <w:rsid w:val="005F7C55"/>
    <w:rsid w:val="005F7FC9"/>
    <w:rsid w:val="00601645"/>
    <w:rsid w:val="00601833"/>
    <w:rsid w:val="0060195A"/>
    <w:rsid w:val="00602FBF"/>
    <w:rsid w:val="00603DC2"/>
    <w:rsid w:val="00603EE7"/>
    <w:rsid w:val="00603F99"/>
    <w:rsid w:val="0060418D"/>
    <w:rsid w:val="00604234"/>
    <w:rsid w:val="00604B7F"/>
    <w:rsid w:val="00606154"/>
    <w:rsid w:val="006063FD"/>
    <w:rsid w:val="00606B2F"/>
    <w:rsid w:val="006070D7"/>
    <w:rsid w:val="00610EBF"/>
    <w:rsid w:val="00611E9A"/>
    <w:rsid w:val="006146E1"/>
    <w:rsid w:val="00615531"/>
    <w:rsid w:val="0061577C"/>
    <w:rsid w:val="00615A68"/>
    <w:rsid w:val="006170ED"/>
    <w:rsid w:val="006205A8"/>
    <w:rsid w:val="00620D4E"/>
    <w:rsid w:val="0062108D"/>
    <w:rsid w:val="0062111E"/>
    <w:rsid w:val="0062143D"/>
    <w:rsid w:val="00621551"/>
    <w:rsid w:val="00621944"/>
    <w:rsid w:val="00621A3B"/>
    <w:rsid w:val="00621FAC"/>
    <w:rsid w:val="006221F9"/>
    <w:rsid w:val="0062262C"/>
    <w:rsid w:val="00623A6F"/>
    <w:rsid w:val="006249C1"/>
    <w:rsid w:val="00625636"/>
    <w:rsid w:val="00625772"/>
    <w:rsid w:val="00626FEF"/>
    <w:rsid w:val="0062727E"/>
    <w:rsid w:val="00631E16"/>
    <w:rsid w:val="00632E79"/>
    <w:rsid w:val="006336FC"/>
    <w:rsid w:val="00633B55"/>
    <w:rsid w:val="0063497A"/>
    <w:rsid w:val="006365CF"/>
    <w:rsid w:val="00637E07"/>
    <w:rsid w:val="00640C93"/>
    <w:rsid w:val="00641ACF"/>
    <w:rsid w:val="0064533E"/>
    <w:rsid w:val="00645D76"/>
    <w:rsid w:val="0065007A"/>
    <w:rsid w:val="00651724"/>
    <w:rsid w:val="006520AF"/>
    <w:rsid w:val="00652467"/>
    <w:rsid w:val="00653247"/>
    <w:rsid w:val="0065347E"/>
    <w:rsid w:val="00653778"/>
    <w:rsid w:val="006548F6"/>
    <w:rsid w:val="00655652"/>
    <w:rsid w:val="0065685E"/>
    <w:rsid w:val="00656D79"/>
    <w:rsid w:val="006602A0"/>
    <w:rsid w:val="006606B9"/>
    <w:rsid w:val="006609C1"/>
    <w:rsid w:val="00661420"/>
    <w:rsid w:val="0066221C"/>
    <w:rsid w:val="00663A9E"/>
    <w:rsid w:val="006655A8"/>
    <w:rsid w:val="006656BF"/>
    <w:rsid w:val="0066571E"/>
    <w:rsid w:val="00665E90"/>
    <w:rsid w:val="00665F77"/>
    <w:rsid w:val="00665FFD"/>
    <w:rsid w:val="00666A10"/>
    <w:rsid w:val="006677AC"/>
    <w:rsid w:val="00670428"/>
    <w:rsid w:val="00670A64"/>
    <w:rsid w:val="00670C73"/>
    <w:rsid w:val="0067109C"/>
    <w:rsid w:val="006712E5"/>
    <w:rsid w:val="006720D6"/>
    <w:rsid w:val="00672643"/>
    <w:rsid w:val="00672F5C"/>
    <w:rsid w:val="00672F9C"/>
    <w:rsid w:val="0067489B"/>
    <w:rsid w:val="00675732"/>
    <w:rsid w:val="00675F18"/>
    <w:rsid w:val="00680F3C"/>
    <w:rsid w:val="00680FA5"/>
    <w:rsid w:val="00681294"/>
    <w:rsid w:val="006820D0"/>
    <w:rsid w:val="0068280D"/>
    <w:rsid w:val="00683D04"/>
    <w:rsid w:val="00684258"/>
    <w:rsid w:val="00685CF7"/>
    <w:rsid w:val="006867F4"/>
    <w:rsid w:val="00687EF4"/>
    <w:rsid w:val="00690AEE"/>
    <w:rsid w:val="00690C85"/>
    <w:rsid w:val="00690F25"/>
    <w:rsid w:val="00691467"/>
    <w:rsid w:val="00691BA3"/>
    <w:rsid w:val="006933D8"/>
    <w:rsid w:val="0069504C"/>
    <w:rsid w:val="00695A02"/>
    <w:rsid w:val="00695F14"/>
    <w:rsid w:val="00696469"/>
    <w:rsid w:val="00697D36"/>
    <w:rsid w:val="00697FCD"/>
    <w:rsid w:val="006A02AC"/>
    <w:rsid w:val="006A169B"/>
    <w:rsid w:val="006A3807"/>
    <w:rsid w:val="006A39F9"/>
    <w:rsid w:val="006A558F"/>
    <w:rsid w:val="006A5710"/>
    <w:rsid w:val="006A75ED"/>
    <w:rsid w:val="006B18FE"/>
    <w:rsid w:val="006B1FB5"/>
    <w:rsid w:val="006B24FD"/>
    <w:rsid w:val="006B29D0"/>
    <w:rsid w:val="006B5172"/>
    <w:rsid w:val="006B5682"/>
    <w:rsid w:val="006B5D1E"/>
    <w:rsid w:val="006B6735"/>
    <w:rsid w:val="006B69F9"/>
    <w:rsid w:val="006C0495"/>
    <w:rsid w:val="006C0A88"/>
    <w:rsid w:val="006C0E3C"/>
    <w:rsid w:val="006C393C"/>
    <w:rsid w:val="006C3D35"/>
    <w:rsid w:val="006C4902"/>
    <w:rsid w:val="006C4CED"/>
    <w:rsid w:val="006C5E92"/>
    <w:rsid w:val="006C63EC"/>
    <w:rsid w:val="006C721F"/>
    <w:rsid w:val="006C7725"/>
    <w:rsid w:val="006D0CC2"/>
    <w:rsid w:val="006D0D8F"/>
    <w:rsid w:val="006D0DAC"/>
    <w:rsid w:val="006D0E5C"/>
    <w:rsid w:val="006D130A"/>
    <w:rsid w:val="006D1810"/>
    <w:rsid w:val="006D2940"/>
    <w:rsid w:val="006D3616"/>
    <w:rsid w:val="006D404D"/>
    <w:rsid w:val="006D4F64"/>
    <w:rsid w:val="006D5093"/>
    <w:rsid w:val="006D5A5C"/>
    <w:rsid w:val="006D60C7"/>
    <w:rsid w:val="006D6498"/>
    <w:rsid w:val="006D72CA"/>
    <w:rsid w:val="006E04A2"/>
    <w:rsid w:val="006E10ED"/>
    <w:rsid w:val="006E162C"/>
    <w:rsid w:val="006E267C"/>
    <w:rsid w:val="006E3B3D"/>
    <w:rsid w:val="006E515C"/>
    <w:rsid w:val="006E5CB0"/>
    <w:rsid w:val="006E5E94"/>
    <w:rsid w:val="006E6CD9"/>
    <w:rsid w:val="006F0164"/>
    <w:rsid w:val="006F101B"/>
    <w:rsid w:val="006F1514"/>
    <w:rsid w:val="006F1570"/>
    <w:rsid w:val="006F2A25"/>
    <w:rsid w:val="006F53AE"/>
    <w:rsid w:val="006F6ACC"/>
    <w:rsid w:val="0070014A"/>
    <w:rsid w:val="00700C90"/>
    <w:rsid w:val="00700D08"/>
    <w:rsid w:val="00701029"/>
    <w:rsid w:val="00701B1F"/>
    <w:rsid w:val="00701FEC"/>
    <w:rsid w:val="00703565"/>
    <w:rsid w:val="007037CC"/>
    <w:rsid w:val="0070410F"/>
    <w:rsid w:val="007049FE"/>
    <w:rsid w:val="00705010"/>
    <w:rsid w:val="00705164"/>
    <w:rsid w:val="00705470"/>
    <w:rsid w:val="007057F3"/>
    <w:rsid w:val="00705D99"/>
    <w:rsid w:val="00706BE0"/>
    <w:rsid w:val="007121DF"/>
    <w:rsid w:val="007123BA"/>
    <w:rsid w:val="00712B36"/>
    <w:rsid w:val="00712BFF"/>
    <w:rsid w:val="00713DA5"/>
    <w:rsid w:val="007147BA"/>
    <w:rsid w:val="0071487F"/>
    <w:rsid w:val="00714DDD"/>
    <w:rsid w:val="00714E9E"/>
    <w:rsid w:val="00714F09"/>
    <w:rsid w:val="007156E8"/>
    <w:rsid w:val="00715FF5"/>
    <w:rsid w:val="00717B80"/>
    <w:rsid w:val="00717CD8"/>
    <w:rsid w:val="00717E3D"/>
    <w:rsid w:val="00720346"/>
    <w:rsid w:val="00720C16"/>
    <w:rsid w:val="00721195"/>
    <w:rsid w:val="0072152C"/>
    <w:rsid w:val="0072185E"/>
    <w:rsid w:val="00721A0D"/>
    <w:rsid w:val="0072395E"/>
    <w:rsid w:val="0072447F"/>
    <w:rsid w:val="00726C94"/>
    <w:rsid w:val="0073022E"/>
    <w:rsid w:val="0073049C"/>
    <w:rsid w:val="007310F7"/>
    <w:rsid w:val="00731BA1"/>
    <w:rsid w:val="0073232C"/>
    <w:rsid w:val="0073382D"/>
    <w:rsid w:val="00734B8B"/>
    <w:rsid w:val="00734D87"/>
    <w:rsid w:val="007356C5"/>
    <w:rsid w:val="007357E8"/>
    <w:rsid w:val="00737DF5"/>
    <w:rsid w:val="00740372"/>
    <w:rsid w:val="007412FD"/>
    <w:rsid w:val="00741B69"/>
    <w:rsid w:val="00741C97"/>
    <w:rsid w:val="007437B3"/>
    <w:rsid w:val="00744AA5"/>
    <w:rsid w:val="00745B43"/>
    <w:rsid w:val="0074618E"/>
    <w:rsid w:val="00747166"/>
    <w:rsid w:val="007471E7"/>
    <w:rsid w:val="007475AE"/>
    <w:rsid w:val="00747C07"/>
    <w:rsid w:val="00747CAD"/>
    <w:rsid w:val="00747FF5"/>
    <w:rsid w:val="0075094C"/>
    <w:rsid w:val="00751E23"/>
    <w:rsid w:val="00752521"/>
    <w:rsid w:val="00752B9C"/>
    <w:rsid w:val="00752F08"/>
    <w:rsid w:val="00753027"/>
    <w:rsid w:val="00753A9A"/>
    <w:rsid w:val="00754642"/>
    <w:rsid w:val="00756B51"/>
    <w:rsid w:val="00756F38"/>
    <w:rsid w:val="00756FA5"/>
    <w:rsid w:val="00757B51"/>
    <w:rsid w:val="007604C2"/>
    <w:rsid w:val="00762932"/>
    <w:rsid w:val="00763143"/>
    <w:rsid w:val="007634F7"/>
    <w:rsid w:val="007641DF"/>
    <w:rsid w:val="00764D34"/>
    <w:rsid w:val="0076535C"/>
    <w:rsid w:val="00767E1F"/>
    <w:rsid w:val="007701C4"/>
    <w:rsid w:val="00770578"/>
    <w:rsid w:val="00770F0B"/>
    <w:rsid w:val="0077304B"/>
    <w:rsid w:val="00775AD7"/>
    <w:rsid w:val="00776212"/>
    <w:rsid w:val="00776608"/>
    <w:rsid w:val="00776D1F"/>
    <w:rsid w:val="00777233"/>
    <w:rsid w:val="00777316"/>
    <w:rsid w:val="0077758D"/>
    <w:rsid w:val="00777CB3"/>
    <w:rsid w:val="00777EE2"/>
    <w:rsid w:val="00780FF8"/>
    <w:rsid w:val="0078142C"/>
    <w:rsid w:val="0078270D"/>
    <w:rsid w:val="00783860"/>
    <w:rsid w:val="00783DAC"/>
    <w:rsid w:val="00785573"/>
    <w:rsid w:val="00786035"/>
    <w:rsid w:val="007867F7"/>
    <w:rsid w:val="0078687A"/>
    <w:rsid w:val="00786B33"/>
    <w:rsid w:val="00787978"/>
    <w:rsid w:val="0079096E"/>
    <w:rsid w:val="0079136C"/>
    <w:rsid w:val="007913BF"/>
    <w:rsid w:val="00792257"/>
    <w:rsid w:val="007931BC"/>
    <w:rsid w:val="0079414E"/>
    <w:rsid w:val="0079428F"/>
    <w:rsid w:val="00795970"/>
    <w:rsid w:val="00796FEA"/>
    <w:rsid w:val="00797800"/>
    <w:rsid w:val="007A024D"/>
    <w:rsid w:val="007A1B73"/>
    <w:rsid w:val="007A1D05"/>
    <w:rsid w:val="007A324D"/>
    <w:rsid w:val="007A3AE5"/>
    <w:rsid w:val="007A40DD"/>
    <w:rsid w:val="007A4303"/>
    <w:rsid w:val="007A64B2"/>
    <w:rsid w:val="007A707D"/>
    <w:rsid w:val="007B1411"/>
    <w:rsid w:val="007B171B"/>
    <w:rsid w:val="007B17F2"/>
    <w:rsid w:val="007B1BF9"/>
    <w:rsid w:val="007B21A7"/>
    <w:rsid w:val="007B3964"/>
    <w:rsid w:val="007B3B76"/>
    <w:rsid w:val="007B3BC7"/>
    <w:rsid w:val="007B41D4"/>
    <w:rsid w:val="007B5D56"/>
    <w:rsid w:val="007C0F88"/>
    <w:rsid w:val="007C1693"/>
    <w:rsid w:val="007C3232"/>
    <w:rsid w:val="007C78E2"/>
    <w:rsid w:val="007D0A85"/>
    <w:rsid w:val="007D10A9"/>
    <w:rsid w:val="007D1781"/>
    <w:rsid w:val="007D1EA8"/>
    <w:rsid w:val="007D2458"/>
    <w:rsid w:val="007D397E"/>
    <w:rsid w:val="007D41DD"/>
    <w:rsid w:val="007D4285"/>
    <w:rsid w:val="007D4715"/>
    <w:rsid w:val="007D57D1"/>
    <w:rsid w:val="007D5977"/>
    <w:rsid w:val="007D643F"/>
    <w:rsid w:val="007D67C2"/>
    <w:rsid w:val="007D6D82"/>
    <w:rsid w:val="007D7371"/>
    <w:rsid w:val="007D7B46"/>
    <w:rsid w:val="007E37C2"/>
    <w:rsid w:val="007E4131"/>
    <w:rsid w:val="007E4DFB"/>
    <w:rsid w:val="007E56E0"/>
    <w:rsid w:val="007E6FAE"/>
    <w:rsid w:val="007E7021"/>
    <w:rsid w:val="007E78C9"/>
    <w:rsid w:val="007F0676"/>
    <w:rsid w:val="007F07B0"/>
    <w:rsid w:val="007F1FD4"/>
    <w:rsid w:val="007F2218"/>
    <w:rsid w:val="007F3846"/>
    <w:rsid w:val="007F4C7C"/>
    <w:rsid w:val="007F5B36"/>
    <w:rsid w:val="007F62FA"/>
    <w:rsid w:val="007F78DF"/>
    <w:rsid w:val="007F7D53"/>
    <w:rsid w:val="007F7D5D"/>
    <w:rsid w:val="007F7F03"/>
    <w:rsid w:val="00802C6B"/>
    <w:rsid w:val="008037E9"/>
    <w:rsid w:val="0080466D"/>
    <w:rsid w:val="00804702"/>
    <w:rsid w:val="0080569E"/>
    <w:rsid w:val="00805C8B"/>
    <w:rsid w:val="00806D40"/>
    <w:rsid w:val="00807343"/>
    <w:rsid w:val="008074AA"/>
    <w:rsid w:val="00807625"/>
    <w:rsid w:val="008103F9"/>
    <w:rsid w:val="00811C3B"/>
    <w:rsid w:val="008136D8"/>
    <w:rsid w:val="008139C8"/>
    <w:rsid w:val="00813AB1"/>
    <w:rsid w:val="00813E26"/>
    <w:rsid w:val="00813F5E"/>
    <w:rsid w:val="00820E59"/>
    <w:rsid w:val="00821130"/>
    <w:rsid w:val="00821CD7"/>
    <w:rsid w:val="0082218C"/>
    <w:rsid w:val="00823221"/>
    <w:rsid w:val="00823248"/>
    <w:rsid w:val="00823589"/>
    <w:rsid w:val="00823EDD"/>
    <w:rsid w:val="0082454C"/>
    <w:rsid w:val="00825A29"/>
    <w:rsid w:val="00825AE2"/>
    <w:rsid w:val="00826369"/>
    <w:rsid w:val="008276A8"/>
    <w:rsid w:val="008304F3"/>
    <w:rsid w:val="00830B27"/>
    <w:rsid w:val="00830B97"/>
    <w:rsid w:val="00831416"/>
    <w:rsid w:val="0083214E"/>
    <w:rsid w:val="008339DE"/>
    <w:rsid w:val="00834154"/>
    <w:rsid w:val="0083547C"/>
    <w:rsid w:val="008354E1"/>
    <w:rsid w:val="00835C37"/>
    <w:rsid w:val="00836233"/>
    <w:rsid w:val="008364E2"/>
    <w:rsid w:val="00836CAE"/>
    <w:rsid w:val="00837339"/>
    <w:rsid w:val="00837628"/>
    <w:rsid w:val="00837698"/>
    <w:rsid w:val="00837ADC"/>
    <w:rsid w:val="00837F20"/>
    <w:rsid w:val="00840C3E"/>
    <w:rsid w:val="00842A2B"/>
    <w:rsid w:val="00842F18"/>
    <w:rsid w:val="00842FB7"/>
    <w:rsid w:val="00844422"/>
    <w:rsid w:val="00844E86"/>
    <w:rsid w:val="00845A96"/>
    <w:rsid w:val="00851A23"/>
    <w:rsid w:val="00852E3D"/>
    <w:rsid w:val="008530FA"/>
    <w:rsid w:val="0085359D"/>
    <w:rsid w:val="008542E5"/>
    <w:rsid w:val="00854BC2"/>
    <w:rsid w:val="00855040"/>
    <w:rsid w:val="008553AF"/>
    <w:rsid w:val="00855474"/>
    <w:rsid w:val="00856701"/>
    <w:rsid w:val="00860AF1"/>
    <w:rsid w:val="00862369"/>
    <w:rsid w:val="00862D73"/>
    <w:rsid w:val="00863E50"/>
    <w:rsid w:val="00864294"/>
    <w:rsid w:val="00865332"/>
    <w:rsid w:val="008663EE"/>
    <w:rsid w:val="00866A19"/>
    <w:rsid w:val="00866C43"/>
    <w:rsid w:val="0086707C"/>
    <w:rsid w:val="00867FD7"/>
    <w:rsid w:val="00870E19"/>
    <w:rsid w:val="008711AE"/>
    <w:rsid w:val="008728A8"/>
    <w:rsid w:val="00872F84"/>
    <w:rsid w:val="008742AB"/>
    <w:rsid w:val="00874C9F"/>
    <w:rsid w:val="00875540"/>
    <w:rsid w:val="00875F83"/>
    <w:rsid w:val="008767E7"/>
    <w:rsid w:val="00877A32"/>
    <w:rsid w:val="00882325"/>
    <w:rsid w:val="00882449"/>
    <w:rsid w:val="0088287A"/>
    <w:rsid w:val="00882B2B"/>
    <w:rsid w:val="00883DBE"/>
    <w:rsid w:val="00884BBD"/>
    <w:rsid w:val="008851FC"/>
    <w:rsid w:val="00885917"/>
    <w:rsid w:val="008865E7"/>
    <w:rsid w:val="00887D90"/>
    <w:rsid w:val="00890131"/>
    <w:rsid w:val="00890C0A"/>
    <w:rsid w:val="008915BF"/>
    <w:rsid w:val="00891B26"/>
    <w:rsid w:val="00891E7A"/>
    <w:rsid w:val="00892E0F"/>
    <w:rsid w:val="00893856"/>
    <w:rsid w:val="00894238"/>
    <w:rsid w:val="00894DD5"/>
    <w:rsid w:val="00894FBB"/>
    <w:rsid w:val="00897208"/>
    <w:rsid w:val="00897F5C"/>
    <w:rsid w:val="008A0666"/>
    <w:rsid w:val="008A1AB9"/>
    <w:rsid w:val="008A29B6"/>
    <w:rsid w:val="008A30A0"/>
    <w:rsid w:val="008A30C7"/>
    <w:rsid w:val="008A3348"/>
    <w:rsid w:val="008A401C"/>
    <w:rsid w:val="008A51EE"/>
    <w:rsid w:val="008A525A"/>
    <w:rsid w:val="008A6077"/>
    <w:rsid w:val="008A6773"/>
    <w:rsid w:val="008A69C5"/>
    <w:rsid w:val="008A69D4"/>
    <w:rsid w:val="008A6CFF"/>
    <w:rsid w:val="008A74FE"/>
    <w:rsid w:val="008A7A47"/>
    <w:rsid w:val="008B1219"/>
    <w:rsid w:val="008B1554"/>
    <w:rsid w:val="008B163A"/>
    <w:rsid w:val="008B1B3D"/>
    <w:rsid w:val="008B21A2"/>
    <w:rsid w:val="008B2375"/>
    <w:rsid w:val="008B23D7"/>
    <w:rsid w:val="008B27D7"/>
    <w:rsid w:val="008B2DB9"/>
    <w:rsid w:val="008B2FA2"/>
    <w:rsid w:val="008B31B2"/>
    <w:rsid w:val="008B3652"/>
    <w:rsid w:val="008B3DD5"/>
    <w:rsid w:val="008B3EB5"/>
    <w:rsid w:val="008B57B8"/>
    <w:rsid w:val="008B61C4"/>
    <w:rsid w:val="008C1DC8"/>
    <w:rsid w:val="008C2346"/>
    <w:rsid w:val="008C2F1A"/>
    <w:rsid w:val="008C3D5E"/>
    <w:rsid w:val="008C4FC3"/>
    <w:rsid w:val="008C5BCC"/>
    <w:rsid w:val="008C695D"/>
    <w:rsid w:val="008C6BDE"/>
    <w:rsid w:val="008D06BC"/>
    <w:rsid w:val="008D0C30"/>
    <w:rsid w:val="008D0E62"/>
    <w:rsid w:val="008D1978"/>
    <w:rsid w:val="008D35F4"/>
    <w:rsid w:val="008D4282"/>
    <w:rsid w:val="008D4599"/>
    <w:rsid w:val="008D4901"/>
    <w:rsid w:val="008D4D1B"/>
    <w:rsid w:val="008D4FC9"/>
    <w:rsid w:val="008D63A1"/>
    <w:rsid w:val="008D6972"/>
    <w:rsid w:val="008D7965"/>
    <w:rsid w:val="008E12C9"/>
    <w:rsid w:val="008E174D"/>
    <w:rsid w:val="008E2400"/>
    <w:rsid w:val="008E2DE7"/>
    <w:rsid w:val="008E2F28"/>
    <w:rsid w:val="008E347F"/>
    <w:rsid w:val="008E7650"/>
    <w:rsid w:val="008E78D1"/>
    <w:rsid w:val="008F082E"/>
    <w:rsid w:val="008F149C"/>
    <w:rsid w:val="008F2464"/>
    <w:rsid w:val="008F2610"/>
    <w:rsid w:val="008F3E4D"/>
    <w:rsid w:val="008F5D76"/>
    <w:rsid w:val="008F7570"/>
    <w:rsid w:val="00900304"/>
    <w:rsid w:val="00900BCC"/>
    <w:rsid w:val="00900ED6"/>
    <w:rsid w:val="00901646"/>
    <w:rsid w:val="009016BB"/>
    <w:rsid w:val="0090259B"/>
    <w:rsid w:val="009025E0"/>
    <w:rsid w:val="0090349D"/>
    <w:rsid w:val="00905397"/>
    <w:rsid w:val="009054E5"/>
    <w:rsid w:val="00905C3F"/>
    <w:rsid w:val="009067C2"/>
    <w:rsid w:val="00906DB1"/>
    <w:rsid w:val="00907241"/>
    <w:rsid w:val="00911050"/>
    <w:rsid w:val="0091294B"/>
    <w:rsid w:val="00912B68"/>
    <w:rsid w:val="00913014"/>
    <w:rsid w:val="009139EA"/>
    <w:rsid w:val="00913D8A"/>
    <w:rsid w:val="00914139"/>
    <w:rsid w:val="0091560E"/>
    <w:rsid w:val="009230FF"/>
    <w:rsid w:val="00923339"/>
    <w:rsid w:val="009239F4"/>
    <w:rsid w:val="00924197"/>
    <w:rsid w:val="0092465B"/>
    <w:rsid w:val="00926197"/>
    <w:rsid w:val="00931026"/>
    <w:rsid w:val="00931C60"/>
    <w:rsid w:val="00931EBD"/>
    <w:rsid w:val="00932F21"/>
    <w:rsid w:val="009336C2"/>
    <w:rsid w:val="00937E9A"/>
    <w:rsid w:val="009417B5"/>
    <w:rsid w:val="00941B08"/>
    <w:rsid w:val="009424D1"/>
    <w:rsid w:val="009425BC"/>
    <w:rsid w:val="0094330D"/>
    <w:rsid w:val="009434D8"/>
    <w:rsid w:val="009442C7"/>
    <w:rsid w:val="009447A6"/>
    <w:rsid w:val="0094588B"/>
    <w:rsid w:val="00945954"/>
    <w:rsid w:val="0094732A"/>
    <w:rsid w:val="009505C0"/>
    <w:rsid w:val="00950817"/>
    <w:rsid w:val="00950ABB"/>
    <w:rsid w:val="00950F59"/>
    <w:rsid w:val="0095117F"/>
    <w:rsid w:val="0095284C"/>
    <w:rsid w:val="00952925"/>
    <w:rsid w:val="009529C2"/>
    <w:rsid w:val="009529F0"/>
    <w:rsid w:val="009530F2"/>
    <w:rsid w:val="009531DC"/>
    <w:rsid w:val="009570E7"/>
    <w:rsid w:val="00957A71"/>
    <w:rsid w:val="00957F61"/>
    <w:rsid w:val="0096091E"/>
    <w:rsid w:val="00961669"/>
    <w:rsid w:val="009621F4"/>
    <w:rsid w:val="009623EB"/>
    <w:rsid w:val="00963F46"/>
    <w:rsid w:val="00964424"/>
    <w:rsid w:val="009647C6"/>
    <w:rsid w:val="009653AC"/>
    <w:rsid w:val="00965BFE"/>
    <w:rsid w:val="0096635D"/>
    <w:rsid w:val="00967170"/>
    <w:rsid w:val="00967B71"/>
    <w:rsid w:val="00970AD2"/>
    <w:rsid w:val="00970B63"/>
    <w:rsid w:val="0097114E"/>
    <w:rsid w:val="009714A0"/>
    <w:rsid w:val="00971B88"/>
    <w:rsid w:val="00971F4C"/>
    <w:rsid w:val="0097208B"/>
    <w:rsid w:val="00973366"/>
    <w:rsid w:val="0097376C"/>
    <w:rsid w:val="009747A4"/>
    <w:rsid w:val="0097554F"/>
    <w:rsid w:val="0097587E"/>
    <w:rsid w:val="00975A07"/>
    <w:rsid w:val="00977197"/>
    <w:rsid w:val="00977B44"/>
    <w:rsid w:val="00980182"/>
    <w:rsid w:val="00980876"/>
    <w:rsid w:val="009809FB"/>
    <w:rsid w:val="009813B0"/>
    <w:rsid w:val="00981D95"/>
    <w:rsid w:val="00982889"/>
    <w:rsid w:val="00984AA1"/>
    <w:rsid w:val="00985A65"/>
    <w:rsid w:val="00987245"/>
    <w:rsid w:val="009873A0"/>
    <w:rsid w:val="00987B29"/>
    <w:rsid w:val="0099099F"/>
    <w:rsid w:val="00990F0A"/>
    <w:rsid w:val="009924F4"/>
    <w:rsid w:val="0099293C"/>
    <w:rsid w:val="009947C8"/>
    <w:rsid w:val="00994921"/>
    <w:rsid w:val="00994DC1"/>
    <w:rsid w:val="00995C83"/>
    <w:rsid w:val="0099662F"/>
    <w:rsid w:val="00996696"/>
    <w:rsid w:val="009966CA"/>
    <w:rsid w:val="00996EA5"/>
    <w:rsid w:val="009A1ACC"/>
    <w:rsid w:val="009A1C9E"/>
    <w:rsid w:val="009A39F1"/>
    <w:rsid w:val="009A3A1B"/>
    <w:rsid w:val="009A4423"/>
    <w:rsid w:val="009A481F"/>
    <w:rsid w:val="009A4D65"/>
    <w:rsid w:val="009A50F9"/>
    <w:rsid w:val="009A50FB"/>
    <w:rsid w:val="009A6217"/>
    <w:rsid w:val="009A6515"/>
    <w:rsid w:val="009A6D75"/>
    <w:rsid w:val="009B0003"/>
    <w:rsid w:val="009B01AE"/>
    <w:rsid w:val="009B0557"/>
    <w:rsid w:val="009B07C0"/>
    <w:rsid w:val="009B2F1B"/>
    <w:rsid w:val="009B366C"/>
    <w:rsid w:val="009B3A82"/>
    <w:rsid w:val="009B5C2D"/>
    <w:rsid w:val="009C03B5"/>
    <w:rsid w:val="009C2612"/>
    <w:rsid w:val="009C2658"/>
    <w:rsid w:val="009C2ED0"/>
    <w:rsid w:val="009C2F86"/>
    <w:rsid w:val="009C3085"/>
    <w:rsid w:val="009C3C14"/>
    <w:rsid w:val="009C4118"/>
    <w:rsid w:val="009C4786"/>
    <w:rsid w:val="009C4A54"/>
    <w:rsid w:val="009C5155"/>
    <w:rsid w:val="009C6824"/>
    <w:rsid w:val="009C6A24"/>
    <w:rsid w:val="009D1177"/>
    <w:rsid w:val="009D165A"/>
    <w:rsid w:val="009D1D26"/>
    <w:rsid w:val="009D26C6"/>
    <w:rsid w:val="009D2872"/>
    <w:rsid w:val="009D3B37"/>
    <w:rsid w:val="009D57A0"/>
    <w:rsid w:val="009D5D25"/>
    <w:rsid w:val="009D616C"/>
    <w:rsid w:val="009D74BC"/>
    <w:rsid w:val="009D78CF"/>
    <w:rsid w:val="009D7A05"/>
    <w:rsid w:val="009E0410"/>
    <w:rsid w:val="009E067D"/>
    <w:rsid w:val="009E12CE"/>
    <w:rsid w:val="009E2870"/>
    <w:rsid w:val="009E3A98"/>
    <w:rsid w:val="009E4154"/>
    <w:rsid w:val="009E4453"/>
    <w:rsid w:val="009E479D"/>
    <w:rsid w:val="009E5490"/>
    <w:rsid w:val="009E5F42"/>
    <w:rsid w:val="009E7768"/>
    <w:rsid w:val="009E78C3"/>
    <w:rsid w:val="009E7BA0"/>
    <w:rsid w:val="009F334A"/>
    <w:rsid w:val="009F3423"/>
    <w:rsid w:val="009F41E7"/>
    <w:rsid w:val="009F4388"/>
    <w:rsid w:val="009F49E3"/>
    <w:rsid w:val="009F6AFA"/>
    <w:rsid w:val="009F73FC"/>
    <w:rsid w:val="00A00611"/>
    <w:rsid w:val="00A00D2E"/>
    <w:rsid w:val="00A00DB8"/>
    <w:rsid w:val="00A0242E"/>
    <w:rsid w:val="00A03129"/>
    <w:rsid w:val="00A03D2F"/>
    <w:rsid w:val="00A043E6"/>
    <w:rsid w:val="00A04C2B"/>
    <w:rsid w:val="00A05D9A"/>
    <w:rsid w:val="00A06167"/>
    <w:rsid w:val="00A0738F"/>
    <w:rsid w:val="00A07E7B"/>
    <w:rsid w:val="00A10077"/>
    <w:rsid w:val="00A10B2C"/>
    <w:rsid w:val="00A11B45"/>
    <w:rsid w:val="00A12095"/>
    <w:rsid w:val="00A14447"/>
    <w:rsid w:val="00A14582"/>
    <w:rsid w:val="00A145BC"/>
    <w:rsid w:val="00A1528E"/>
    <w:rsid w:val="00A15904"/>
    <w:rsid w:val="00A15BB1"/>
    <w:rsid w:val="00A20349"/>
    <w:rsid w:val="00A20BC3"/>
    <w:rsid w:val="00A21669"/>
    <w:rsid w:val="00A21AED"/>
    <w:rsid w:val="00A22B9E"/>
    <w:rsid w:val="00A23C53"/>
    <w:rsid w:val="00A2427E"/>
    <w:rsid w:val="00A24C12"/>
    <w:rsid w:val="00A24D8A"/>
    <w:rsid w:val="00A264F6"/>
    <w:rsid w:val="00A265A9"/>
    <w:rsid w:val="00A26DF7"/>
    <w:rsid w:val="00A278D1"/>
    <w:rsid w:val="00A302CB"/>
    <w:rsid w:val="00A311B4"/>
    <w:rsid w:val="00A3172A"/>
    <w:rsid w:val="00A31E09"/>
    <w:rsid w:val="00A32A23"/>
    <w:rsid w:val="00A32ECD"/>
    <w:rsid w:val="00A33674"/>
    <w:rsid w:val="00A33FCB"/>
    <w:rsid w:val="00A3548B"/>
    <w:rsid w:val="00A35EDB"/>
    <w:rsid w:val="00A36068"/>
    <w:rsid w:val="00A365B4"/>
    <w:rsid w:val="00A376D8"/>
    <w:rsid w:val="00A37C04"/>
    <w:rsid w:val="00A40619"/>
    <w:rsid w:val="00A415EC"/>
    <w:rsid w:val="00A41AAC"/>
    <w:rsid w:val="00A41F84"/>
    <w:rsid w:val="00A4273F"/>
    <w:rsid w:val="00A42EAA"/>
    <w:rsid w:val="00A4423C"/>
    <w:rsid w:val="00A45675"/>
    <w:rsid w:val="00A4689C"/>
    <w:rsid w:val="00A468E8"/>
    <w:rsid w:val="00A46F82"/>
    <w:rsid w:val="00A473D8"/>
    <w:rsid w:val="00A47817"/>
    <w:rsid w:val="00A47858"/>
    <w:rsid w:val="00A50972"/>
    <w:rsid w:val="00A516BA"/>
    <w:rsid w:val="00A52470"/>
    <w:rsid w:val="00A527E3"/>
    <w:rsid w:val="00A52DC8"/>
    <w:rsid w:val="00A540FD"/>
    <w:rsid w:val="00A54F7D"/>
    <w:rsid w:val="00A54FCB"/>
    <w:rsid w:val="00A56AB0"/>
    <w:rsid w:val="00A573DB"/>
    <w:rsid w:val="00A60C74"/>
    <w:rsid w:val="00A60EA2"/>
    <w:rsid w:val="00A610C6"/>
    <w:rsid w:val="00A618D4"/>
    <w:rsid w:val="00A61C31"/>
    <w:rsid w:val="00A63010"/>
    <w:rsid w:val="00A6319C"/>
    <w:rsid w:val="00A63B36"/>
    <w:rsid w:val="00A6465F"/>
    <w:rsid w:val="00A65643"/>
    <w:rsid w:val="00A658FD"/>
    <w:rsid w:val="00A67E75"/>
    <w:rsid w:val="00A719D7"/>
    <w:rsid w:val="00A7200A"/>
    <w:rsid w:val="00A721FF"/>
    <w:rsid w:val="00A7259D"/>
    <w:rsid w:val="00A72767"/>
    <w:rsid w:val="00A729D9"/>
    <w:rsid w:val="00A73554"/>
    <w:rsid w:val="00A737FE"/>
    <w:rsid w:val="00A73C59"/>
    <w:rsid w:val="00A751A8"/>
    <w:rsid w:val="00A75246"/>
    <w:rsid w:val="00A777E8"/>
    <w:rsid w:val="00A80C32"/>
    <w:rsid w:val="00A81A31"/>
    <w:rsid w:val="00A81C04"/>
    <w:rsid w:val="00A8297D"/>
    <w:rsid w:val="00A843EB"/>
    <w:rsid w:val="00A8526C"/>
    <w:rsid w:val="00A85B0F"/>
    <w:rsid w:val="00A85E3E"/>
    <w:rsid w:val="00A862F2"/>
    <w:rsid w:val="00A87690"/>
    <w:rsid w:val="00A90106"/>
    <w:rsid w:val="00A92238"/>
    <w:rsid w:val="00A92720"/>
    <w:rsid w:val="00A930EB"/>
    <w:rsid w:val="00A93F04"/>
    <w:rsid w:val="00A94558"/>
    <w:rsid w:val="00AA0E93"/>
    <w:rsid w:val="00AA1F13"/>
    <w:rsid w:val="00AA29C6"/>
    <w:rsid w:val="00AA2E34"/>
    <w:rsid w:val="00AA3171"/>
    <w:rsid w:val="00AA36CF"/>
    <w:rsid w:val="00AA3B5A"/>
    <w:rsid w:val="00AA4A87"/>
    <w:rsid w:val="00AA4BED"/>
    <w:rsid w:val="00AA52CE"/>
    <w:rsid w:val="00AA5A5E"/>
    <w:rsid w:val="00AA626B"/>
    <w:rsid w:val="00AA7071"/>
    <w:rsid w:val="00AB05FA"/>
    <w:rsid w:val="00AB10EE"/>
    <w:rsid w:val="00AB1176"/>
    <w:rsid w:val="00AB13A3"/>
    <w:rsid w:val="00AB2156"/>
    <w:rsid w:val="00AB2789"/>
    <w:rsid w:val="00AB3482"/>
    <w:rsid w:val="00AB3BC2"/>
    <w:rsid w:val="00AB3CD8"/>
    <w:rsid w:val="00AB4897"/>
    <w:rsid w:val="00AC0B1F"/>
    <w:rsid w:val="00AC1C28"/>
    <w:rsid w:val="00AC1C87"/>
    <w:rsid w:val="00AC1D8C"/>
    <w:rsid w:val="00AC386A"/>
    <w:rsid w:val="00AC3C72"/>
    <w:rsid w:val="00AC4160"/>
    <w:rsid w:val="00AC4A6C"/>
    <w:rsid w:val="00AC5911"/>
    <w:rsid w:val="00AC5916"/>
    <w:rsid w:val="00AD2486"/>
    <w:rsid w:val="00AD35B2"/>
    <w:rsid w:val="00AD7293"/>
    <w:rsid w:val="00AD79B6"/>
    <w:rsid w:val="00AE16A0"/>
    <w:rsid w:val="00AE3CA6"/>
    <w:rsid w:val="00AE45BC"/>
    <w:rsid w:val="00AE51CE"/>
    <w:rsid w:val="00AE52E6"/>
    <w:rsid w:val="00AE5A59"/>
    <w:rsid w:val="00AE5EA5"/>
    <w:rsid w:val="00AE6507"/>
    <w:rsid w:val="00AE7CE5"/>
    <w:rsid w:val="00AE7FD3"/>
    <w:rsid w:val="00AF0751"/>
    <w:rsid w:val="00AF1148"/>
    <w:rsid w:val="00AF1540"/>
    <w:rsid w:val="00AF21B0"/>
    <w:rsid w:val="00AF2944"/>
    <w:rsid w:val="00AF385E"/>
    <w:rsid w:val="00AF4505"/>
    <w:rsid w:val="00AF62F1"/>
    <w:rsid w:val="00AF6BBC"/>
    <w:rsid w:val="00AF70A3"/>
    <w:rsid w:val="00AF74C7"/>
    <w:rsid w:val="00B003BE"/>
    <w:rsid w:val="00B005D0"/>
    <w:rsid w:val="00B00EC9"/>
    <w:rsid w:val="00B01B5F"/>
    <w:rsid w:val="00B028C6"/>
    <w:rsid w:val="00B03619"/>
    <w:rsid w:val="00B03CC8"/>
    <w:rsid w:val="00B041AA"/>
    <w:rsid w:val="00B04CDF"/>
    <w:rsid w:val="00B05434"/>
    <w:rsid w:val="00B060D0"/>
    <w:rsid w:val="00B069C3"/>
    <w:rsid w:val="00B079FA"/>
    <w:rsid w:val="00B10001"/>
    <w:rsid w:val="00B1033B"/>
    <w:rsid w:val="00B109F8"/>
    <w:rsid w:val="00B10EE3"/>
    <w:rsid w:val="00B10F81"/>
    <w:rsid w:val="00B1211D"/>
    <w:rsid w:val="00B12883"/>
    <w:rsid w:val="00B1336D"/>
    <w:rsid w:val="00B13D37"/>
    <w:rsid w:val="00B14262"/>
    <w:rsid w:val="00B1461E"/>
    <w:rsid w:val="00B15939"/>
    <w:rsid w:val="00B15DEB"/>
    <w:rsid w:val="00B15E5F"/>
    <w:rsid w:val="00B16267"/>
    <w:rsid w:val="00B164FF"/>
    <w:rsid w:val="00B17BCF"/>
    <w:rsid w:val="00B206AC"/>
    <w:rsid w:val="00B21696"/>
    <w:rsid w:val="00B219A4"/>
    <w:rsid w:val="00B22954"/>
    <w:rsid w:val="00B232EE"/>
    <w:rsid w:val="00B2333F"/>
    <w:rsid w:val="00B23833"/>
    <w:rsid w:val="00B23BAC"/>
    <w:rsid w:val="00B249CE"/>
    <w:rsid w:val="00B264BF"/>
    <w:rsid w:val="00B27616"/>
    <w:rsid w:val="00B27A75"/>
    <w:rsid w:val="00B27D09"/>
    <w:rsid w:val="00B304FE"/>
    <w:rsid w:val="00B30C42"/>
    <w:rsid w:val="00B30E76"/>
    <w:rsid w:val="00B31EF7"/>
    <w:rsid w:val="00B33596"/>
    <w:rsid w:val="00B346A4"/>
    <w:rsid w:val="00B351CF"/>
    <w:rsid w:val="00B354B5"/>
    <w:rsid w:val="00B355D5"/>
    <w:rsid w:val="00B36468"/>
    <w:rsid w:val="00B37A0C"/>
    <w:rsid w:val="00B37E8D"/>
    <w:rsid w:val="00B414FE"/>
    <w:rsid w:val="00B41ECC"/>
    <w:rsid w:val="00B42AEA"/>
    <w:rsid w:val="00B42DA7"/>
    <w:rsid w:val="00B4355D"/>
    <w:rsid w:val="00B43773"/>
    <w:rsid w:val="00B43A3B"/>
    <w:rsid w:val="00B43D81"/>
    <w:rsid w:val="00B444AE"/>
    <w:rsid w:val="00B46F71"/>
    <w:rsid w:val="00B471ED"/>
    <w:rsid w:val="00B4757B"/>
    <w:rsid w:val="00B50382"/>
    <w:rsid w:val="00B516D7"/>
    <w:rsid w:val="00B5179F"/>
    <w:rsid w:val="00B53695"/>
    <w:rsid w:val="00B53737"/>
    <w:rsid w:val="00B55C5B"/>
    <w:rsid w:val="00B56B05"/>
    <w:rsid w:val="00B57055"/>
    <w:rsid w:val="00B57174"/>
    <w:rsid w:val="00B60328"/>
    <w:rsid w:val="00B61735"/>
    <w:rsid w:val="00B62BE8"/>
    <w:rsid w:val="00B62D5D"/>
    <w:rsid w:val="00B63202"/>
    <w:rsid w:val="00B63E27"/>
    <w:rsid w:val="00B64C9D"/>
    <w:rsid w:val="00B65BE0"/>
    <w:rsid w:val="00B65D7D"/>
    <w:rsid w:val="00B666F3"/>
    <w:rsid w:val="00B66DDE"/>
    <w:rsid w:val="00B70126"/>
    <w:rsid w:val="00B70715"/>
    <w:rsid w:val="00B70DCD"/>
    <w:rsid w:val="00B70DFC"/>
    <w:rsid w:val="00B70EB0"/>
    <w:rsid w:val="00B71491"/>
    <w:rsid w:val="00B722B5"/>
    <w:rsid w:val="00B729C7"/>
    <w:rsid w:val="00B73AA7"/>
    <w:rsid w:val="00B73D91"/>
    <w:rsid w:val="00B741FA"/>
    <w:rsid w:val="00B74EB1"/>
    <w:rsid w:val="00B7515A"/>
    <w:rsid w:val="00B75718"/>
    <w:rsid w:val="00B75838"/>
    <w:rsid w:val="00B75B47"/>
    <w:rsid w:val="00B75B7D"/>
    <w:rsid w:val="00B76A69"/>
    <w:rsid w:val="00B76D80"/>
    <w:rsid w:val="00B76F48"/>
    <w:rsid w:val="00B776FC"/>
    <w:rsid w:val="00B779A6"/>
    <w:rsid w:val="00B77CCC"/>
    <w:rsid w:val="00B77FF1"/>
    <w:rsid w:val="00B8107F"/>
    <w:rsid w:val="00B811CB"/>
    <w:rsid w:val="00B8134B"/>
    <w:rsid w:val="00B817B6"/>
    <w:rsid w:val="00B81CDA"/>
    <w:rsid w:val="00B844C8"/>
    <w:rsid w:val="00B878EC"/>
    <w:rsid w:val="00B87BFE"/>
    <w:rsid w:val="00B9075C"/>
    <w:rsid w:val="00B90833"/>
    <w:rsid w:val="00B93E6C"/>
    <w:rsid w:val="00B9444B"/>
    <w:rsid w:val="00B9545E"/>
    <w:rsid w:val="00B95770"/>
    <w:rsid w:val="00B957DA"/>
    <w:rsid w:val="00B957DB"/>
    <w:rsid w:val="00B95FE6"/>
    <w:rsid w:val="00B96249"/>
    <w:rsid w:val="00B96D5D"/>
    <w:rsid w:val="00B979ED"/>
    <w:rsid w:val="00BA27B8"/>
    <w:rsid w:val="00BA3403"/>
    <w:rsid w:val="00BA354E"/>
    <w:rsid w:val="00BA4182"/>
    <w:rsid w:val="00BA5C4A"/>
    <w:rsid w:val="00BA682E"/>
    <w:rsid w:val="00BA6D57"/>
    <w:rsid w:val="00BA722F"/>
    <w:rsid w:val="00BB0CF8"/>
    <w:rsid w:val="00BB2291"/>
    <w:rsid w:val="00BB2CB3"/>
    <w:rsid w:val="00BB3326"/>
    <w:rsid w:val="00BB3FF6"/>
    <w:rsid w:val="00BB41E5"/>
    <w:rsid w:val="00BB5757"/>
    <w:rsid w:val="00BB6077"/>
    <w:rsid w:val="00BB78AB"/>
    <w:rsid w:val="00BB7A8D"/>
    <w:rsid w:val="00BC0A6A"/>
    <w:rsid w:val="00BC1194"/>
    <w:rsid w:val="00BC1775"/>
    <w:rsid w:val="00BC46E6"/>
    <w:rsid w:val="00BC5A65"/>
    <w:rsid w:val="00BC7806"/>
    <w:rsid w:val="00BC7C93"/>
    <w:rsid w:val="00BD0732"/>
    <w:rsid w:val="00BD103B"/>
    <w:rsid w:val="00BD144B"/>
    <w:rsid w:val="00BD1881"/>
    <w:rsid w:val="00BD2630"/>
    <w:rsid w:val="00BD2AC5"/>
    <w:rsid w:val="00BD2E17"/>
    <w:rsid w:val="00BD310E"/>
    <w:rsid w:val="00BD360B"/>
    <w:rsid w:val="00BD42E9"/>
    <w:rsid w:val="00BD490A"/>
    <w:rsid w:val="00BD4D1C"/>
    <w:rsid w:val="00BD60AF"/>
    <w:rsid w:val="00BD6189"/>
    <w:rsid w:val="00BD64AD"/>
    <w:rsid w:val="00BD7414"/>
    <w:rsid w:val="00BE0556"/>
    <w:rsid w:val="00BE1287"/>
    <w:rsid w:val="00BE1889"/>
    <w:rsid w:val="00BE1EA0"/>
    <w:rsid w:val="00BE280A"/>
    <w:rsid w:val="00BE2E64"/>
    <w:rsid w:val="00BE37E2"/>
    <w:rsid w:val="00BE4146"/>
    <w:rsid w:val="00BE452B"/>
    <w:rsid w:val="00BE610E"/>
    <w:rsid w:val="00BE679B"/>
    <w:rsid w:val="00BE7101"/>
    <w:rsid w:val="00BE72F0"/>
    <w:rsid w:val="00BE7A1D"/>
    <w:rsid w:val="00BE7EBF"/>
    <w:rsid w:val="00BF1892"/>
    <w:rsid w:val="00BF1FD0"/>
    <w:rsid w:val="00BF2030"/>
    <w:rsid w:val="00BF2310"/>
    <w:rsid w:val="00BF28D8"/>
    <w:rsid w:val="00BF2C33"/>
    <w:rsid w:val="00BF2FFC"/>
    <w:rsid w:val="00BF304B"/>
    <w:rsid w:val="00BF33CD"/>
    <w:rsid w:val="00BF3F24"/>
    <w:rsid w:val="00BF45C6"/>
    <w:rsid w:val="00BF48CE"/>
    <w:rsid w:val="00BF4B5E"/>
    <w:rsid w:val="00BF6816"/>
    <w:rsid w:val="00BF769A"/>
    <w:rsid w:val="00BF7CE8"/>
    <w:rsid w:val="00C0057E"/>
    <w:rsid w:val="00C01057"/>
    <w:rsid w:val="00C01F64"/>
    <w:rsid w:val="00C038E9"/>
    <w:rsid w:val="00C0483E"/>
    <w:rsid w:val="00C075AE"/>
    <w:rsid w:val="00C07AB8"/>
    <w:rsid w:val="00C10A0A"/>
    <w:rsid w:val="00C10C0B"/>
    <w:rsid w:val="00C10E78"/>
    <w:rsid w:val="00C124D0"/>
    <w:rsid w:val="00C127DD"/>
    <w:rsid w:val="00C131D1"/>
    <w:rsid w:val="00C14C7B"/>
    <w:rsid w:val="00C15586"/>
    <w:rsid w:val="00C1615C"/>
    <w:rsid w:val="00C178AE"/>
    <w:rsid w:val="00C200E4"/>
    <w:rsid w:val="00C210B6"/>
    <w:rsid w:val="00C2128B"/>
    <w:rsid w:val="00C22C77"/>
    <w:rsid w:val="00C24278"/>
    <w:rsid w:val="00C245E9"/>
    <w:rsid w:val="00C247C1"/>
    <w:rsid w:val="00C25FD1"/>
    <w:rsid w:val="00C265D4"/>
    <w:rsid w:val="00C26976"/>
    <w:rsid w:val="00C26B50"/>
    <w:rsid w:val="00C27D62"/>
    <w:rsid w:val="00C313D8"/>
    <w:rsid w:val="00C31721"/>
    <w:rsid w:val="00C318B8"/>
    <w:rsid w:val="00C32BB4"/>
    <w:rsid w:val="00C3325E"/>
    <w:rsid w:val="00C334DB"/>
    <w:rsid w:val="00C33564"/>
    <w:rsid w:val="00C34ABD"/>
    <w:rsid w:val="00C352D6"/>
    <w:rsid w:val="00C36FE6"/>
    <w:rsid w:val="00C377B3"/>
    <w:rsid w:val="00C40135"/>
    <w:rsid w:val="00C40AF8"/>
    <w:rsid w:val="00C41221"/>
    <w:rsid w:val="00C41305"/>
    <w:rsid w:val="00C42C07"/>
    <w:rsid w:val="00C42DAC"/>
    <w:rsid w:val="00C43A72"/>
    <w:rsid w:val="00C44E26"/>
    <w:rsid w:val="00C4560A"/>
    <w:rsid w:val="00C45C8B"/>
    <w:rsid w:val="00C4647F"/>
    <w:rsid w:val="00C477ED"/>
    <w:rsid w:val="00C50DFE"/>
    <w:rsid w:val="00C510CE"/>
    <w:rsid w:val="00C512A7"/>
    <w:rsid w:val="00C51327"/>
    <w:rsid w:val="00C515B6"/>
    <w:rsid w:val="00C51AB2"/>
    <w:rsid w:val="00C525EE"/>
    <w:rsid w:val="00C5267E"/>
    <w:rsid w:val="00C539D9"/>
    <w:rsid w:val="00C54857"/>
    <w:rsid w:val="00C562E2"/>
    <w:rsid w:val="00C578BA"/>
    <w:rsid w:val="00C602D2"/>
    <w:rsid w:val="00C613A3"/>
    <w:rsid w:val="00C644BB"/>
    <w:rsid w:val="00C645D2"/>
    <w:rsid w:val="00C64788"/>
    <w:rsid w:val="00C64CB1"/>
    <w:rsid w:val="00C67155"/>
    <w:rsid w:val="00C70D60"/>
    <w:rsid w:val="00C71947"/>
    <w:rsid w:val="00C71C7A"/>
    <w:rsid w:val="00C723FA"/>
    <w:rsid w:val="00C72845"/>
    <w:rsid w:val="00C72B5D"/>
    <w:rsid w:val="00C73107"/>
    <w:rsid w:val="00C73817"/>
    <w:rsid w:val="00C73B01"/>
    <w:rsid w:val="00C7492F"/>
    <w:rsid w:val="00C74C54"/>
    <w:rsid w:val="00C74F29"/>
    <w:rsid w:val="00C7518D"/>
    <w:rsid w:val="00C75CC4"/>
    <w:rsid w:val="00C7781B"/>
    <w:rsid w:val="00C800C6"/>
    <w:rsid w:val="00C84705"/>
    <w:rsid w:val="00C84EF5"/>
    <w:rsid w:val="00C85FC1"/>
    <w:rsid w:val="00C863FD"/>
    <w:rsid w:val="00C86F44"/>
    <w:rsid w:val="00C87263"/>
    <w:rsid w:val="00C91102"/>
    <w:rsid w:val="00C91ADE"/>
    <w:rsid w:val="00C9213D"/>
    <w:rsid w:val="00C945DC"/>
    <w:rsid w:val="00C95231"/>
    <w:rsid w:val="00C95490"/>
    <w:rsid w:val="00C95DC8"/>
    <w:rsid w:val="00CA2887"/>
    <w:rsid w:val="00CA2EC8"/>
    <w:rsid w:val="00CA33E0"/>
    <w:rsid w:val="00CA4995"/>
    <w:rsid w:val="00CA52DD"/>
    <w:rsid w:val="00CA6CE8"/>
    <w:rsid w:val="00CA7612"/>
    <w:rsid w:val="00CA7B8D"/>
    <w:rsid w:val="00CB2398"/>
    <w:rsid w:val="00CB2BB3"/>
    <w:rsid w:val="00CB3B9F"/>
    <w:rsid w:val="00CB4226"/>
    <w:rsid w:val="00CB51EA"/>
    <w:rsid w:val="00CB54F3"/>
    <w:rsid w:val="00CB618F"/>
    <w:rsid w:val="00CB633D"/>
    <w:rsid w:val="00CB667A"/>
    <w:rsid w:val="00CB67DB"/>
    <w:rsid w:val="00CB7744"/>
    <w:rsid w:val="00CC1BA4"/>
    <w:rsid w:val="00CC1FBA"/>
    <w:rsid w:val="00CC372C"/>
    <w:rsid w:val="00CC3E2A"/>
    <w:rsid w:val="00CC3FE6"/>
    <w:rsid w:val="00CC4044"/>
    <w:rsid w:val="00CC4C53"/>
    <w:rsid w:val="00CC51DE"/>
    <w:rsid w:val="00CC6608"/>
    <w:rsid w:val="00CD1317"/>
    <w:rsid w:val="00CD2E52"/>
    <w:rsid w:val="00CD366E"/>
    <w:rsid w:val="00CD597D"/>
    <w:rsid w:val="00CD7FD2"/>
    <w:rsid w:val="00CE00B7"/>
    <w:rsid w:val="00CE4795"/>
    <w:rsid w:val="00CE4A62"/>
    <w:rsid w:val="00CE4FEB"/>
    <w:rsid w:val="00CE5CD2"/>
    <w:rsid w:val="00CE5D07"/>
    <w:rsid w:val="00CE6AA9"/>
    <w:rsid w:val="00CE7A45"/>
    <w:rsid w:val="00CF0164"/>
    <w:rsid w:val="00CF0257"/>
    <w:rsid w:val="00CF0680"/>
    <w:rsid w:val="00CF0DB8"/>
    <w:rsid w:val="00CF2012"/>
    <w:rsid w:val="00CF263F"/>
    <w:rsid w:val="00CF2A9A"/>
    <w:rsid w:val="00CF37FD"/>
    <w:rsid w:val="00CF3CB6"/>
    <w:rsid w:val="00CF4067"/>
    <w:rsid w:val="00CF5675"/>
    <w:rsid w:val="00CF5BFF"/>
    <w:rsid w:val="00CF62C3"/>
    <w:rsid w:val="00CF7353"/>
    <w:rsid w:val="00D004EB"/>
    <w:rsid w:val="00D01D66"/>
    <w:rsid w:val="00D03C04"/>
    <w:rsid w:val="00D0492C"/>
    <w:rsid w:val="00D04A2F"/>
    <w:rsid w:val="00D05F52"/>
    <w:rsid w:val="00D064CE"/>
    <w:rsid w:val="00D06C26"/>
    <w:rsid w:val="00D07187"/>
    <w:rsid w:val="00D072E8"/>
    <w:rsid w:val="00D1157D"/>
    <w:rsid w:val="00D12414"/>
    <w:rsid w:val="00D12850"/>
    <w:rsid w:val="00D1339B"/>
    <w:rsid w:val="00D133AF"/>
    <w:rsid w:val="00D138E3"/>
    <w:rsid w:val="00D13F5A"/>
    <w:rsid w:val="00D160D0"/>
    <w:rsid w:val="00D1620C"/>
    <w:rsid w:val="00D16713"/>
    <w:rsid w:val="00D16797"/>
    <w:rsid w:val="00D17B12"/>
    <w:rsid w:val="00D20373"/>
    <w:rsid w:val="00D21B06"/>
    <w:rsid w:val="00D21DDA"/>
    <w:rsid w:val="00D21E36"/>
    <w:rsid w:val="00D22B14"/>
    <w:rsid w:val="00D240C2"/>
    <w:rsid w:val="00D240E3"/>
    <w:rsid w:val="00D30A46"/>
    <w:rsid w:val="00D30B64"/>
    <w:rsid w:val="00D315EB"/>
    <w:rsid w:val="00D31A4F"/>
    <w:rsid w:val="00D31C42"/>
    <w:rsid w:val="00D31EDA"/>
    <w:rsid w:val="00D32046"/>
    <w:rsid w:val="00D33772"/>
    <w:rsid w:val="00D33816"/>
    <w:rsid w:val="00D3482C"/>
    <w:rsid w:val="00D34BE3"/>
    <w:rsid w:val="00D3523C"/>
    <w:rsid w:val="00D36ABF"/>
    <w:rsid w:val="00D36BA1"/>
    <w:rsid w:val="00D403D4"/>
    <w:rsid w:val="00D432EE"/>
    <w:rsid w:val="00D44073"/>
    <w:rsid w:val="00D44510"/>
    <w:rsid w:val="00D45F24"/>
    <w:rsid w:val="00D4649F"/>
    <w:rsid w:val="00D4662C"/>
    <w:rsid w:val="00D46DE0"/>
    <w:rsid w:val="00D47179"/>
    <w:rsid w:val="00D47910"/>
    <w:rsid w:val="00D5198C"/>
    <w:rsid w:val="00D51BD2"/>
    <w:rsid w:val="00D5296E"/>
    <w:rsid w:val="00D52BD7"/>
    <w:rsid w:val="00D5438A"/>
    <w:rsid w:val="00D548BD"/>
    <w:rsid w:val="00D54A6C"/>
    <w:rsid w:val="00D54D82"/>
    <w:rsid w:val="00D55B8A"/>
    <w:rsid w:val="00D5679C"/>
    <w:rsid w:val="00D574BB"/>
    <w:rsid w:val="00D60BE7"/>
    <w:rsid w:val="00D60C4D"/>
    <w:rsid w:val="00D60DA1"/>
    <w:rsid w:val="00D6608E"/>
    <w:rsid w:val="00D669A1"/>
    <w:rsid w:val="00D671C3"/>
    <w:rsid w:val="00D6758F"/>
    <w:rsid w:val="00D678EE"/>
    <w:rsid w:val="00D67B5D"/>
    <w:rsid w:val="00D7082E"/>
    <w:rsid w:val="00D71028"/>
    <w:rsid w:val="00D715C8"/>
    <w:rsid w:val="00D72268"/>
    <w:rsid w:val="00D724EF"/>
    <w:rsid w:val="00D72684"/>
    <w:rsid w:val="00D73728"/>
    <w:rsid w:val="00D751AE"/>
    <w:rsid w:val="00D75908"/>
    <w:rsid w:val="00D75D6C"/>
    <w:rsid w:val="00D76E9C"/>
    <w:rsid w:val="00D77592"/>
    <w:rsid w:val="00D77881"/>
    <w:rsid w:val="00D77E2E"/>
    <w:rsid w:val="00D77F4B"/>
    <w:rsid w:val="00D8066D"/>
    <w:rsid w:val="00D807D9"/>
    <w:rsid w:val="00D80E4E"/>
    <w:rsid w:val="00D828CD"/>
    <w:rsid w:val="00D83DBC"/>
    <w:rsid w:val="00D841DE"/>
    <w:rsid w:val="00D846FD"/>
    <w:rsid w:val="00D84C78"/>
    <w:rsid w:val="00D85B58"/>
    <w:rsid w:val="00D86964"/>
    <w:rsid w:val="00D86AC9"/>
    <w:rsid w:val="00D873B4"/>
    <w:rsid w:val="00D878D5"/>
    <w:rsid w:val="00D905BB"/>
    <w:rsid w:val="00D90C61"/>
    <w:rsid w:val="00D90D21"/>
    <w:rsid w:val="00D90EF1"/>
    <w:rsid w:val="00D930EA"/>
    <w:rsid w:val="00D94771"/>
    <w:rsid w:val="00D9497D"/>
    <w:rsid w:val="00D94C48"/>
    <w:rsid w:val="00D94ECB"/>
    <w:rsid w:val="00D9570D"/>
    <w:rsid w:val="00D9582D"/>
    <w:rsid w:val="00D95896"/>
    <w:rsid w:val="00D95CBC"/>
    <w:rsid w:val="00D95D00"/>
    <w:rsid w:val="00D9638D"/>
    <w:rsid w:val="00D96715"/>
    <w:rsid w:val="00D96F85"/>
    <w:rsid w:val="00D970BD"/>
    <w:rsid w:val="00D97165"/>
    <w:rsid w:val="00D97460"/>
    <w:rsid w:val="00D979DF"/>
    <w:rsid w:val="00DA00DB"/>
    <w:rsid w:val="00DA0E37"/>
    <w:rsid w:val="00DA123D"/>
    <w:rsid w:val="00DA26BF"/>
    <w:rsid w:val="00DA3488"/>
    <w:rsid w:val="00DA3BF4"/>
    <w:rsid w:val="00DA44CA"/>
    <w:rsid w:val="00DA4F6E"/>
    <w:rsid w:val="00DA5604"/>
    <w:rsid w:val="00DA5E5B"/>
    <w:rsid w:val="00DA6EDE"/>
    <w:rsid w:val="00DA784B"/>
    <w:rsid w:val="00DB052D"/>
    <w:rsid w:val="00DB0ABF"/>
    <w:rsid w:val="00DB21F0"/>
    <w:rsid w:val="00DB2794"/>
    <w:rsid w:val="00DB28BF"/>
    <w:rsid w:val="00DB37F8"/>
    <w:rsid w:val="00DB3A82"/>
    <w:rsid w:val="00DB587C"/>
    <w:rsid w:val="00DB5BE9"/>
    <w:rsid w:val="00DB5FEA"/>
    <w:rsid w:val="00DB6549"/>
    <w:rsid w:val="00DB69E0"/>
    <w:rsid w:val="00DB6A9B"/>
    <w:rsid w:val="00DB7AC7"/>
    <w:rsid w:val="00DB7EC5"/>
    <w:rsid w:val="00DC0B01"/>
    <w:rsid w:val="00DC2250"/>
    <w:rsid w:val="00DC39D6"/>
    <w:rsid w:val="00DC3C5F"/>
    <w:rsid w:val="00DC42F9"/>
    <w:rsid w:val="00DC493A"/>
    <w:rsid w:val="00DC555B"/>
    <w:rsid w:val="00DC6A06"/>
    <w:rsid w:val="00DC6B3E"/>
    <w:rsid w:val="00DC7B56"/>
    <w:rsid w:val="00DD02A8"/>
    <w:rsid w:val="00DD0B1D"/>
    <w:rsid w:val="00DD1052"/>
    <w:rsid w:val="00DD3BFE"/>
    <w:rsid w:val="00DD6B79"/>
    <w:rsid w:val="00DD6B7C"/>
    <w:rsid w:val="00DE04CB"/>
    <w:rsid w:val="00DE0E47"/>
    <w:rsid w:val="00DE15F2"/>
    <w:rsid w:val="00DE183A"/>
    <w:rsid w:val="00DE1DCB"/>
    <w:rsid w:val="00DE268B"/>
    <w:rsid w:val="00DE4989"/>
    <w:rsid w:val="00DE60DF"/>
    <w:rsid w:val="00DE69B6"/>
    <w:rsid w:val="00DE725D"/>
    <w:rsid w:val="00DE733F"/>
    <w:rsid w:val="00DE7417"/>
    <w:rsid w:val="00DE751A"/>
    <w:rsid w:val="00DE7DB9"/>
    <w:rsid w:val="00DF10B2"/>
    <w:rsid w:val="00DF116F"/>
    <w:rsid w:val="00DF1697"/>
    <w:rsid w:val="00DF1DB3"/>
    <w:rsid w:val="00DF3FE8"/>
    <w:rsid w:val="00DF4604"/>
    <w:rsid w:val="00DF51F9"/>
    <w:rsid w:val="00DF5401"/>
    <w:rsid w:val="00DF5451"/>
    <w:rsid w:val="00DF5C7A"/>
    <w:rsid w:val="00DF657F"/>
    <w:rsid w:val="00E002AF"/>
    <w:rsid w:val="00E00F93"/>
    <w:rsid w:val="00E017E3"/>
    <w:rsid w:val="00E02227"/>
    <w:rsid w:val="00E03872"/>
    <w:rsid w:val="00E0557B"/>
    <w:rsid w:val="00E064A6"/>
    <w:rsid w:val="00E064C4"/>
    <w:rsid w:val="00E06A6A"/>
    <w:rsid w:val="00E1049A"/>
    <w:rsid w:val="00E10556"/>
    <w:rsid w:val="00E10C1A"/>
    <w:rsid w:val="00E10F83"/>
    <w:rsid w:val="00E11C9A"/>
    <w:rsid w:val="00E128BE"/>
    <w:rsid w:val="00E133CE"/>
    <w:rsid w:val="00E13B72"/>
    <w:rsid w:val="00E16194"/>
    <w:rsid w:val="00E1666D"/>
    <w:rsid w:val="00E16F28"/>
    <w:rsid w:val="00E172ED"/>
    <w:rsid w:val="00E1797F"/>
    <w:rsid w:val="00E20DF5"/>
    <w:rsid w:val="00E220F5"/>
    <w:rsid w:val="00E22272"/>
    <w:rsid w:val="00E2260D"/>
    <w:rsid w:val="00E228AF"/>
    <w:rsid w:val="00E24053"/>
    <w:rsid w:val="00E24739"/>
    <w:rsid w:val="00E25088"/>
    <w:rsid w:val="00E255BE"/>
    <w:rsid w:val="00E256CF"/>
    <w:rsid w:val="00E25710"/>
    <w:rsid w:val="00E25849"/>
    <w:rsid w:val="00E26305"/>
    <w:rsid w:val="00E26926"/>
    <w:rsid w:val="00E26D19"/>
    <w:rsid w:val="00E26F95"/>
    <w:rsid w:val="00E30324"/>
    <w:rsid w:val="00E3040C"/>
    <w:rsid w:val="00E30FC0"/>
    <w:rsid w:val="00E3296D"/>
    <w:rsid w:val="00E36979"/>
    <w:rsid w:val="00E371BF"/>
    <w:rsid w:val="00E3751C"/>
    <w:rsid w:val="00E42915"/>
    <w:rsid w:val="00E43057"/>
    <w:rsid w:val="00E4313A"/>
    <w:rsid w:val="00E436CE"/>
    <w:rsid w:val="00E4415A"/>
    <w:rsid w:val="00E45447"/>
    <w:rsid w:val="00E45CBE"/>
    <w:rsid w:val="00E463BE"/>
    <w:rsid w:val="00E4766E"/>
    <w:rsid w:val="00E50404"/>
    <w:rsid w:val="00E50506"/>
    <w:rsid w:val="00E50DEC"/>
    <w:rsid w:val="00E511E0"/>
    <w:rsid w:val="00E51319"/>
    <w:rsid w:val="00E52160"/>
    <w:rsid w:val="00E523B4"/>
    <w:rsid w:val="00E52DF6"/>
    <w:rsid w:val="00E533EE"/>
    <w:rsid w:val="00E54086"/>
    <w:rsid w:val="00E5467D"/>
    <w:rsid w:val="00E558ED"/>
    <w:rsid w:val="00E55F03"/>
    <w:rsid w:val="00E56657"/>
    <w:rsid w:val="00E56E2F"/>
    <w:rsid w:val="00E57829"/>
    <w:rsid w:val="00E60304"/>
    <w:rsid w:val="00E607A5"/>
    <w:rsid w:val="00E60FF2"/>
    <w:rsid w:val="00E61A96"/>
    <w:rsid w:val="00E62CC2"/>
    <w:rsid w:val="00E62D7F"/>
    <w:rsid w:val="00E6375F"/>
    <w:rsid w:val="00E638D0"/>
    <w:rsid w:val="00E638F4"/>
    <w:rsid w:val="00E65872"/>
    <w:rsid w:val="00E662B1"/>
    <w:rsid w:val="00E66D03"/>
    <w:rsid w:val="00E67E4B"/>
    <w:rsid w:val="00E705EC"/>
    <w:rsid w:val="00E70CF8"/>
    <w:rsid w:val="00E70D46"/>
    <w:rsid w:val="00E71D56"/>
    <w:rsid w:val="00E72666"/>
    <w:rsid w:val="00E729C6"/>
    <w:rsid w:val="00E73752"/>
    <w:rsid w:val="00E7424D"/>
    <w:rsid w:val="00E75FFE"/>
    <w:rsid w:val="00E764F8"/>
    <w:rsid w:val="00E77517"/>
    <w:rsid w:val="00E77747"/>
    <w:rsid w:val="00E82F06"/>
    <w:rsid w:val="00E83B5D"/>
    <w:rsid w:val="00E842BA"/>
    <w:rsid w:val="00E84358"/>
    <w:rsid w:val="00E84ED9"/>
    <w:rsid w:val="00E864EA"/>
    <w:rsid w:val="00E872F5"/>
    <w:rsid w:val="00E91FE6"/>
    <w:rsid w:val="00E92260"/>
    <w:rsid w:val="00E9498D"/>
    <w:rsid w:val="00E960FD"/>
    <w:rsid w:val="00E97E68"/>
    <w:rsid w:val="00E97FDF"/>
    <w:rsid w:val="00EA1F3B"/>
    <w:rsid w:val="00EA229C"/>
    <w:rsid w:val="00EA2A6E"/>
    <w:rsid w:val="00EA3DAF"/>
    <w:rsid w:val="00EA60A3"/>
    <w:rsid w:val="00EA6E7B"/>
    <w:rsid w:val="00EB04C1"/>
    <w:rsid w:val="00EB06BC"/>
    <w:rsid w:val="00EB0703"/>
    <w:rsid w:val="00EB07DA"/>
    <w:rsid w:val="00EB0ABB"/>
    <w:rsid w:val="00EB1869"/>
    <w:rsid w:val="00EB1C37"/>
    <w:rsid w:val="00EB2254"/>
    <w:rsid w:val="00EB2573"/>
    <w:rsid w:val="00EB2698"/>
    <w:rsid w:val="00EB2848"/>
    <w:rsid w:val="00EB2FE7"/>
    <w:rsid w:val="00EB3BB2"/>
    <w:rsid w:val="00EB4930"/>
    <w:rsid w:val="00EB5B27"/>
    <w:rsid w:val="00EB5D14"/>
    <w:rsid w:val="00EB73D3"/>
    <w:rsid w:val="00EB78F7"/>
    <w:rsid w:val="00EC0779"/>
    <w:rsid w:val="00EC096A"/>
    <w:rsid w:val="00EC18FF"/>
    <w:rsid w:val="00EC1905"/>
    <w:rsid w:val="00EC301E"/>
    <w:rsid w:val="00EC331A"/>
    <w:rsid w:val="00EC3B6F"/>
    <w:rsid w:val="00EC410E"/>
    <w:rsid w:val="00EC43B4"/>
    <w:rsid w:val="00EC492F"/>
    <w:rsid w:val="00EC51DA"/>
    <w:rsid w:val="00EC590C"/>
    <w:rsid w:val="00EC69E5"/>
    <w:rsid w:val="00ED11D5"/>
    <w:rsid w:val="00ED1F66"/>
    <w:rsid w:val="00ED422F"/>
    <w:rsid w:val="00ED5BD3"/>
    <w:rsid w:val="00ED660D"/>
    <w:rsid w:val="00ED6C7E"/>
    <w:rsid w:val="00ED6EE9"/>
    <w:rsid w:val="00EE009C"/>
    <w:rsid w:val="00EE29A2"/>
    <w:rsid w:val="00EE3D46"/>
    <w:rsid w:val="00EE4C5C"/>
    <w:rsid w:val="00EE4D15"/>
    <w:rsid w:val="00EE4D2D"/>
    <w:rsid w:val="00EE4DE6"/>
    <w:rsid w:val="00EE55FF"/>
    <w:rsid w:val="00EE695A"/>
    <w:rsid w:val="00EF0630"/>
    <w:rsid w:val="00EF0E15"/>
    <w:rsid w:val="00EF1387"/>
    <w:rsid w:val="00EF1D3D"/>
    <w:rsid w:val="00EF2AA3"/>
    <w:rsid w:val="00EF2F4A"/>
    <w:rsid w:val="00EF4936"/>
    <w:rsid w:val="00EF4D7F"/>
    <w:rsid w:val="00EF4E30"/>
    <w:rsid w:val="00EF63D6"/>
    <w:rsid w:val="00EF6970"/>
    <w:rsid w:val="00EF7276"/>
    <w:rsid w:val="00EF7CC6"/>
    <w:rsid w:val="00F00DE7"/>
    <w:rsid w:val="00F010D9"/>
    <w:rsid w:val="00F01339"/>
    <w:rsid w:val="00F024A3"/>
    <w:rsid w:val="00F027D7"/>
    <w:rsid w:val="00F02D8C"/>
    <w:rsid w:val="00F02E94"/>
    <w:rsid w:val="00F03A5C"/>
    <w:rsid w:val="00F03D76"/>
    <w:rsid w:val="00F042A5"/>
    <w:rsid w:val="00F04D01"/>
    <w:rsid w:val="00F05667"/>
    <w:rsid w:val="00F068E8"/>
    <w:rsid w:val="00F06EBF"/>
    <w:rsid w:val="00F07350"/>
    <w:rsid w:val="00F10DE1"/>
    <w:rsid w:val="00F13126"/>
    <w:rsid w:val="00F1383E"/>
    <w:rsid w:val="00F13DDE"/>
    <w:rsid w:val="00F1490E"/>
    <w:rsid w:val="00F16BD7"/>
    <w:rsid w:val="00F16E90"/>
    <w:rsid w:val="00F17144"/>
    <w:rsid w:val="00F17633"/>
    <w:rsid w:val="00F17FEA"/>
    <w:rsid w:val="00F2163A"/>
    <w:rsid w:val="00F21A1A"/>
    <w:rsid w:val="00F21C61"/>
    <w:rsid w:val="00F225F1"/>
    <w:rsid w:val="00F22EC1"/>
    <w:rsid w:val="00F239FF"/>
    <w:rsid w:val="00F2424C"/>
    <w:rsid w:val="00F24BD8"/>
    <w:rsid w:val="00F25403"/>
    <w:rsid w:val="00F25ADE"/>
    <w:rsid w:val="00F25D4D"/>
    <w:rsid w:val="00F30685"/>
    <w:rsid w:val="00F30EBA"/>
    <w:rsid w:val="00F31274"/>
    <w:rsid w:val="00F340D0"/>
    <w:rsid w:val="00F35C8F"/>
    <w:rsid w:val="00F35FC4"/>
    <w:rsid w:val="00F36174"/>
    <w:rsid w:val="00F365D8"/>
    <w:rsid w:val="00F36E06"/>
    <w:rsid w:val="00F37082"/>
    <w:rsid w:val="00F37921"/>
    <w:rsid w:val="00F37B15"/>
    <w:rsid w:val="00F37FC2"/>
    <w:rsid w:val="00F401C0"/>
    <w:rsid w:val="00F406C3"/>
    <w:rsid w:val="00F40A7D"/>
    <w:rsid w:val="00F41977"/>
    <w:rsid w:val="00F41E4F"/>
    <w:rsid w:val="00F4307D"/>
    <w:rsid w:val="00F435F9"/>
    <w:rsid w:val="00F43892"/>
    <w:rsid w:val="00F43FFD"/>
    <w:rsid w:val="00F4463C"/>
    <w:rsid w:val="00F44849"/>
    <w:rsid w:val="00F45C55"/>
    <w:rsid w:val="00F4759F"/>
    <w:rsid w:val="00F51591"/>
    <w:rsid w:val="00F51DF5"/>
    <w:rsid w:val="00F51DFB"/>
    <w:rsid w:val="00F51FF7"/>
    <w:rsid w:val="00F52C08"/>
    <w:rsid w:val="00F52D9E"/>
    <w:rsid w:val="00F54172"/>
    <w:rsid w:val="00F546B8"/>
    <w:rsid w:val="00F54827"/>
    <w:rsid w:val="00F54CCE"/>
    <w:rsid w:val="00F54FF8"/>
    <w:rsid w:val="00F5501D"/>
    <w:rsid w:val="00F558C5"/>
    <w:rsid w:val="00F56657"/>
    <w:rsid w:val="00F56967"/>
    <w:rsid w:val="00F56DDE"/>
    <w:rsid w:val="00F56F98"/>
    <w:rsid w:val="00F5780A"/>
    <w:rsid w:val="00F57E2E"/>
    <w:rsid w:val="00F6173D"/>
    <w:rsid w:val="00F61D23"/>
    <w:rsid w:val="00F61DD9"/>
    <w:rsid w:val="00F61FE9"/>
    <w:rsid w:val="00F62827"/>
    <w:rsid w:val="00F638F4"/>
    <w:rsid w:val="00F64432"/>
    <w:rsid w:val="00F64851"/>
    <w:rsid w:val="00F64AAA"/>
    <w:rsid w:val="00F64C54"/>
    <w:rsid w:val="00F64E4E"/>
    <w:rsid w:val="00F6525F"/>
    <w:rsid w:val="00F65E15"/>
    <w:rsid w:val="00F66ADE"/>
    <w:rsid w:val="00F708B2"/>
    <w:rsid w:val="00F70D65"/>
    <w:rsid w:val="00F71395"/>
    <w:rsid w:val="00F72255"/>
    <w:rsid w:val="00F72CFE"/>
    <w:rsid w:val="00F7378C"/>
    <w:rsid w:val="00F74E47"/>
    <w:rsid w:val="00F74EF3"/>
    <w:rsid w:val="00F751D3"/>
    <w:rsid w:val="00F756CE"/>
    <w:rsid w:val="00F75F67"/>
    <w:rsid w:val="00F769A3"/>
    <w:rsid w:val="00F76F29"/>
    <w:rsid w:val="00F77577"/>
    <w:rsid w:val="00F80597"/>
    <w:rsid w:val="00F80B23"/>
    <w:rsid w:val="00F80E9E"/>
    <w:rsid w:val="00F81079"/>
    <w:rsid w:val="00F8133F"/>
    <w:rsid w:val="00F83883"/>
    <w:rsid w:val="00F8388C"/>
    <w:rsid w:val="00F84029"/>
    <w:rsid w:val="00F85075"/>
    <w:rsid w:val="00F8524B"/>
    <w:rsid w:val="00F85586"/>
    <w:rsid w:val="00F85DA8"/>
    <w:rsid w:val="00F861C4"/>
    <w:rsid w:val="00F865F7"/>
    <w:rsid w:val="00F86C25"/>
    <w:rsid w:val="00F90718"/>
    <w:rsid w:val="00F911A6"/>
    <w:rsid w:val="00F91974"/>
    <w:rsid w:val="00F924C4"/>
    <w:rsid w:val="00F94BD3"/>
    <w:rsid w:val="00F95B03"/>
    <w:rsid w:val="00F96363"/>
    <w:rsid w:val="00F96F90"/>
    <w:rsid w:val="00FA0133"/>
    <w:rsid w:val="00FA038C"/>
    <w:rsid w:val="00FA18EA"/>
    <w:rsid w:val="00FA2186"/>
    <w:rsid w:val="00FA2DBD"/>
    <w:rsid w:val="00FA4335"/>
    <w:rsid w:val="00FA4441"/>
    <w:rsid w:val="00FA4E0B"/>
    <w:rsid w:val="00FA5239"/>
    <w:rsid w:val="00FA53FA"/>
    <w:rsid w:val="00FA5832"/>
    <w:rsid w:val="00FA5998"/>
    <w:rsid w:val="00FA5EFC"/>
    <w:rsid w:val="00FA617F"/>
    <w:rsid w:val="00FA6191"/>
    <w:rsid w:val="00FA6211"/>
    <w:rsid w:val="00FA76D4"/>
    <w:rsid w:val="00FA7A47"/>
    <w:rsid w:val="00FB1FBC"/>
    <w:rsid w:val="00FB3878"/>
    <w:rsid w:val="00FB63E8"/>
    <w:rsid w:val="00FB6432"/>
    <w:rsid w:val="00FB6DA9"/>
    <w:rsid w:val="00FB707F"/>
    <w:rsid w:val="00FB72F2"/>
    <w:rsid w:val="00FC0024"/>
    <w:rsid w:val="00FC0F3D"/>
    <w:rsid w:val="00FC0F40"/>
    <w:rsid w:val="00FC149F"/>
    <w:rsid w:val="00FC1B8F"/>
    <w:rsid w:val="00FC2978"/>
    <w:rsid w:val="00FC3FD2"/>
    <w:rsid w:val="00FC6E0A"/>
    <w:rsid w:val="00FC7DCE"/>
    <w:rsid w:val="00FC7FEF"/>
    <w:rsid w:val="00FD1A19"/>
    <w:rsid w:val="00FD1B13"/>
    <w:rsid w:val="00FD2A71"/>
    <w:rsid w:val="00FD2D98"/>
    <w:rsid w:val="00FD5CAF"/>
    <w:rsid w:val="00FD5DCC"/>
    <w:rsid w:val="00FD6848"/>
    <w:rsid w:val="00FD715D"/>
    <w:rsid w:val="00FE041E"/>
    <w:rsid w:val="00FE2B11"/>
    <w:rsid w:val="00FE37C5"/>
    <w:rsid w:val="00FE5152"/>
    <w:rsid w:val="00FE61BE"/>
    <w:rsid w:val="00FF11DA"/>
    <w:rsid w:val="00FF48F6"/>
    <w:rsid w:val="00FF56E8"/>
    <w:rsid w:val="00FF68DD"/>
    <w:rsid w:val="00FF7527"/>
    <w:rsid w:val="00FF777A"/>
    <w:rsid w:val="05A473F7"/>
    <w:rsid w:val="0D7212D9"/>
    <w:rsid w:val="0F5F3A55"/>
    <w:rsid w:val="32144A36"/>
    <w:rsid w:val="327C23F0"/>
    <w:rsid w:val="32CE5D6E"/>
    <w:rsid w:val="34DE1131"/>
    <w:rsid w:val="46E10058"/>
    <w:rsid w:val="49E30645"/>
    <w:rsid w:val="572F6270"/>
    <w:rsid w:val="58DF17B1"/>
    <w:rsid w:val="5C7B19F7"/>
    <w:rsid w:val="5D333476"/>
    <w:rsid w:val="64075C0C"/>
    <w:rsid w:val="654274FD"/>
    <w:rsid w:val="7A5600A5"/>
    <w:rsid w:val="7D222C28"/>
    <w:rsid w:val="7EC62364"/>
    <w:rsid w:val="7F1B15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64"/>
    <w:qFormat/>
    <w:uiPriority w:val="0"/>
    <w:pPr>
      <w:keepNext/>
      <w:keepLines/>
      <w:spacing w:before="340" w:after="330" w:line="578" w:lineRule="auto"/>
      <w:outlineLvl w:val="0"/>
    </w:pPr>
    <w:rPr>
      <w:b/>
      <w:bCs/>
      <w:kern w:val="44"/>
      <w:sz w:val="32"/>
      <w:szCs w:val="44"/>
    </w:rPr>
  </w:style>
  <w:style w:type="paragraph" w:styleId="3">
    <w:name w:val="heading 2"/>
    <w:basedOn w:val="1"/>
    <w:next w:val="1"/>
    <w:link w:val="50"/>
    <w:semiHidden/>
    <w:unhideWhenUsed/>
    <w:qFormat/>
    <w:uiPriority w:val="0"/>
    <w:pPr>
      <w:keepNext/>
      <w:keepLines/>
      <w:spacing w:before="260" w:after="260" w:line="416" w:lineRule="auto"/>
      <w:outlineLvl w:val="1"/>
    </w:pPr>
    <w:rPr>
      <w:rFonts w:ascii="Calibri Light" w:hAnsi="Calibri Light"/>
      <w:b/>
      <w:bCs/>
      <w:sz w:val="28"/>
      <w:szCs w:val="32"/>
    </w:rPr>
  </w:style>
  <w:style w:type="paragraph" w:styleId="4">
    <w:name w:val="heading 3"/>
    <w:basedOn w:val="1"/>
    <w:next w:val="1"/>
    <w:link w:val="45"/>
    <w:semiHidden/>
    <w:unhideWhenUsed/>
    <w:qFormat/>
    <w:uiPriority w:val="0"/>
    <w:pPr>
      <w:keepNext/>
      <w:keepLines/>
      <w:spacing w:before="260" w:after="260" w:line="416" w:lineRule="auto"/>
      <w:outlineLvl w:val="2"/>
    </w:pPr>
    <w:rPr>
      <w:rFonts w:eastAsia="楷体"/>
      <w:b/>
      <w:bCs/>
      <w:szCs w:val="32"/>
    </w:rPr>
  </w:style>
  <w:style w:type="paragraph" w:styleId="5">
    <w:name w:val="heading 4"/>
    <w:basedOn w:val="1"/>
    <w:next w:val="1"/>
    <w:link w:val="49"/>
    <w:semiHidden/>
    <w:unhideWhenUsed/>
    <w:qFormat/>
    <w:uiPriority w:val="0"/>
    <w:pPr>
      <w:keepNext/>
      <w:keepLines/>
      <w:spacing w:before="280" w:after="290" w:line="376" w:lineRule="auto"/>
      <w:outlineLvl w:val="3"/>
    </w:pPr>
    <w:rPr>
      <w:rFonts w:ascii="Calibri Light" w:hAnsi="Calibri Light"/>
      <w:b/>
      <w:bCs/>
      <w:sz w:val="28"/>
      <w:szCs w:val="28"/>
    </w:rPr>
  </w:style>
  <w:style w:type="paragraph" w:styleId="6">
    <w:name w:val="heading 5"/>
    <w:basedOn w:val="1"/>
    <w:next w:val="1"/>
    <w:link w:val="4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62"/>
    <w:semiHidden/>
    <w:unhideWhenUsed/>
    <w:qFormat/>
    <w:uiPriority w:val="0"/>
    <w:pPr>
      <w:keepNext/>
      <w:keepLines/>
      <w:spacing w:before="240" w:after="64" w:line="320" w:lineRule="auto"/>
      <w:outlineLvl w:val="5"/>
    </w:pPr>
    <w:rPr>
      <w:rFonts w:ascii="Calibri Light" w:hAnsi="Calibri Light"/>
      <w:b/>
      <w:bCs/>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8">
    <w:name w:val="toc 7"/>
    <w:basedOn w:val="1"/>
    <w:next w:val="1"/>
    <w:autoRedefine/>
    <w:uiPriority w:val="0"/>
    <w:pPr>
      <w:widowControl w:val="0"/>
      <w:ind w:left="2520" w:leftChars="1200"/>
      <w:jc w:val="both"/>
    </w:pPr>
    <w:rPr>
      <w:rFonts w:asciiTheme="minorHAnsi" w:hAnsiTheme="minorHAnsi" w:eastAsiaTheme="minorEastAsia" w:cstheme="minorBidi"/>
      <w:kern w:val="2"/>
      <w:sz w:val="21"/>
      <w:szCs w:val="22"/>
    </w:rPr>
  </w:style>
  <w:style w:type="paragraph" w:styleId="9">
    <w:name w:val="annotation text"/>
    <w:basedOn w:val="1"/>
    <w:link w:val="57"/>
    <w:qFormat/>
    <w:uiPriority w:val="0"/>
  </w:style>
  <w:style w:type="paragraph" w:styleId="10">
    <w:name w:val="toc 5"/>
    <w:basedOn w:val="1"/>
    <w:next w:val="1"/>
    <w:autoRedefine/>
    <w:qFormat/>
    <w:uiPriority w:val="0"/>
    <w:pPr>
      <w:widowControl w:val="0"/>
      <w:ind w:left="1680" w:leftChars="800"/>
      <w:jc w:val="both"/>
    </w:pPr>
    <w:rPr>
      <w:rFonts w:asciiTheme="minorHAnsi" w:hAnsiTheme="minorHAnsi" w:eastAsiaTheme="minorEastAsia" w:cstheme="minorBidi"/>
      <w:kern w:val="2"/>
      <w:sz w:val="21"/>
      <w:szCs w:val="22"/>
    </w:rPr>
  </w:style>
  <w:style w:type="paragraph" w:styleId="11">
    <w:name w:val="toc 3"/>
    <w:basedOn w:val="1"/>
    <w:next w:val="1"/>
    <w:qFormat/>
    <w:uiPriority w:val="0"/>
    <w:pPr>
      <w:tabs>
        <w:tab w:val="right" w:leader="dot" w:pos="8296"/>
      </w:tabs>
      <w:spacing w:line="360" w:lineRule="auto"/>
      <w:ind w:left="991" w:leftChars="413"/>
    </w:pPr>
    <w:rPr>
      <w:rFonts w:ascii="仿宋" w:hAnsi="仿宋" w:eastAsia="仿宋"/>
    </w:rPr>
  </w:style>
  <w:style w:type="paragraph" w:styleId="12">
    <w:name w:val="toc 8"/>
    <w:basedOn w:val="1"/>
    <w:next w:val="1"/>
    <w:autoRedefine/>
    <w:qFormat/>
    <w:uiPriority w:val="0"/>
    <w:pPr>
      <w:widowControl w:val="0"/>
      <w:ind w:left="2940" w:leftChars="1400"/>
      <w:jc w:val="both"/>
    </w:pPr>
    <w:rPr>
      <w:rFonts w:asciiTheme="minorHAnsi" w:hAnsiTheme="minorHAnsi" w:eastAsiaTheme="minorEastAsia" w:cstheme="minorBidi"/>
      <w:kern w:val="2"/>
      <w:sz w:val="21"/>
      <w:szCs w:val="22"/>
    </w:rPr>
  </w:style>
  <w:style w:type="paragraph" w:styleId="13">
    <w:name w:val="endnote text"/>
    <w:basedOn w:val="1"/>
    <w:link w:val="60"/>
    <w:qFormat/>
    <w:uiPriority w:val="0"/>
    <w:pPr>
      <w:snapToGrid w:val="0"/>
    </w:pPr>
  </w:style>
  <w:style w:type="paragraph" w:styleId="14">
    <w:name w:val="Balloon Text"/>
    <w:basedOn w:val="1"/>
    <w:link w:val="37"/>
    <w:qFormat/>
    <w:uiPriority w:val="0"/>
    <w:rPr>
      <w:sz w:val="18"/>
      <w:szCs w:val="18"/>
    </w:rPr>
  </w:style>
  <w:style w:type="paragraph" w:styleId="15">
    <w:name w:val="footer"/>
    <w:basedOn w:val="1"/>
    <w:link w:val="65"/>
    <w:qFormat/>
    <w:uiPriority w:val="0"/>
    <w:pPr>
      <w:tabs>
        <w:tab w:val="center" w:pos="4153"/>
        <w:tab w:val="right" w:pos="8306"/>
      </w:tabs>
      <w:snapToGrid w:val="0"/>
    </w:pPr>
    <w:rPr>
      <w:sz w:val="18"/>
      <w:szCs w:val="18"/>
    </w:rPr>
  </w:style>
  <w:style w:type="paragraph" w:styleId="16">
    <w:name w:val="header"/>
    <w:basedOn w:val="1"/>
    <w:link w:val="36"/>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0"/>
    <w:pPr>
      <w:tabs>
        <w:tab w:val="right" w:leader="dot" w:pos="8296"/>
      </w:tabs>
      <w:spacing w:line="360" w:lineRule="auto"/>
    </w:pPr>
    <w:rPr>
      <w:rFonts w:ascii="仿宋" w:hAnsi="仿宋" w:eastAsia="仿宋"/>
      <w:b/>
      <w:sz w:val="28"/>
    </w:rPr>
  </w:style>
  <w:style w:type="paragraph" w:styleId="18">
    <w:name w:val="toc 4"/>
    <w:basedOn w:val="1"/>
    <w:next w:val="1"/>
    <w:autoRedefine/>
    <w:qFormat/>
    <w:uiPriority w:val="0"/>
    <w:pPr>
      <w:widowControl w:val="0"/>
      <w:ind w:left="1260" w:leftChars="600"/>
      <w:jc w:val="both"/>
    </w:pPr>
    <w:rPr>
      <w:rFonts w:asciiTheme="minorHAnsi" w:hAnsiTheme="minorHAnsi" w:eastAsiaTheme="minorEastAsia" w:cstheme="minorBidi"/>
      <w:kern w:val="2"/>
      <w:sz w:val="21"/>
      <w:szCs w:val="22"/>
    </w:rPr>
  </w:style>
  <w:style w:type="paragraph" w:styleId="19">
    <w:name w:val="footnote text"/>
    <w:basedOn w:val="1"/>
    <w:link w:val="43"/>
    <w:qFormat/>
    <w:uiPriority w:val="0"/>
    <w:pPr>
      <w:widowControl w:val="0"/>
      <w:snapToGrid w:val="0"/>
    </w:pPr>
    <w:rPr>
      <w:rFonts w:ascii="Calibri" w:hAnsi="Calibri"/>
      <w:kern w:val="2"/>
      <w:sz w:val="18"/>
      <w:szCs w:val="18"/>
    </w:rPr>
  </w:style>
  <w:style w:type="paragraph" w:styleId="20">
    <w:name w:val="toc 6"/>
    <w:basedOn w:val="1"/>
    <w:next w:val="1"/>
    <w:autoRedefine/>
    <w:qFormat/>
    <w:uiPriority w:val="0"/>
    <w:pPr>
      <w:widowControl w:val="0"/>
      <w:ind w:left="2100" w:leftChars="1000"/>
      <w:jc w:val="both"/>
    </w:pPr>
    <w:rPr>
      <w:rFonts w:asciiTheme="minorHAnsi" w:hAnsiTheme="minorHAnsi" w:eastAsiaTheme="minorEastAsia" w:cstheme="minorBidi"/>
      <w:kern w:val="2"/>
      <w:sz w:val="21"/>
      <w:szCs w:val="22"/>
    </w:rPr>
  </w:style>
  <w:style w:type="paragraph" w:styleId="21">
    <w:name w:val="toc 2"/>
    <w:basedOn w:val="1"/>
    <w:next w:val="1"/>
    <w:qFormat/>
    <w:uiPriority w:val="0"/>
    <w:pPr>
      <w:tabs>
        <w:tab w:val="right" w:leader="dot" w:pos="8296"/>
      </w:tabs>
      <w:spacing w:line="360" w:lineRule="auto"/>
      <w:ind w:left="480" w:leftChars="200"/>
    </w:pPr>
    <w:rPr>
      <w:rFonts w:ascii="仿宋" w:hAnsi="仿宋" w:eastAsia="仿宋"/>
      <w:b/>
    </w:rPr>
  </w:style>
  <w:style w:type="paragraph" w:styleId="22">
    <w:name w:val="toc 9"/>
    <w:basedOn w:val="1"/>
    <w:next w:val="1"/>
    <w:autoRedefine/>
    <w:qFormat/>
    <w:uiPriority w:val="0"/>
    <w:pPr>
      <w:widowControl w:val="0"/>
      <w:ind w:left="3360" w:leftChars="1600"/>
      <w:jc w:val="both"/>
    </w:pPr>
    <w:rPr>
      <w:rFonts w:asciiTheme="minorHAnsi" w:hAnsiTheme="minorHAnsi" w:eastAsiaTheme="minorEastAsia" w:cstheme="minorBidi"/>
      <w:kern w:val="2"/>
      <w:sz w:val="21"/>
      <w:szCs w:val="22"/>
    </w:rPr>
  </w:style>
  <w:style w:type="paragraph" w:styleId="23">
    <w:name w:val="Normal (Web)"/>
    <w:basedOn w:val="1"/>
    <w:qFormat/>
    <w:uiPriority w:val="0"/>
    <w:pPr>
      <w:spacing w:before="100" w:beforeAutospacing="1" w:after="100" w:afterAutospacing="1"/>
    </w:pPr>
  </w:style>
  <w:style w:type="paragraph" w:styleId="24">
    <w:name w:val="annotation subject"/>
    <w:basedOn w:val="9"/>
    <w:next w:val="9"/>
    <w:link w:val="56"/>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endnote reference"/>
    <w:basedOn w:val="27"/>
    <w:qFormat/>
    <w:uiPriority w:val="0"/>
    <w:rPr>
      <w:vertAlign w:val="superscript"/>
    </w:rPr>
  </w:style>
  <w:style w:type="character" w:styleId="30">
    <w:name w:val="FollowedHyperlink"/>
    <w:basedOn w:val="27"/>
    <w:qFormat/>
    <w:uiPriority w:val="0"/>
    <w:rPr>
      <w:color w:val="800080" w:themeColor="followedHyperlink"/>
      <w:u w:val="single"/>
      <w14:textFill>
        <w14:solidFill>
          <w14:schemeClr w14:val="folHlink"/>
        </w14:solidFill>
      </w14:textFill>
    </w:rPr>
  </w:style>
  <w:style w:type="character" w:styleId="31">
    <w:name w:val="Hyperlink"/>
    <w:basedOn w:val="27"/>
    <w:qFormat/>
    <w:uiPriority w:val="0"/>
    <w:rPr>
      <w:color w:val="0563C1"/>
      <w:u w:val="single"/>
    </w:rPr>
  </w:style>
  <w:style w:type="character" w:styleId="32">
    <w:name w:val="annotation reference"/>
    <w:basedOn w:val="27"/>
    <w:qFormat/>
    <w:uiPriority w:val="0"/>
    <w:rPr>
      <w:sz w:val="21"/>
      <w:szCs w:val="21"/>
    </w:rPr>
  </w:style>
  <w:style w:type="character" w:styleId="33">
    <w:name w:val="footnote reference"/>
    <w:basedOn w:val="27"/>
    <w:qFormat/>
    <w:uiPriority w:val="0"/>
    <w:rPr>
      <w:vertAlign w:val="superscript"/>
    </w:rPr>
  </w:style>
  <w:style w:type="table" w:customStyle="1" w:styleId="34">
    <w:name w:val="网格型5"/>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页眉 字符"/>
    <w:basedOn w:val="27"/>
    <w:link w:val="16"/>
    <w:qFormat/>
    <w:uiPriority w:val="99"/>
    <w:rPr>
      <w:rFonts w:ascii="宋体" w:hAnsi="宋体" w:eastAsia="宋体" w:cs="宋体"/>
      <w:kern w:val="0"/>
      <w:sz w:val="18"/>
      <w:szCs w:val="18"/>
    </w:rPr>
  </w:style>
  <w:style w:type="character" w:customStyle="1" w:styleId="37">
    <w:name w:val="批注框文本 字符"/>
    <w:basedOn w:val="27"/>
    <w:link w:val="14"/>
    <w:semiHidden/>
    <w:qFormat/>
    <w:uiPriority w:val="99"/>
    <w:rPr>
      <w:rFonts w:ascii="宋体" w:hAnsi="宋体" w:eastAsia="宋体" w:cs="宋体"/>
      <w:kern w:val="0"/>
      <w:sz w:val="18"/>
      <w:szCs w:val="18"/>
    </w:rPr>
  </w:style>
  <w:style w:type="table" w:customStyle="1" w:styleId="38">
    <w:name w:val="网格型2"/>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网格型3"/>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报告正文"/>
    <w:basedOn w:val="1"/>
    <w:qFormat/>
    <w:uiPriority w:val="0"/>
    <w:pPr>
      <w:spacing w:line="360" w:lineRule="auto"/>
    </w:pPr>
    <w:rPr>
      <w:rFonts w:ascii="Times New Roman" w:hAnsi="Times New Roman" w:eastAsia="楷体" w:cs="Times New Roman"/>
    </w:rPr>
  </w:style>
  <w:style w:type="character" w:customStyle="1" w:styleId="41">
    <w:name w:val="标题 5 字符"/>
    <w:basedOn w:val="27"/>
    <w:link w:val="6"/>
    <w:qFormat/>
    <w:uiPriority w:val="9"/>
    <w:rPr>
      <w:rFonts w:ascii="宋体" w:hAnsi="宋体" w:eastAsia="宋体" w:cs="宋体"/>
      <w:b/>
      <w:bCs/>
      <w:kern w:val="0"/>
      <w:sz w:val="28"/>
      <w:szCs w:val="28"/>
    </w:rPr>
  </w:style>
  <w:style w:type="table" w:customStyle="1" w:styleId="42">
    <w:name w:val="网格型6"/>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脚注文本 字符"/>
    <w:basedOn w:val="27"/>
    <w:link w:val="19"/>
    <w:semiHidden/>
    <w:qFormat/>
    <w:uiPriority w:val="99"/>
    <w:rPr>
      <w:sz w:val="18"/>
      <w:szCs w:val="18"/>
    </w:rPr>
  </w:style>
  <w:style w:type="table" w:customStyle="1" w:styleId="44">
    <w:name w:val="网格型7"/>
    <w:basedOn w:val="25"/>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5">
    <w:name w:val="标题 3 字符"/>
    <w:basedOn w:val="27"/>
    <w:link w:val="4"/>
    <w:qFormat/>
    <w:uiPriority w:val="9"/>
    <w:rPr>
      <w:rFonts w:ascii="宋体" w:hAnsi="宋体" w:eastAsia="楷体" w:cs="宋体"/>
      <w:b/>
      <w:bCs/>
      <w:sz w:val="24"/>
      <w:szCs w:val="32"/>
    </w:rPr>
  </w:style>
  <w:style w:type="paragraph" w:customStyle="1" w:styleId="46">
    <w:name w:val="Default"/>
    <w:qFormat/>
    <w:uiPriority w:val="0"/>
    <w:pPr>
      <w:widowControl w:val="0"/>
      <w:autoSpaceDE w:val="0"/>
      <w:autoSpaceDN w:val="0"/>
      <w:adjustRightInd w:val="0"/>
    </w:pPr>
    <w:rPr>
      <w:rFonts w:ascii="楷体" w:hAnsi="Calibri" w:eastAsia="楷体" w:cs="楷体"/>
      <w:color w:val="000000"/>
      <w:sz w:val="24"/>
      <w:szCs w:val="24"/>
      <w:lang w:val="en-US" w:eastAsia="zh-CN" w:bidi="ar-SA"/>
    </w:rPr>
  </w:style>
  <w:style w:type="character" w:customStyle="1" w:styleId="47">
    <w:name w:val="apple-converted-space"/>
    <w:basedOn w:val="27"/>
    <w:qFormat/>
    <w:uiPriority w:val="0"/>
  </w:style>
  <w:style w:type="table" w:customStyle="1" w:styleId="48">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9">
    <w:name w:val="标题 4 字符"/>
    <w:basedOn w:val="27"/>
    <w:link w:val="5"/>
    <w:qFormat/>
    <w:uiPriority w:val="9"/>
    <w:rPr>
      <w:rFonts w:ascii="Calibri Light" w:hAnsi="Calibri Light" w:eastAsia="宋体"/>
      <w:b/>
      <w:bCs/>
      <w:kern w:val="0"/>
      <w:sz w:val="28"/>
      <w:szCs w:val="28"/>
    </w:rPr>
  </w:style>
  <w:style w:type="character" w:customStyle="1" w:styleId="50">
    <w:name w:val="标题 2 字符"/>
    <w:basedOn w:val="27"/>
    <w:link w:val="3"/>
    <w:qFormat/>
    <w:uiPriority w:val="9"/>
    <w:rPr>
      <w:rFonts w:ascii="Calibri Light" w:hAnsi="Calibri Light" w:cs="宋体"/>
      <w:b/>
      <w:bCs/>
      <w:sz w:val="28"/>
      <w:szCs w:val="32"/>
    </w:rPr>
  </w:style>
  <w:style w:type="paragraph" w:styleId="51">
    <w:name w:val="List Paragraph"/>
    <w:basedOn w:val="1"/>
    <w:qFormat/>
    <w:uiPriority w:val="34"/>
    <w:pPr>
      <w:ind w:firstLine="420" w:firstLineChars="200"/>
    </w:pPr>
  </w:style>
  <w:style w:type="character" w:customStyle="1" w:styleId="52">
    <w:name w:val="未处理的提及1"/>
    <w:basedOn w:val="27"/>
    <w:semiHidden/>
    <w:unhideWhenUsed/>
    <w:qFormat/>
    <w:uiPriority w:val="99"/>
    <w:rPr>
      <w:color w:val="605E5C"/>
      <w:shd w:val="clear" w:color="auto" w:fill="E1DFDD"/>
    </w:rPr>
  </w:style>
  <w:style w:type="paragraph" w:customStyle="1" w:styleId="53">
    <w:name w:val="font14g"/>
    <w:basedOn w:val="1"/>
    <w:qFormat/>
    <w:uiPriority w:val="0"/>
    <w:pPr>
      <w:spacing w:before="100" w:beforeAutospacing="1" w:after="100" w:afterAutospacing="1"/>
    </w:pPr>
  </w:style>
  <w:style w:type="character" w:customStyle="1" w:styleId="54">
    <w:name w:val="无间隔 Char"/>
    <w:basedOn w:val="27"/>
    <w:link w:val="55"/>
    <w:qFormat/>
    <w:uiPriority w:val="1"/>
    <w:rPr>
      <w:kern w:val="0"/>
      <w:sz w:val="22"/>
    </w:rPr>
  </w:style>
  <w:style w:type="paragraph" w:customStyle="1" w:styleId="55">
    <w:name w:val="无间隔1"/>
    <w:link w:val="54"/>
    <w:qFormat/>
    <w:uiPriority w:val="1"/>
    <w:rPr>
      <w:rFonts w:ascii="Calibri" w:hAnsi="Calibri" w:eastAsia="宋体" w:cs="Times New Roman"/>
      <w:sz w:val="22"/>
      <w:szCs w:val="22"/>
      <w:lang w:val="en-US" w:eastAsia="zh-CN" w:bidi="ar-SA"/>
    </w:rPr>
  </w:style>
  <w:style w:type="character" w:customStyle="1" w:styleId="56">
    <w:name w:val="批注主题 字符"/>
    <w:basedOn w:val="57"/>
    <w:link w:val="24"/>
    <w:semiHidden/>
    <w:qFormat/>
    <w:uiPriority w:val="99"/>
    <w:rPr>
      <w:rFonts w:ascii="宋体" w:hAnsi="宋体" w:eastAsia="宋体" w:cs="宋体"/>
      <w:b/>
      <w:bCs/>
      <w:kern w:val="0"/>
      <w:sz w:val="24"/>
      <w:szCs w:val="24"/>
    </w:rPr>
  </w:style>
  <w:style w:type="character" w:customStyle="1" w:styleId="57">
    <w:name w:val="批注文字 字符"/>
    <w:basedOn w:val="27"/>
    <w:link w:val="9"/>
    <w:qFormat/>
    <w:uiPriority w:val="99"/>
    <w:rPr>
      <w:rFonts w:ascii="宋体" w:hAnsi="宋体" w:eastAsia="宋体" w:cs="宋体"/>
      <w:kern w:val="0"/>
      <w:sz w:val="24"/>
      <w:szCs w:val="24"/>
    </w:rPr>
  </w:style>
  <w:style w:type="character" w:customStyle="1" w:styleId="58">
    <w:name w:val="Unresolved Mention"/>
    <w:basedOn w:val="27"/>
    <w:semiHidden/>
    <w:unhideWhenUsed/>
    <w:qFormat/>
    <w:uiPriority w:val="99"/>
    <w:rPr>
      <w:color w:val="605E5C"/>
      <w:shd w:val="clear" w:color="auto" w:fill="E1DFDD"/>
    </w:rPr>
  </w:style>
  <w:style w:type="paragraph" w:customStyle="1" w:styleId="59">
    <w:name w:val="TOC 标题1"/>
    <w:basedOn w:val="2"/>
    <w:next w:val="1"/>
    <w:unhideWhenUsed/>
    <w:qFormat/>
    <w:uiPriority w:val="39"/>
    <w:pPr>
      <w:spacing w:before="240" w:after="0" w:line="259" w:lineRule="auto"/>
      <w:outlineLvl w:val="9"/>
    </w:pPr>
    <w:rPr>
      <w:rFonts w:ascii="Calibri Light" w:hAnsi="Calibri Light"/>
      <w:b w:val="0"/>
      <w:bCs w:val="0"/>
      <w:color w:val="2D73B3"/>
      <w:kern w:val="0"/>
      <w:szCs w:val="32"/>
    </w:rPr>
  </w:style>
  <w:style w:type="character" w:customStyle="1" w:styleId="60">
    <w:name w:val="尾注文本 字符"/>
    <w:basedOn w:val="27"/>
    <w:link w:val="13"/>
    <w:semiHidden/>
    <w:qFormat/>
    <w:uiPriority w:val="0"/>
    <w:rPr>
      <w:rFonts w:ascii="宋体" w:hAnsi="宋体" w:cs="宋体"/>
      <w:sz w:val="24"/>
      <w:szCs w:val="24"/>
    </w:rPr>
  </w:style>
  <w:style w:type="character" w:customStyle="1" w:styleId="61">
    <w:name w:val="notranslate"/>
    <w:basedOn w:val="27"/>
    <w:qFormat/>
    <w:uiPriority w:val="0"/>
  </w:style>
  <w:style w:type="character" w:customStyle="1" w:styleId="62">
    <w:name w:val="标题 6 字符"/>
    <w:basedOn w:val="27"/>
    <w:link w:val="7"/>
    <w:qFormat/>
    <w:uiPriority w:val="9"/>
    <w:rPr>
      <w:rFonts w:ascii="Calibri Light" w:hAnsi="Calibri Light" w:eastAsia="宋体"/>
      <w:b/>
      <w:bCs/>
      <w:kern w:val="0"/>
      <w:sz w:val="24"/>
      <w:szCs w:val="24"/>
    </w:rPr>
  </w:style>
  <w:style w:type="paragraph" w:customStyle="1" w:styleId="63">
    <w:name w:val="列出段落1"/>
    <w:basedOn w:val="1"/>
    <w:qFormat/>
    <w:uiPriority w:val="34"/>
    <w:pPr>
      <w:ind w:firstLine="420" w:firstLineChars="200"/>
    </w:pPr>
  </w:style>
  <w:style w:type="character" w:customStyle="1" w:styleId="64">
    <w:name w:val="标题 1 字符"/>
    <w:basedOn w:val="27"/>
    <w:link w:val="2"/>
    <w:qFormat/>
    <w:uiPriority w:val="9"/>
    <w:rPr>
      <w:rFonts w:ascii="宋体" w:hAnsi="宋体" w:cs="宋体"/>
      <w:b/>
      <w:bCs/>
      <w:kern w:val="44"/>
      <w:sz w:val="32"/>
      <w:szCs w:val="44"/>
    </w:rPr>
  </w:style>
  <w:style w:type="character" w:customStyle="1" w:styleId="65">
    <w:name w:val="页脚 字符"/>
    <w:basedOn w:val="27"/>
    <w:link w:val="15"/>
    <w:qFormat/>
    <w:uiPriority w:val="99"/>
    <w:rPr>
      <w:rFonts w:ascii="宋体" w:hAnsi="宋体" w:eastAsia="宋体" w:cs="宋体"/>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蓝色点线科技画册"/>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5689</Words>
  <Characters>6295</Characters>
  <TotalTime>13</TotalTime>
  <ScaleCrop>false</ScaleCrop>
  <LinksUpToDate>false</LinksUpToDate>
  <CharactersWithSpaces>6341</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2025-07-08T10:05:00Z</dcterms:created>
  <dc:creator>1</dc:creator>
  <cp:lastModifiedBy>1</cp:lastModifiedBy>
  <dcterms:modified xsi:type="dcterms:W3CDTF">2025-07-31T09:50:29Z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eyJoZGlkIjoiMDY5NmFjMmM4ZTljMGJiZDAxN2JmYTc0NGI0NmFiNDgiLCJ1c2VySWQiOiI3OTM1OTQ5MDkifQ==</vt:lpwstr>
  </property>
  <property fmtid="{D5CDD505-2E9C-101B-9397-08002B2CF9AE}" pid="3" name="KSOProductBuildVer">
    <vt:lpwstr>2052-12.1.0.21915</vt:lpwstr>
  </property>
  <property fmtid="{D5CDD505-2E9C-101B-9397-08002B2CF9AE}" pid="4" name="ICV">
    <vt:lpwstr>772DDD920AF7400FA53897DD896C6723_13</vt:lpwstr>
  </property>
</Properties>
</file>