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1E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auto"/>
        <w:outlineLvl w:val="9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美国云厂商的数据共享平台及实践</w:t>
      </w:r>
    </w:p>
    <w:p w14:paraId="480B4D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88" w:lineRule="auto"/>
        <w:ind w:firstLine="562" w:firstLineChars="200"/>
        <w:textAlignment w:val="auto"/>
        <w:outlineLvl w:val="0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美国数据流通共享政策</w:t>
      </w:r>
    </w:p>
    <w:p w14:paraId="1640F900">
      <w:pPr>
        <w:autoSpaceDE w:val="0"/>
        <w:snapToGrid w:val="0"/>
        <w:spacing w:line="288" w:lineRule="auto"/>
        <w:ind w:firstLine="560" w:firstLineChars="200"/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与欧盟形成统一数据监管框架不同，美国联邦层面尚未建立统一的数据安全、数据产权与个人信息保护的系统法律体系，现行法规呈现分散、弹性较大的特点，仅通过领域性战略和弹性框架提供指引。</w:t>
      </w:r>
    </w:p>
    <w:p w14:paraId="1F0EA89D">
      <w:pPr>
        <w:autoSpaceDE w:val="0"/>
        <w:snapToGrid w:val="0"/>
        <w:spacing w:line="288" w:lineRule="auto"/>
        <w:ind w:firstLine="560" w:firstLineChars="200"/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从政策演进脉络看，美国数据治理逻辑围绕 “安全底线” 与 “领域需求” 双向展开。</w:t>
      </w:r>
      <w:r>
        <w:rPr>
          <w:rFonts w:hint="eastAsia" w:ascii="Times New Roman" w:hAnsi="Times New Roman"/>
          <w:b/>
          <w:bCs/>
          <w:sz w:val="28"/>
          <w:szCs w:val="28"/>
          <w:highlight w:val="none"/>
          <w:lang w:val="en-US" w:eastAsia="zh-CN"/>
        </w:rPr>
        <w:t>综合战略层面，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2023年发布《促进数据共享与分析中的隐私保护国家战略》，明确构建一个兼顾隐私保护与数据共享的数据生态系统。</w:t>
      </w:r>
      <w:r>
        <w:rPr>
          <w:rFonts w:hint="eastAsia" w:ascii="Times New Roman" w:hAnsi="Times New Roman"/>
          <w:b/>
          <w:bCs/>
          <w:sz w:val="28"/>
          <w:szCs w:val="28"/>
          <w:highlight w:val="none"/>
          <w:lang w:val="en-US" w:eastAsia="zh-CN"/>
        </w:rPr>
        <w:t>国防领域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，2023年国防部发布《数据、分析与人工智能采用战略》，支持去中心化数据共享；2024年3月，国防部推出《数据网格参考架构》和《统一数据参考架构》，以强化跨平台、多用户数据协同与智能决策能力。</w:t>
      </w:r>
      <w:r>
        <w:rPr>
          <w:rFonts w:hint="eastAsia" w:ascii="Times New Roman" w:hAnsi="Times New Roman"/>
          <w:b/>
          <w:bCs/>
          <w:sz w:val="28"/>
          <w:szCs w:val="28"/>
          <w:highlight w:val="none"/>
          <w:lang w:val="en-US" w:eastAsia="zh-CN"/>
        </w:rPr>
        <w:t>科研领域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，2024年国家科学技术委员会出台《研发基础设施中的数据互联互通框架》，推进国家级科研数据的集成共享，鼓励商业云参与其中，促进跨机构、跨学科的数据协同与国际合作。</w:t>
      </w:r>
      <w:r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eastAsia="zh-CN"/>
        </w:rPr>
        <w:t>2025年7月，美国总统特朗普签署《One Big Beautiful Bill Act》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eastAsia="zh-CN"/>
        </w:rPr>
        <w:t>，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计划大幅削减联邦开支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eastAsia="zh-CN"/>
        </w:rPr>
        <w:t>，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可能</w:t>
      </w: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eastAsia="zh-CN"/>
        </w:rPr>
        <w:t>形成“科研数据开放收缩、安全数据管控强化”格局。</w:t>
      </w:r>
    </w:p>
    <w:p w14:paraId="026B4818">
      <w:pPr>
        <w:autoSpaceDE w:val="0"/>
        <w:snapToGrid w:val="0"/>
        <w:spacing w:line="288" w:lineRule="auto"/>
        <w:ind w:firstLine="560" w:firstLineChars="200"/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在此背景下，美国大型科技公司基于联邦政策框架，构建以云平台和API经济为特色的数据共享模式，推出跨云安全隔离技术、开发专用数据集成平台等技术产品，形成“政策定底线、企业创模式”的互动关系。</w:t>
      </w:r>
    </w:p>
    <w:p w14:paraId="636278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88" w:lineRule="auto"/>
        <w:ind w:firstLine="562" w:firstLineChars="200"/>
        <w:textAlignment w:val="auto"/>
        <w:outlineLvl w:val="0"/>
        <w:rPr>
          <w:rFonts w:hint="default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AWS Data Exchange，构建企业级数据交易生态</w:t>
      </w:r>
    </w:p>
    <w:p w14:paraId="15ACCAF0">
      <w:pPr>
        <w:autoSpaceDE w:val="0"/>
        <w:snapToGrid w:val="0"/>
        <w:spacing w:line="288" w:lineRule="auto"/>
        <w:ind w:firstLine="560" w:firstLineChars="200"/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Amazon依托其成熟的云计算体系推出AWS Data Exchange（ADX），打通数据采集、建模、分析的闭环，提供多样化的数据订阅、购买与共享方式。ADX集成Amazon S3、Redshift、API等接口，支持公开数据集、定制交易、私有共享等多种模式，并与Marketplace、Lake Formation等服务无缝对接，形成完整的数据资产运营能力。</w:t>
      </w:r>
    </w:p>
    <w:p w14:paraId="020DE827">
      <w:pPr>
        <w:autoSpaceDE w:val="0"/>
        <w:snapToGrid w:val="0"/>
        <w:spacing w:line="288" w:lineRule="auto"/>
        <w:ind w:firstLine="560" w:firstLineChars="200"/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2024年，AWS围绕生成式AI的数据需求升级ADX平台，特别面向AI模型训练、自动化客服、智能合规审计等场景推出数据产品。平台在安全共享、隐私保护和跨域互操作性方面重点突破：一是推出非公开数据共享模式，适配企业级高安全场景；二是通过PrivateLink实现跨云间的数据访问安全隔离；三是支持数据共享日志审计、权限动态管理、可追溯回溯等功能，满足监管要求；四是兼容Eclipse Dataspace Connector（EDC）与Gaia-X/IDSA标准，实现跨境数据合规流通。</w:t>
      </w:r>
    </w:p>
    <w:p w14:paraId="799D5876">
      <w:pPr>
        <w:autoSpaceDE w:val="0"/>
        <w:snapToGrid w:val="0"/>
        <w:spacing w:line="288" w:lineRule="auto"/>
        <w:ind w:firstLine="560" w:firstLineChars="200"/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目前，平台汇聚超3500个数据产品，广泛覆盖金融、医疗、地理等行业。如Change Healthcare提供患者支付与诊疗数据，助力保险欺诈识别、医疗优化与AI诊断模型训练。</w:t>
      </w:r>
    </w:p>
    <w:p w14:paraId="67364D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88" w:lineRule="auto"/>
        <w:ind w:firstLine="562" w:firstLineChars="200"/>
        <w:textAlignment w:val="auto"/>
        <w:outlineLvl w:val="0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Microsoft Azure Data Share和工业数据空间，对接国际生态</w:t>
      </w:r>
    </w:p>
    <w:p w14:paraId="094BF2E2">
      <w:pPr>
        <w:autoSpaceDE w:val="0"/>
        <w:snapToGrid w:val="0"/>
        <w:spacing w:line="288" w:lineRule="auto"/>
        <w:ind w:firstLine="560" w:firstLineChars="200"/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Azure Data Share允许数据提供方创建数据共享账户，邀请数据接收方，从而实现数据共享，包括两种共享模式：一是快照共享，数据可以全量和增量方式复制到接收方账户；二是就地共享，接收方能通过Azure Data Explorer实时访问源端数据。Azure Data Share可与Azure Synapse Analytics、Azure SQL数据库等分析服务无缝对接。Azure Data Share继承Azure的安全特性和合规体系，2023年推出欧盟数据边界计划（EU Data Boundary），保证欧盟客户数据不出境，以符合GDPR和欧盟数据主权要求。</w:t>
      </w:r>
    </w:p>
    <w:p w14:paraId="552D0FEB">
      <w:pPr>
        <w:autoSpaceDE w:val="0"/>
        <w:snapToGrid w:val="0"/>
        <w:spacing w:line="288" w:lineRule="auto"/>
        <w:ind w:firstLine="560" w:firstLineChars="200"/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此外，微软参与IDSA、GAIA-X等欧盟组织，Azure工业数据流通平台集成开放平台通信统一架构（OPC Unified Architecture，OPC UA）、资产管理壳（Asset Administration Shell，AAS）以及Eclipse数据空间组件（EDC）等技术组件，通过构建物理实体的虚拟模型来模拟、分析和优化生产过程。Azure与宝马、西门子等共建Catena-X工业数据空间，提供Azure Edge/Cloud支撑。</w:t>
      </w:r>
    </w:p>
    <w:p w14:paraId="5B8A52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88" w:lineRule="auto"/>
        <w:ind w:firstLine="562" w:firstLineChars="200"/>
        <w:textAlignment w:val="auto"/>
        <w:outlineLvl w:val="0"/>
        <w:rPr>
          <w:rFonts w:hint="default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/>
          <w:b/>
          <w:bCs/>
          <w:sz w:val="28"/>
          <w:szCs w:val="28"/>
          <w:highlight w:val="none"/>
          <w:lang w:val="en-US" w:eastAsia="zh-CN"/>
        </w:rPr>
        <w:t>Google Analytics Hub</w:t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，</w:t>
      </w:r>
      <w:r>
        <w:rPr>
          <w:rFonts w:hint="default"/>
          <w:b/>
          <w:bCs/>
          <w:sz w:val="28"/>
          <w:szCs w:val="28"/>
          <w:highlight w:val="none"/>
          <w:lang w:val="en-US" w:eastAsia="zh-CN"/>
        </w:rPr>
        <w:t>实现零复制的数据协同</w:t>
      </w:r>
    </w:p>
    <w:p w14:paraId="12E0AEBA">
      <w:pPr>
        <w:autoSpaceDE w:val="0"/>
        <w:snapToGrid w:val="0"/>
        <w:spacing w:line="288" w:lineRule="auto"/>
        <w:ind w:firstLine="560" w:firstLineChars="200"/>
        <w:rPr>
          <w:rFonts w:hint="default" w:ascii="Times New Roman" w:hAnsi="Times New Roman" w:eastAsiaTheme="minor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Google Cloud依托BigQuery推出Analytics Hub，支持公共、组织内部与私密数据共享模式，通过发布-订阅机制实现零复制共享</w:t>
      </w:r>
      <w:bookmarkStart w:id="0" w:name="_GoBack"/>
      <w:bookmarkEnd w:id="0"/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。核心功能包括：一是基于BigQuery查询授权实现数据驻留不动的访问共享，并支持跨云联合查询；二是自动接入元数据目录提升数据可发现性；三是</w:t>
      </w:r>
      <w:r>
        <w:rPr>
          <w:rFonts w:hint="eastAsia" w:ascii="Times New Roman" w:hAnsi="Times New Roman"/>
          <w:sz w:val="28"/>
          <w:szCs w:val="28"/>
          <w:highlight w:val="none"/>
        </w:rPr>
        <w:t>Clean Rooms功能支持多方数据联合分析，保障隐私安全；</w:t>
      </w:r>
      <w:r>
        <w:rPr>
          <w:rFonts w:hint="eastAsia" w:ascii="Times New Roman" w:hAnsi="Times New Roman"/>
          <w:sz w:val="28"/>
          <w:szCs w:val="28"/>
          <w:highlight w:val="none"/>
          <w:lang w:val="en-US" w:eastAsia="zh-CN"/>
        </w:rPr>
        <w:t>四是</w:t>
      </w:r>
      <w:r>
        <w:rPr>
          <w:rFonts w:hint="eastAsia" w:ascii="Times New Roman" w:hAnsi="Times New Roman"/>
          <w:sz w:val="28"/>
          <w:szCs w:val="28"/>
          <w:highlight w:val="none"/>
        </w:rPr>
        <w:t>强化与Gaia-X/IDS兼容性，逐步接入RESTful、SQL Federation等开放协议。</w:t>
      </w:r>
    </w:p>
    <w:p w14:paraId="4221AE4A">
      <w:pPr>
        <w:autoSpaceDE w:val="0"/>
        <w:snapToGrid w:val="0"/>
        <w:spacing w:line="288" w:lineRule="auto"/>
        <w:ind w:firstLine="560" w:firstLineChars="200"/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据公开信息，2024年已有10万以上数据专业人员使用BigQuery，相当大比例客户通过Analytics Hub实现跨组织分享。如欧莱雅与隐私计算技术企业Habu合作，通过Analytics Hub的Data Clean Room，与Target、Walmart等多家零售商，共享和分析消费者行为数据，洞察不同渠道的营销投放效果。</w:t>
      </w:r>
    </w:p>
    <w:p w14:paraId="5745CC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88" w:lineRule="auto"/>
        <w:ind w:firstLine="562" w:firstLineChars="200"/>
        <w:textAlignment w:val="auto"/>
        <w:outlineLvl w:val="0"/>
        <w:rPr>
          <w:rFonts w:hint="default" w:asciiTheme="minorHAnsi" w:hAnsiTheme="minorHAnsi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/>
          <w:b/>
          <w:bCs/>
          <w:sz w:val="28"/>
          <w:szCs w:val="28"/>
          <w:highlight w:val="none"/>
          <w:lang w:val="en-US" w:eastAsia="zh-CN"/>
        </w:rPr>
        <w:t>美国数据共享平台</w:t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总结对比</w:t>
      </w:r>
    </w:p>
    <w:p w14:paraId="6D791EEF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288" w:lineRule="auto"/>
        <w:ind w:firstLine="320" w:firstLineChars="200"/>
        <w:textAlignment w:val="auto"/>
        <w:outlineLvl w:val="9"/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CFCFC"/>
        </w:rPr>
        <w:t>​</w:t>
      </w:r>
      <w:r>
        <w:rPr>
          <w:rStyle w:val="8"/>
          <w:rFonts w:hint="eastAsia" w:ascii="Times New Roman" w:hAnsi="Times New Roman" w:eastAsiaTheme="minorEastAsia" w:cstheme="minorBidi"/>
          <w:b/>
          <w:bCs/>
          <w:i w:val="0"/>
          <w:iCs w:val="0"/>
          <w:caps w:val="0"/>
          <w:spacing w:val="0"/>
          <w:sz w:val="28"/>
          <w:szCs w:val="28"/>
          <w:highlight w:val="none"/>
          <w:shd w:val="clear" w:fill="FCFCFC"/>
          <w:vertAlign w:val="baseline"/>
        </w:rPr>
        <w:t>AWS Data Exchange</w:t>
      </w:r>
      <w:r>
        <w:rPr>
          <w:rFonts w:hint="eastAsia" w:ascii="Times New Roman" w:hAnsi="Times New Roman" w:eastAsiaTheme="minorEastAsia" w:cstheme="minorBidi"/>
          <w:b/>
          <w:bCs/>
          <w:i w:val="0"/>
          <w:iCs w:val="0"/>
          <w:caps w:val="0"/>
          <w:spacing w:val="0"/>
          <w:sz w:val="28"/>
          <w:szCs w:val="28"/>
          <w:highlight w:val="none"/>
          <w:shd w:val="clear" w:fill="auto"/>
        </w:rPr>
        <w:t>聚焦</w:t>
      </w:r>
      <w:r>
        <w:rPr>
          <w:rStyle w:val="8"/>
          <w:rFonts w:hint="eastAsia" w:ascii="Times New Roman" w:hAnsi="Times New Roman" w:eastAsiaTheme="minorEastAsia" w:cstheme="minorBidi"/>
          <w:b/>
          <w:bCs/>
          <w:i w:val="0"/>
          <w:iCs w:val="0"/>
          <w:caps w:val="0"/>
          <w:spacing w:val="0"/>
          <w:sz w:val="28"/>
          <w:szCs w:val="28"/>
          <w:highlight w:val="none"/>
          <w:shd w:val="clear" w:fill="FCFCFC"/>
          <w:vertAlign w:val="baseline"/>
        </w:rPr>
        <w:t>商业化数据流通</w:t>
      </w:r>
      <w:r>
        <w:rPr>
          <w:rFonts w:hint="eastAsia" w:ascii="Times New Roman" w:hAnsi="Times New Roman" w:cstheme="minorBidi"/>
          <w:b w:val="0"/>
          <w:bCs w:val="0"/>
          <w:i w:val="0"/>
          <w:iCs w:val="0"/>
          <w:caps w:val="0"/>
          <w:spacing w:val="0"/>
          <w:sz w:val="28"/>
          <w:szCs w:val="28"/>
          <w:highlight w:val="none"/>
          <w:shd w:val="clear"/>
          <w:vertAlign w:val="baseline"/>
          <w:lang w:eastAsia="zh-CN"/>
        </w:rPr>
        <w:t>，</w:t>
      </w:r>
      <w:r>
        <w:rPr>
          <w:rFonts w:hint="eastAsia" w:ascii="Times New Roman" w:hAnsi="Times New Roman" w:eastAsiaTheme="minorEastAsia" w:cstheme="minorBidi"/>
          <w:i w:val="0"/>
          <w:iCs w:val="0"/>
          <w:caps w:val="0"/>
          <w:spacing w:val="0"/>
          <w:sz w:val="28"/>
          <w:szCs w:val="28"/>
          <w:highlight w:val="none"/>
          <w:shd w:val="clear" w:fill="auto"/>
        </w:rPr>
        <w:t>构建完整的数据交易生态，支持第三方供应商销售标准化数据产品。</w:t>
      </w:r>
      <w:r>
        <w:rPr>
          <w:rFonts w:hint="eastAsia" w:ascii="Times New Roman" w:hAnsi="Times New Roman"/>
          <w:b/>
          <w:bCs/>
          <w:sz w:val="28"/>
          <w:szCs w:val="28"/>
          <w:highlight w:val="none"/>
        </w:rPr>
        <w:t>Microsoft Azure Data Share</w:t>
      </w:r>
      <w:r>
        <w:rPr>
          <w:rFonts w:hint="eastAsia" w:ascii="Times New Roman" w:hAnsi="Times New Roman"/>
          <w:b/>
          <w:bCs/>
          <w:sz w:val="28"/>
          <w:szCs w:val="28"/>
          <w:highlight w:val="none"/>
          <w:lang w:val="en-US" w:eastAsia="zh-CN"/>
        </w:rPr>
        <w:t>专注于Azure生态内的数据复制与共享，</w:t>
      </w:r>
      <w:r>
        <w:rPr>
          <w:rFonts w:hint="eastAsia" w:ascii="Times New Roman" w:hAnsi="Times New Roman"/>
          <w:sz w:val="28"/>
          <w:szCs w:val="28"/>
          <w:highlight w:val="none"/>
          <w:lang w:val="en-US" w:eastAsia="zh-CN"/>
        </w:rPr>
        <w:t>适用于需要</w:t>
      </w:r>
      <w:r>
        <w:rPr>
          <w:rFonts w:hint="eastAsia" w:ascii="Times New Roman" w:hAnsi="Times New Roman"/>
          <w:sz w:val="28"/>
          <w:szCs w:val="28"/>
          <w:highlight w:val="none"/>
        </w:rPr>
        <w:t>共享数据进行精细管理和控制的企业。</w:t>
      </w:r>
      <w:r>
        <w:rPr>
          <w:rFonts w:hint="eastAsia" w:ascii="Times New Roman" w:hAnsi="Times New Roman"/>
          <w:b/>
          <w:bCs/>
          <w:sz w:val="28"/>
          <w:szCs w:val="28"/>
          <w:highlight w:val="none"/>
        </w:rPr>
        <w:t>Google Analytics Hub</w:t>
      </w:r>
      <w:r>
        <w:rPr>
          <w:rFonts w:hint="eastAsia" w:ascii="Times New Roman" w:hAnsi="Times New Roman"/>
          <w:b/>
          <w:bCs/>
          <w:sz w:val="28"/>
          <w:szCs w:val="28"/>
          <w:highlight w:val="none"/>
          <w:lang w:val="en-US" w:eastAsia="zh-CN"/>
        </w:rPr>
        <w:t>则强调</w:t>
      </w:r>
      <w:r>
        <w:rPr>
          <w:rFonts w:hint="eastAsia" w:ascii="Times New Roman" w:hAnsi="Times New Roman"/>
          <w:b/>
          <w:bCs/>
          <w:sz w:val="28"/>
          <w:szCs w:val="28"/>
          <w:highlight w:val="none"/>
        </w:rPr>
        <w:t>分析型数据共享</w:t>
      </w:r>
      <w:r>
        <w:rPr>
          <w:rFonts w:hint="eastAsia" w:ascii="Times New Roman" w:hAnsi="Times New Roman"/>
          <w:b/>
          <w:bCs/>
          <w:sz w:val="28"/>
          <w:szCs w:val="28"/>
          <w:highlight w:val="none"/>
          <w:lang w:eastAsia="zh-CN"/>
        </w:rPr>
        <w:t>，</w:t>
      </w:r>
      <w:r>
        <w:rPr>
          <w:rFonts w:hint="eastAsia" w:ascii="Times New Roman" w:hAnsi="Times New Roman"/>
          <w:sz w:val="28"/>
          <w:szCs w:val="28"/>
          <w:highlight w:val="none"/>
          <w:lang w:val="en-US" w:eastAsia="zh-CN"/>
        </w:rPr>
        <w:t>可</w:t>
      </w:r>
      <w:r>
        <w:rPr>
          <w:rFonts w:hint="eastAsia" w:ascii="Times New Roman" w:hAnsi="Times New Roman"/>
          <w:sz w:val="28"/>
          <w:szCs w:val="28"/>
          <w:highlight w:val="none"/>
        </w:rPr>
        <w:t>为内部分析团队提供低门槛的模型共享能力</w:t>
      </w:r>
      <w:r>
        <w:rPr>
          <w:rFonts w:hint="eastAsia" w:ascii="Times New Roman" w:hAnsi="Times New Roman"/>
          <w:sz w:val="28"/>
          <w:szCs w:val="28"/>
          <w:highlight w:val="none"/>
          <w:lang w:eastAsia="zh-CN"/>
        </w:rPr>
        <w:t>。</w:t>
      </w:r>
    </w:p>
    <w:p w14:paraId="73D5B01E">
      <w:pPr>
        <w:autoSpaceDE w:val="0"/>
        <w:snapToGrid w:val="0"/>
        <w:spacing w:line="288" w:lineRule="auto"/>
        <w:ind w:firstLine="0" w:firstLineChars="0"/>
        <w:jc w:val="center"/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  <w:t>表1：美国云公司数据共享平台对比</w:t>
      </w:r>
    </w:p>
    <w:tbl>
      <w:tblPr>
        <w:tblStyle w:val="7"/>
        <w:tblW w:w="8182" w:type="dxa"/>
        <w:tblInd w:w="1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163"/>
        <w:gridCol w:w="2154"/>
        <w:gridCol w:w="2983"/>
      </w:tblGrid>
      <w:tr w14:paraId="43652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05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平台名称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E9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AWS Data Exchange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B7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Microsoft Azure Data Share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1F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Google Analytics Hub</w:t>
            </w:r>
          </w:p>
        </w:tc>
      </w:tr>
      <w:tr w14:paraId="6363E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2D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定位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C7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第三方数据交易市场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A4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企业间数据协作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CAA62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u w:val="none"/>
              </w:rPr>
              <w:t>分析型数据共享</w:t>
            </w:r>
          </w:p>
        </w:tc>
      </w:tr>
      <w:tr w14:paraId="04538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553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数据共享模式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34F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支持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u w:val="none"/>
                <w:lang w:bidi="ar"/>
              </w:rPr>
              <w:t>公开数据集、定制交易、私有共享等多种模式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55D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1.快照复制（数据迁移）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2.就地共享（符号链接实时访问）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65F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支持公共、组织内部与私密三类数据共享模式</w:t>
            </w:r>
          </w:p>
        </w:tc>
      </w:tr>
      <w:tr w14:paraId="0BCE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02F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欧盟标准对接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CCF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u w:val="none"/>
                <w:lang w:bidi="ar"/>
              </w:rPr>
              <w:t>兼容EDC与Gaia-X/IDSA标准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1D6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全面参与IDSA、GAIA-X等组织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94C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兼容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u w:val="none"/>
                <w:lang w:bidi="ar"/>
              </w:rPr>
              <w:t>Gaia-X/IDS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标准</w:t>
            </w:r>
          </w:p>
        </w:tc>
      </w:tr>
      <w:tr w14:paraId="3BC64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0EA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目标</w:t>
            </w:r>
          </w:p>
          <w:p w14:paraId="5F42C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用户​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00A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数据供应商（如Reuters、Foursquare）与数据采购企业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08D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企业内部门/跨组织合作伙伴（如零售商与供应商）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F59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数据分析师/科学家，组织内部分析团队</w:t>
            </w:r>
          </w:p>
        </w:tc>
      </w:tr>
      <w:tr w14:paraId="25F80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32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适用</w:t>
            </w:r>
          </w:p>
          <w:p w14:paraId="0D061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场景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20F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适用于需要访问和共享第三方数据集的用户，如金融机构、市场分析公司等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FC5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适用于在Azure生态系统内进行数据共享的场景，如供应链实时销售数据同步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C53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适用于在组织内和组织间共享数据和分析资产，以支持数据分析、机器学习和业务决策等场景</w:t>
            </w:r>
          </w:p>
        </w:tc>
      </w:tr>
    </w:tbl>
    <w:p w14:paraId="51ECCFD5">
      <w:pPr>
        <w:autoSpaceDE w:val="0"/>
        <w:snapToGrid w:val="0"/>
        <w:spacing w:line="288" w:lineRule="auto"/>
        <w:ind w:firstLine="0" w:firstLineChars="0"/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</w:p>
    <w:p w14:paraId="50CA57D8">
      <w:pPr>
        <w:autoSpaceDE w:val="0"/>
        <w:snapToGrid w:val="0"/>
        <w:spacing w:line="288" w:lineRule="auto"/>
        <w:ind w:firstLine="0" w:firstLineChars="0"/>
        <w:rPr>
          <w:rFonts w:hint="default" w:ascii="Times New Roman" w:hAnsi="Times New Roman"/>
          <w:b w:val="0"/>
          <w:bCs w:val="0"/>
          <w:sz w:val="28"/>
          <w:szCs w:val="28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FFCF7"/>
    <w:multiLevelType w:val="singleLevel"/>
    <w:tmpl w:val="081FFCF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xOTAwZmEyM2ZlMTEyYjg4OWM2ZDJmOGE0YzhlNmQifQ=="/>
  </w:docVars>
  <w:rsids>
    <w:rsidRoot w:val="00000000"/>
    <w:rsid w:val="00B87A8B"/>
    <w:rsid w:val="01050F22"/>
    <w:rsid w:val="01401F5A"/>
    <w:rsid w:val="02076F1C"/>
    <w:rsid w:val="026659F0"/>
    <w:rsid w:val="03323BF3"/>
    <w:rsid w:val="047333D2"/>
    <w:rsid w:val="048B5BE2"/>
    <w:rsid w:val="05AC19FC"/>
    <w:rsid w:val="07053064"/>
    <w:rsid w:val="07F43A9E"/>
    <w:rsid w:val="07F47DB4"/>
    <w:rsid w:val="080B6B8E"/>
    <w:rsid w:val="087B5F6E"/>
    <w:rsid w:val="08872B64"/>
    <w:rsid w:val="090F2C06"/>
    <w:rsid w:val="09300B06"/>
    <w:rsid w:val="0B10295D"/>
    <w:rsid w:val="0B1526A9"/>
    <w:rsid w:val="0B666A61"/>
    <w:rsid w:val="0C254802"/>
    <w:rsid w:val="0C7156C1"/>
    <w:rsid w:val="0CFF0F1B"/>
    <w:rsid w:val="0D0C188A"/>
    <w:rsid w:val="0EF12AE6"/>
    <w:rsid w:val="0FC401FA"/>
    <w:rsid w:val="0FE816C8"/>
    <w:rsid w:val="10234F21"/>
    <w:rsid w:val="109D1177"/>
    <w:rsid w:val="122D5442"/>
    <w:rsid w:val="12D469A6"/>
    <w:rsid w:val="12E37567"/>
    <w:rsid w:val="14611454"/>
    <w:rsid w:val="159254CD"/>
    <w:rsid w:val="15BA3CE6"/>
    <w:rsid w:val="164756A2"/>
    <w:rsid w:val="16947526"/>
    <w:rsid w:val="16DA07C9"/>
    <w:rsid w:val="181F0694"/>
    <w:rsid w:val="18352FC8"/>
    <w:rsid w:val="19687E48"/>
    <w:rsid w:val="1978271D"/>
    <w:rsid w:val="19B32CDE"/>
    <w:rsid w:val="19CC1B27"/>
    <w:rsid w:val="1A4966C9"/>
    <w:rsid w:val="1B155DAE"/>
    <w:rsid w:val="1C0F0A4F"/>
    <w:rsid w:val="1C760ACE"/>
    <w:rsid w:val="1CDF6673"/>
    <w:rsid w:val="1D355362"/>
    <w:rsid w:val="1DE57CAF"/>
    <w:rsid w:val="1E454BFC"/>
    <w:rsid w:val="1E6432D4"/>
    <w:rsid w:val="1EF67CA4"/>
    <w:rsid w:val="20247D02"/>
    <w:rsid w:val="20F46465"/>
    <w:rsid w:val="22DA05EA"/>
    <w:rsid w:val="249C157C"/>
    <w:rsid w:val="2580651A"/>
    <w:rsid w:val="264E72E8"/>
    <w:rsid w:val="26EB0DC0"/>
    <w:rsid w:val="277902B7"/>
    <w:rsid w:val="29513ED5"/>
    <w:rsid w:val="29946A38"/>
    <w:rsid w:val="2A524FC5"/>
    <w:rsid w:val="2AF61758"/>
    <w:rsid w:val="2B76775A"/>
    <w:rsid w:val="2E821554"/>
    <w:rsid w:val="2FC33D4D"/>
    <w:rsid w:val="300725B7"/>
    <w:rsid w:val="300A70A8"/>
    <w:rsid w:val="30DF1214"/>
    <w:rsid w:val="32132BEF"/>
    <w:rsid w:val="3363405D"/>
    <w:rsid w:val="33F8536F"/>
    <w:rsid w:val="34181F9A"/>
    <w:rsid w:val="344E1C6F"/>
    <w:rsid w:val="347B2CCE"/>
    <w:rsid w:val="354B08F2"/>
    <w:rsid w:val="35773495"/>
    <w:rsid w:val="35CB654B"/>
    <w:rsid w:val="363A04F6"/>
    <w:rsid w:val="36EB47BE"/>
    <w:rsid w:val="38A0216A"/>
    <w:rsid w:val="38E47094"/>
    <w:rsid w:val="39216DDF"/>
    <w:rsid w:val="39472C11"/>
    <w:rsid w:val="3A63048C"/>
    <w:rsid w:val="3B111C96"/>
    <w:rsid w:val="3CD9460D"/>
    <w:rsid w:val="3E717642"/>
    <w:rsid w:val="3EE26637"/>
    <w:rsid w:val="3F057D64"/>
    <w:rsid w:val="3F314998"/>
    <w:rsid w:val="3F9410E8"/>
    <w:rsid w:val="3FF027C2"/>
    <w:rsid w:val="401D10DD"/>
    <w:rsid w:val="415870FD"/>
    <w:rsid w:val="4162324B"/>
    <w:rsid w:val="41B11ADD"/>
    <w:rsid w:val="42F73E67"/>
    <w:rsid w:val="43EE2063"/>
    <w:rsid w:val="441F3676"/>
    <w:rsid w:val="44D533DB"/>
    <w:rsid w:val="44F3065E"/>
    <w:rsid w:val="450E5498"/>
    <w:rsid w:val="4521341D"/>
    <w:rsid w:val="456D6663"/>
    <w:rsid w:val="45AF4585"/>
    <w:rsid w:val="46E82445"/>
    <w:rsid w:val="473311E6"/>
    <w:rsid w:val="488912A0"/>
    <w:rsid w:val="4933371F"/>
    <w:rsid w:val="49997A26"/>
    <w:rsid w:val="4B50711D"/>
    <w:rsid w:val="4B577B99"/>
    <w:rsid w:val="4B7079F0"/>
    <w:rsid w:val="4B8B7843"/>
    <w:rsid w:val="4BB739C1"/>
    <w:rsid w:val="4D2F41FE"/>
    <w:rsid w:val="4DA17A6C"/>
    <w:rsid w:val="4E263853"/>
    <w:rsid w:val="4ED94CA4"/>
    <w:rsid w:val="4EE73456"/>
    <w:rsid w:val="4F344EEE"/>
    <w:rsid w:val="4F836FD1"/>
    <w:rsid w:val="505D74EB"/>
    <w:rsid w:val="52263E21"/>
    <w:rsid w:val="52527E09"/>
    <w:rsid w:val="52DE294E"/>
    <w:rsid w:val="532149F9"/>
    <w:rsid w:val="54AD25D8"/>
    <w:rsid w:val="54B23567"/>
    <w:rsid w:val="54D51B2F"/>
    <w:rsid w:val="55A35789"/>
    <w:rsid w:val="56547E37"/>
    <w:rsid w:val="57635426"/>
    <w:rsid w:val="577E64AD"/>
    <w:rsid w:val="57D1482F"/>
    <w:rsid w:val="57E75E01"/>
    <w:rsid w:val="580538A8"/>
    <w:rsid w:val="594352B9"/>
    <w:rsid w:val="59861649"/>
    <w:rsid w:val="5B735CCA"/>
    <w:rsid w:val="5BF154A0"/>
    <w:rsid w:val="5CF10C74"/>
    <w:rsid w:val="5D0C097F"/>
    <w:rsid w:val="5D292A17"/>
    <w:rsid w:val="5EB87851"/>
    <w:rsid w:val="5EB90CB9"/>
    <w:rsid w:val="5F294F51"/>
    <w:rsid w:val="5F2C67EF"/>
    <w:rsid w:val="5F434264"/>
    <w:rsid w:val="633F4D43"/>
    <w:rsid w:val="63716EC6"/>
    <w:rsid w:val="66BE68C6"/>
    <w:rsid w:val="68D66149"/>
    <w:rsid w:val="68F4037D"/>
    <w:rsid w:val="69074555"/>
    <w:rsid w:val="696F20FA"/>
    <w:rsid w:val="698A7E2F"/>
    <w:rsid w:val="6A647785"/>
    <w:rsid w:val="6B5B46E4"/>
    <w:rsid w:val="6BB9072A"/>
    <w:rsid w:val="6BCA3618"/>
    <w:rsid w:val="6C904861"/>
    <w:rsid w:val="6CA16A6E"/>
    <w:rsid w:val="6CA56541"/>
    <w:rsid w:val="6D0E5786"/>
    <w:rsid w:val="6D190977"/>
    <w:rsid w:val="6D857B13"/>
    <w:rsid w:val="6DE54528"/>
    <w:rsid w:val="6E955CF7"/>
    <w:rsid w:val="6EC7441F"/>
    <w:rsid w:val="6F143527"/>
    <w:rsid w:val="701A100B"/>
    <w:rsid w:val="702F613F"/>
    <w:rsid w:val="703B25F7"/>
    <w:rsid w:val="71F66520"/>
    <w:rsid w:val="724203AC"/>
    <w:rsid w:val="731A162D"/>
    <w:rsid w:val="732D105C"/>
    <w:rsid w:val="744664D4"/>
    <w:rsid w:val="749150F2"/>
    <w:rsid w:val="7521699E"/>
    <w:rsid w:val="761C34CD"/>
    <w:rsid w:val="763829C7"/>
    <w:rsid w:val="7709593C"/>
    <w:rsid w:val="77B05DB7"/>
    <w:rsid w:val="79FC7092"/>
    <w:rsid w:val="7A020420"/>
    <w:rsid w:val="7A1A7365"/>
    <w:rsid w:val="7A707A80"/>
    <w:rsid w:val="7B1E474F"/>
    <w:rsid w:val="7DCE74F6"/>
    <w:rsid w:val="7E315783"/>
    <w:rsid w:val="7E3A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2181</Words>
  <Characters>2860</Characters>
  <Lines>0</Lines>
  <Paragraphs>0</Paragraphs>
  <TotalTime>52</TotalTime>
  <ScaleCrop>false</ScaleCrop>
  <LinksUpToDate>false</LinksUpToDate>
  <CharactersWithSpaces>2919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2025-06-16T03:34:00Z</dcterms:created>
  <dc:creator>zff</dc:creator>
  <cp:lastModifiedBy>hp</cp:lastModifiedBy>
  <dcterms:modified xsi:type="dcterms:W3CDTF">2025-09-08T08:00:53Z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KSOTemplateDocerSaveRecord">
    <vt:lpwstr>eyJoZGlkIjoiOTlmOWQzYWIzZjg0MDA5YTQ3NWM2NjNhOTg4OTUyNTQiLCJ1c2VySWQiOiI4NDQ2MzY5MDIifQ==</vt:lpwstr>
  </property>
  <property fmtid="{D5CDD505-2E9C-101B-9397-08002B2CF9AE}" pid="4" name="ICV">
    <vt:lpwstr>5D377E9CE6E34D9BA865F767795C42B4_12</vt:lpwstr>
  </property>
</Properties>
</file>