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center"/>
        <w:rPr>
          <w:rFonts w:hint="eastAsia" w:ascii="楷体" w:hAnsi="楷体" w:eastAsia="楷体" w:cs="楷体"/>
          <w:sz w:val="40"/>
          <w:szCs w:val="40"/>
        </w:rPr>
      </w:pPr>
      <w:r>
        <w:rPr>
          <w:rFonts w:hint="eastAsia" w:ascii="楷体" w:hAnsi="楷体" w:eastAsia="楷体" w:cs="楷体"/>
          <w:sz w:val="40"/>
          <w:szCs w:val="40"/>
          <w:lang w:val="en-US" w:eastAsia="zh-CN"/>
        </w:rPr>
        <w:t>美国</w:t>
      </w:r>
      <w:r>
        <w:rPr>
          <w:rFonts w:hint="eastAsia" w:ascii="楷体" w:hAnsi="楷体" w:eastAsia="楷体" w:cs="楷体"/>
          <w:sz w:val="40"/>
          <w:szCs w:val="40"/>
        </w:rPr>
        <w:t>ITI</w:t>
      </w:r>
      <w:r>
        <w:rPr>
          <w:rFonts w:hint="eastAsia" w:ascii="楷体" w:hAnsi="楷体" w:eastAsia="楷体" w:cs="楷体"/>
          <w:sz w:val="40"/>
          <w:szCs w:val="40"/>
          <w:lang w:val="en-US" w:eastAsia="zh-CN"/>
        </w:rPr>
        <w:t>为何选此时间节点发布</w:t>
      </w:r>
      <w:r>
        <w:rPr>
          <w:rFonts w:hint="eastAsia" w:ascii="楷体" w:hAnsi="楷体" w:eastAsia="楷体" w:cs="楷体"/>
          <w:sz w:val="40"/>
          <w:szCs w:val="40"/>
        </w:rPr>
        <w:t>《量子技术政策指南》？</w:t>
      </w:r>
    </w:p>
    <w:p>
      <w:pPr>
        <w:pStyle w:val="4"/>
        <w:keepNext w:val="0"/>
        <w:keepLines w:val="0"/>
        <w:widowControl/>
        <w:suppressLineNumbers w:val="0"/>
        <w:ind w:firstLine="600" w:firstLineChars="200"/>
        <w:rPr>
          <w:rFonts w:hint="eastAsia" w:ascii="楷体" w:hAnsi="楷体" w:eastAsia="华文楷体" w:cs="楷体"/>
          <w:sz w:val="30"/>
          <w:szCs w:val="32"/>
          <w:lang w:eastAsia="zh-CN"/>
        </w:rPr>
      </w:pPr>
      <w:r>
        <w:rPr>
          <w:rFonts w:hint="eastAsia" w:ascii="楷体" w:hAnsi="楷体" w:eastAsia="华文楷体" w:cs="楷体"/>
          <w:sz w:val="30"/>
          <w:szCs w:val="32"/>
          <w:lang w:val="en-US" w:eastAsia="zh-CN"/>
        </w:rPr>
        <w:t>2025年4月14日，美国科技倡导组织</w:t>
      </w:r>
      <w:r>
        <w:rPr>
          <w:rFonts w:hint="eastAsia" w:ascii="楷体" w:hAnsi="楷体" w:eastAsia="华文楷体" w:cs="楷体"/>
          <w:sz w:val="30"/>
          <w:szCs w:val="32"/>
        </w:rPr>
        <w:t>ITI（信息技术产业委员会</w:t>
      </w:r>
      <w:r>
        <w:rPr>
          <w:rFonts w:hint="eastAsia" w:ascii="楷体" w:hAnsi="楷体" w:eastAsia="华文楷体" w:cs="楷体"/>
          <w:sz w:val="30"/>
          <w:szCs w:val="32"/>
          <w:lang w:eastAsia="zh-CN"/>
        </w:rPr>
        <w:t>）</w:t>
      </w:r>
      <w:r>
        <w:rPr>
          <w:rFonts w:hint="eastAsia" w:ascii="楷体" w:hAnsi="楷体" w:eastAsia="华文楷体" w:cs="楷体"/>
          <w:sz w:val="30"/>
          <w:szCs w:val="32"/>
        </w:rPr>
        <w:t>发布《量子技术政策指南》</w:t>
      </w:r>
      <w:r>
        <w:rPr>
          <w:rFonts w:hint="eastAsia" w:ascii="楷体" w:hAnsi="楷体" w:eastAsia="华文楷体" w:cs="楷体"/>
          <w:sz w:val="30"/>
          <w:szCs w:val="32"/>
          <w:lang w:eastAsia="zh-CN"/>
        </w:rPr>
        <w:t>。ITI在</w:t>
      </w:r>
      <w:r>
        <w:rPr>
          <w:rFonts w:hint="eastAsia" w:ascii="楷体" w:hAnsi="楷体" w:eastAsia="华文楷体" w:cs="楷体"/>
          <w:sz w:val="30"/>
          <w:szCs w:val="32"/>
          <w:lang w:val="en-US" w:eastAsia="zh-CN"/>
        </w:rPr>
        <w:t>美国和</w:t>
      </w:r>
      <w:r>
        <w:rPr>
          <w:rFonts w:hint="eastAsia" w:ascii="楷体" w:hAnsi="楷体" w:eastAsia="华文楷体" w:cs="楷体"/>
          <w:sz w:val="30"/>
          <w:szCs w:val="32"/>
          <w:lang w:eastAsia="zh-CN"/>
        </w:rPr>
        <w:t>全球新兴技术政策领域</w:t>
      </w:r>
      <w:r>
        <w:rPr>
          <w:rFonts w:hint="eastAsia" w:ascii="楷体" w:hAnsi="楷体" w:eastAsia="华文楷体" w:cs="楷体"/>
          <w:sz w:val="30"/>
          <w:szCs w:val="32"/>
          <w:lang w:val="en-US" w:eastAsia="zh-CN"/>
        </w:rPr>
        <w:t>具有较大</w:t>
      </w:r>
      <w:r>
        <w:rPr>
          <w:rFonts w:hint="eastAsia" w:ascii="楷体" w:hAnsi="楷体" w:eastAsia="华文楷体" w:cs="楷体"/>
          <w:sz w:val="30"/>
          <w:szCs w:val="32"/>
          <w:lang w:eastAsia="zh-CN"/>
        </w:rPr>
        <w:t>影响力，</w:t>
      </w:r>
      <w:r>
        <w:rPr>
          <w:rFonts w:hint="eastAsia" w:ascii="楷体" w:hAnsi="楷体" w:eastAsia="华文楷体" w:cs="楷体"/>
          <w:sz w:val="30"/>
          <w:szCs w:val="32"/>
          <w:lang w:val="en-US" w:eastAsia="zh-CN"/>
        </w:rPr>
        <w:t>拥有多次</w:t>
      </w:r>
      <w:r>
        <w:rPr>
          <w:rFonts w:hint="eastAsia" w:ascii="楷体" w:hAnsi="楷体" w:eastAsia="华文楷体" w:cs="楷体"/>
          <w:sz w:val="30"/>
          <w:szCs w:val="32"/>
          <w:lang w:eastAsia="zh-CN"/>
        </w:rPr>
        <w:t>成功建言多国技术</w:t>
      </w:r>
      <w:r>
        <w:rPr>
          <w:rFonts w:hint="eastAsia" w:ascii="楷体" w:hAnsi="楷体" w:eastAsia="华文楷体" w:cs="楷体"/>
          <w:sz w:val="30"/>
          <w:szCs w:val="32"/>
          <w:lang w:val="en-US" w:eastAsia="zh-CN"/>
        </w:rPr>
        <w:t>和管理</w:t>
      </w:r>
      <w:r>
        <w:rPr>
          <w:rFonts w:hint="eastAsia" w:ascii="楷体" w:hAnsi="楷体" w:eastAsia="华文楷体" w:cs="楷体"/>
          <w:sz w:val="30"/>
          <w:szCs w:val="32"/>
          <w:lang w:eastAsia="zh-CN"/>
        </w:rPr>
        <w:t>政策</w:t>
      </w:r>
      <w:r>
        <w:rPr>
          <w:rFonts w:hint="eastAsia" w:ascii="楷体" w:hAnsi="楷体" w:eastAsia="华文楷体" w:cs="楷体"/>
          <w:sz w:val="30"/>
          <w:szCs w:val="32"/>
          <w:lang w:val="en-US" w:eastAsia="zh-CN"/>
        </w:rPr>
        <w:t>的记录</w:t>
      </w:r>
      <w:r>
        <w:rPr>
          <w:rFonts w:hint="eastAsia" w:ascii="楷体" w:hAnsi="楷体" w:eastAsia="华文楷体" w:cs="楷体"/>
          <w:sz w:val="30"/>
          <w:szCs w:val="32"/>
          <w:lang w:eastAsia="zh-CN"/>
        </w:rPr>
        <w:t>。</w:t>
      </w:r>
      <w:r>
        <w:rPr>
          <w:rFonts w:hint="eastAsia" w:ascii="楷体" w:hAnsi="楷体" w:eastAsia="华文楷体" w:cs="楷体"/>
          <w:sz w:val="30"/>
          <w:szCs w:val="32"/>
          <w:lang w:val="en-US" w:eastAsia="zh-CN"/>
        </w:rPr>
        <w:t>当前</w:t>
      </w:r>
      <w:r>
        <w:rPr>
          <w:rFonts w:hint="eastAsia" w:ascii="楷体" w:hAnsi="楷体" w:eastAsia="华文楷体" w:cs="楷体"/>
          <w:sz w:val="30"/>
          <w:szCs w:val="32"/>
          <w:lang w:eastAsia="zh-CN"/>
        </w:rPr>
        <w:t>美国正处于多个方向量子技术从实验室走向产业化的关键窗口期。ITI认为在量子技术领域尤其是量子计算方面抢占先机，能够为</w:t>
      </w:r>
      <w:r>
        <w:rPr>
          <w:rFonts w:hint="eastAsia" w:ascii="楷体" w:hAnsi="楷体" w:eastAsia="华文楷体" w:cs="楷体"/>
          <w:sz w:val="30"/>
          <w:szCs w:val="32"/>
          <w:lang w:val="en-US" w:eastAsia="zh-CN"/>
        </w:rPr>
        <w:t>美</w:t>
      </w:r>
      <w:r>
        <w:rPr>
          <w:rFonts w:hint="eastAsia" w:ascii="楷体" w:hAnsi="楷体" w:eastAsia="华文楷体" w:cs="楷体"/>
          <w:sz w:val="30"/>
          <w:szCs w:val="32"/>
          <w:lang w:eastAsia="zh-CN"/>
        </w:rPr>
        <w:t>国带来显著的战略优势，ITI</w:t>
      </w:r>
      <w:r>
        <w:rPr>
          <w:rFonts w:hint="eastAsia" w:ascii="楷体" w:hAnsi="楷体" w:eastAsia="华文楷体" w:cs="楷体"/>
          <w:sz w:val="30"/>
          <w:szCs w:val="32"/>
          <w:lang w:val="en-US" w:eastAsia="zh-CN"/>
        </w:rPr>
        <w:t>在此时间节点发布指南旨在建言美国政府全力</w:t>
      </w:r>
      <w:r>
        <w:rPr>
          <w:rFonts w:hint="eastAsia" w:ascii="楷体" w:hAnsi="楷体" w:eastAsia="华文楷体" w:cs="楷体"/>
          <w:sz w:val="30"/>
          <w:szCs w:val="32"/>
          <w:lang w:eastAsia="zh-CN"/>
        </w:rPr>
        <w:t>解决产业化瓶颈问题。目前中美</w:t>
      </w:r>
      <w:r>
        <w:rPr>
          <w:rFonts w:hint="eastAsia" w:ascii="楷体" w:hAnsi="楷体" w:eastAsia="华文楷体" w:cs="楷体"/>
          <w:sz w:val="30"/>
          <w:szCs w:val="32"/>
          <w:lang w:val="en-US" w:eastAsia="zh-CN"/>
        </w:rPr>
        <w:t>在多个</w:t>
      </w:r>
      <w:r>
        <w:rPr>
          <w:rFonts w:hint="eastAsia" w:ascii="楷体" w:hAnsi="楷体" w:eastAsia="华文楷体" w:cs="楷体"/>
          <w:sz w:val="30"/>
          <w:szCs w:val="32"/>
          <w:lang w:eastAsia="zh-CN"/>
        </w:rPr>
        <w:t>量子产业</w:t>
      </w:r>
      <w:r>
        <w:rPr>
          <w:rFonts w:hint="eastAsia" w:ascii="楷体" w:hAnsi="楷体" w:eastAsia="华文楷体" w:cs="楷体"/>
          <w:sz w:val="30"/>
          <w:szCs w:val="32"/>
          <w:lang w:val="en-US" w:eastAsia="zh-CN"/>
        </w:rPr>
        <w:t>化</w:t>
      </w:r>
      <w:r>
        <w:rPr>
          <w:rFonts w:hint="eastAsia" w:ascii="楷体" w:hAnsi="楷体" w:eastAsia="华文楷体" w:cs="楷体"/>
          <w:sz w:val="30"/>
          <w:szCs w:val="32"/>
          <w:lang w:eastAsia="zh-CN"/>
        </w:rPr>
        <w:t>方向各有优势，</w:t>
      </w:r>
      <w:r>
        <w:rPr>
          <w:rFonts w:hint="eastAsia" w:ascii="楷体" w:hAnsi="楷体" w:eastAsia="华文楷体" w:cs="楷体"/>
          <w:sz w:val="30"/>
          <w:szCs w:val="32"/>
          <w:lang w:val="en-US" w:eastAsia="zh-CN"/>
        </w:rPr>
        <w:t>专利数量</w:t>
      </w:r>
      <w:bookmarkStart w:id="0" w:name="_GoBack"/>
      <w:bookmarkEnd w:id="0"/>
      <w:r>
        <w:rPr>
          <w:rFonts w:hint="eastAsia" w:ascii="楷体" w:hAnsi="楷体" w:eastAsia="华文楷体" w:cs="楷体"/>
          <w:sz w:val="30"/>
          <w:szCs w:val="32"/>
          <w:lang w:val="en-US" w:eastAsia="zh-CN"/>
        </w:rPr>
        <w:t>及</w:t>
      </w:r>
      <w:r>
        <w:rPr>
          <w:rFonts w:hint="eastAsia" w:ascii="楷体" w:hAnsi="楷体" w:eastAsia="华文楷体" w:cs="楷体"/>
          <w:sz w:val="30"/>
          <w:szCs w:val="32"/>
          <w:lang w:eastAsia="zh-CN"/>
        </w:rPr>
        <w:t>产业化配套水平差异</w:t>
      </w:r>
      <w:r>
        <w:rPr>
          <w:rFonts w:hint="eastAsia" w:ascii="楷体" w:hAnsi="楷体" w:eastAsia="华文楷体" w:cs="楷体"/>
          <w:sz w:val="30"/>
          <w:szCs w:val="32"/>
          <w:lang w:val="en-US" w:eastAsia="zh-CN"/>
        </w:rPr>
        <w:t>较大</w:t>
      </w:r>
      <w:r>
        <w:rPr>
          <w:rFonts w:hint="eastAsia" w:ascii="楷体" w:hAnsi="楷体" w:eastAsia="华文楷体" w:cs="楷体"/>
          <w:sz w:val="30"/>
          <w:szCs w:val="32"/>
          <w:lang w:eastAsia="zh-CN"/>
        </w:rPr>
        <w:t>，预计</w:t>
      </w:r>
      <w:r>
        <w:rPr>
          <w:rFonts w:hint="eastAsia" w:ascii="楷体" w:hAnsi="楷体" w:eastAsia="华文楷体" w:cs="楷体"/>
          <w:sz w:val="30"/>
          <w:szCs w:val="32"/>
          <w:lang w:val="en-US" w:eastAsia="zh-CN"/>
        </w:rPr>
        <w:t>中国</w:t>
      </w:r>
      <w:r>
        <w:rPr>
          <w:rFonts w:hint="eastAsia" w:ascii="楷体" w:hAnsi="楷体" w:eastAsia="华文楷体" w:cs="楷体"/>
          <w:sz w:val="30"/>
          <w:szCs w:val="32"/>
          <w:lang w:eastAsia="zh-CN"/>
        </w:rPr>
        <w:t>将</w:t>
      </w:r>
      <w:r>
        <w:rPr>
          <w:rFonts w:hint="eastAsia" w:ascii="楷体" w:hAnsi="楷体" w:eastAsia="华文楷体" w:cs="楷体"/>
          <w:sz w:val="30"/>
          <w:szCs w:val="32"/>
          <w:lang w:val="en-US" w:eastAsia="zh-CN"/>
        </w:rPr>
        <w:t>按照</w:t>
      </w:r>
      <w:r>
        <w:rPr>
          <w:rFonts w:hint="eastAsia" w:ascii="楷体" w:hAnsi="楷体" w:eastAsia="华文楷体" w:cs="楷体"/>
          <w:sz w:val="30"/>
          <w:szCs w:val="32"/>
          <w:lang w:eastAsia="zh-CN"/>
        </w:rPr>
        <w:t>差异化路径进一步开展量子产业竞赛。</w:t>
      </w:r>
    </w:p>
    <w:p>
      <w:pPr>
        <w:pStyle w:val="2"/>
        <w:keepNext w:val="0"/>
        <w:keepLines w:val="0"/>
        <w:widowControl/>
        <w:suppressLineNumbers w:val="0"/>
        <w:rPr>
          <w:rFonts w:hint="eastAsia" w:ascii="黑体" w:hAnsi="黑体" w:eastAsia="黑体" w:cs="黑体"/>
          <w:sz w:val="32"/>
          <w:szCs w:val="32"/>
          <w:lang w:val="en-US" w:eastAsia="zh-CN"/>
        </w:rPr>
      </w:pPr>
      <w:r>
        <w:rPr>
          <w:rFonts w:hint="eastAsia" w:ascii="黑体" w:hAnsi="黑体" w:eastAsia="黑体" w:cs="黑体"/>
          <w:sz w:val="32"/>
          <w:szCs w:val="32"/>
        </w:rPr>
        <w:t>一</w:t>
      </w:r>
      <w:r>
        <w:rPr>
          <w:rFonts w:hint="eastAsia" w:ascii="黑体" w:hAnsi="黑体" w:eastAsia="黑体" w:cs="黑体"/>
          <w:sz w:val="32"/>
          <w:szCs w:val="32"/>
          <w:lang w:val="en-US" w:eastAsia="zh-CN"/>
        </w:rPr>
        <w:t>.</w:t>
      </w:r>
      <w:r>
        <w:rPr>
          <w:rFonts w:hint="eastAsia" w:ascii="黑体" w:hAnsi="黑体" w:eastAsia="黑体" w:cs="黑体"/>
          <w:sz w:val="32"/>
          <w:szCs w:val="32"/>
        </w:rPr>
        <w:t>ITI</w:t>
      </w:r>
      <w:r>
        <w:rPr>
          <w:rFonts w:hint="eastAsia" w:ascii="黑体" w:hAnsi="黑体" w:eastAsia="黑体" w:cs="黑体"/>
          <w:sz w:val="32"/>
          <w:szCs w:val="32"/>
          <w:lang w:val="en-US" w:eastAsia="zh-CN"/>
        </w:rPr>
        <w:t>发布</w:t>
      </w:r>
      <w:r>
        <w:rPr>
          <w:rFonts w:hint="eastAsia" w:ascii="黑体" w:hAnsi="黑体" w:eastAsia="黑体" w:cs="黑体"/>
          <w:sz w:val="32"/>
          <w:szCs w:val="32"/>
        </w:rPr>
        <w:t>指南</w:t>
      </w:r>
      <w:r>
        <w:rPr>
          <w:rFonts w:hint="eastAsia" w:ascii="黑体" w:hAnsi="黑体" w:eastAsia="黑体" w:cs="黑体"/>
          <w:sz w:val="32"/>
          <w:szCs w:val="32"/>
          <w:lang w:val="en-US" w:eastAsia="zh-CN"/>
        </w:rPr>
        <w:t>基于其在全球新兴技术政策领域的影响力</w:t>
      </w:r>
    </w:p>
    <w:p>
      <w:pPr>
        <w:pStyle w:val="3"/>
        <w:keepNext w:val="0"/>
        <w:keepLines w:val="0"/>
        <w:widowControl/>
        <w:suppressLineNumbers w:val="0"/>
        <w:rPr>
          <w:rFonts w:hint="eastAsia" w:ascii="宋体" w:hAnsi="宋体" w:eastAsia="宋体" w:cs="宋体"/>
          <w:caps w:val="0"/>
          <w:sz w:val="30"/>
          <w:szCs w:val="30"/>
          <w:lang w:val="en-US" w:eastAsia="zh-CN"/>
        </w:rPr>
      </w:pPr>
      <w:r>
        <w:rPr>
          <w:rFonts w:hint="eastAsia" w:ascii="宋体" w:hAnsi="宋体" w:eastAsia="宋体" w:cs="宋体"/>
          <w:sz w:val="30"/>
          <w:szCs w:val="30"/>
        </w:rPr>
        <w:t xml:space="preserve">1. </w:t>
      </w:r>
      <w:r>
        <w:rPr>
          <w:rFonts w:hint="eastAsia" w:ascii="宋体" w:hAnsi="宋体" w:eastAsia="宋体" w:cs="宋体"/>
          <w:caps w:val="0"/>
          <w:sz w:val="30"/>
          <w:szCs w:val="30"/>
        </w:rPr>
        <w:t>ITI</w:t>
      </w:r>
      <w:r>
        <w:rPr>
          <w:rFonts w:hint="eastAsia" w:ascii="宋体" w:hAnsi="宋体" w:eastAsia="宋体" w:cs="宋体"/>
          <w:caps w:val="0"/>
          <w:sz w:val="30"/>
          <w:szCs w:val="30"/>
          <w:lang w:val="en-US" w:eastAsia="zh-CN"/>
        </w:rPr>
        <w:t>通过不断</w:t>
      </w:r>
      <w:r>
        <w:rPr>
          <w:rFonts w:hint="eastAsia" w:cs="宋体"/>
          <w:caps w:val="0"/>
          <w:sz w:val="30"/>
          <w:szCs w:val="30"/>
          <w:lang w:val="en-US" w:eastAsia="zh-CN"/>
        </w:rPr>
        <w:t>扩充会员和增设机构</w:t>
      </w:r>
      <w:r>
        <w:rPr>
          <w:rFonts w:hint="eastAsia" w:ascii="宋体" w:hAnsi="宋体" w:eastAsia="宋体" w:cs="宋体"/>
          <w:caps w:val="0"/>
          <w:sz w:val="30"/>
          <w:szCs w:val="30"/>
          <w:lang w:val="en-US" w:eastAsia="zh-CN"/>
        </w:rPr>
        <w:t>，</w:t>
      </w:r>
      <w:r>
        <w:rPr>
          <w:rFonts w:hint="eastAsia" w:ascii="宋体" w:hAnsi="宋体" w:eastAsia="宋体" w:cs="宋体"/>
          <w:caps w:val="0"/>
          <w:sz w:val="30"/>
          <w:szCs w:val="30"/>
        </w:rPr>
        <w:t>具备跨</w:t>
      </w:r>
      <w:r>
        <w:rPr>
          <w:rFonts w:hint="eastAsia" w:ascii="宋体" w:hAnsi="宋体" w:eastAsia="宋体" w:cs="宋体"/>
          <w:caps w:val="0"/>
          <w:sz w:val="30"/>
          <w:szCs w:val="30"/>
          <w:lang w:val="en-US" w:eastAsia="zh-CN"/>
        </w:rPr>
        <w:t>技术</w:t>
      </w:r>
      <w:r>
        <w:rPr>
          <w:rFonts w:hint="eastAsia" w:ascii="宋体" w:hAnsi="宋体" w:eastAsia="宋体" w:cs="宋体"/>
          <w:caps w:val="0"/>
          <w:sz w:val="30"/>
          <w:szCs w:val="30"/>
        </w:rPr>
        <w:t>领域</w:t>
      </w:r>
      <w:r>
        <w:rPr>
          <w:rFonts w:hint="eastAsia" w:ascii="宋体" w:hAnsi="宋体" w:eastAsia="宋体" w:cs="宋体"/>
          <w:caps w:val="0"/>
          <w:sz w:val="30"/>
          <w:szCs w:val="30"/>
          <w:lang w:eastAsia="zh-CN"/>
        </w:rPr>
        <w:t>、</w:t>
      </w:r>
      <w:r>
        <w:rPr>
          <w:rFonts w:hint="eastAsia" w:ascii="宋体" w:hAnsi="宋体" w:eastAsia="宋体" w:cs="宋体"/>
          <w:caps w:val="0"/>
          <w:sz w:val="30"/>
          <w:szCs w:val="30"/>
          <w:lang w:val="en-US" w:eastAsia="zh-CN"/>
        </w:rPr>
        <w:t>跨主要经济体的</w:t>
      </w:r>
      <w:r>
        <w:rPr>
          <w:rFonts w:hint="eastAsia" w:ascii="宋体" w:hAnsi="宋体" w:eastAsia="宋体" w:cs="宋体"/>
          <w:caps w:val="0"/>
          <w:sz w:val="30"/>
          <w:szCs w:val="30"/>
        </w:rPr>
        <w:t>影响力</w:t>
      </w:r>
      <w:r>
        <w:rPr>
          <w:rFonts w:hint="eastAsia" w:ascii="宋体" w:hAnsi="宋体" w:eastAsia="宋体" w:cs="宋体"/>
          <w:caps w:val="0"/>
          <w:sz w:val="30"/>
          <w:szCs w:val="30"/>
          <w:lang w:val="en-US" w:eastAsia="zh-CN"/>
        </w:rPr>
        <w:t>基础。</w:t>
      </w:r>
    </w:p>
    <w:p>
      <w:pPr>
        <w:pStyle w:val="4"/>
        <w:keepNext w:val="0"/>
        <w:keepLines w:val="0"/>
        <w:widowControl/>
        <w:suppressLineNumbers w:val="0"/>
        <w:ind w:firstLine="600" w:firstLineChars="200"/>
        <w:rPr>
          <w:rFonts w:hint="default" w:ascii="宋体" w:hAnsi="宋体" w:eastAsia="宋体" w:cs="宋体"/>
          <w:caps w:val="0"/>
          <w:sz w:val="30"/>
          <w:szCs w:val="32"/>
          <w:lang w:val="en-US" w:eastAsia="zh-CN"/>
        </w:rPr>
      </w:pPr>
      <w:r>
        <w:rPr>
          <w:rFonts w:hint="eastAsia" w:ascii="宋体" w:hAnsi="宋体" w:eastAsia="宋体" w:cs="宋体"/>
          <w:caps w:val="0"/>
          <w:sz w:val="30"/>
          <w:szCs w:val="32"/>
        </w:rPr>
        <w:t>ITI成立</w:t>
      </w:r>
      <w:r>
        <w:rPr>
          <w:rFonts w:hint="eastAsia" w:ascii="宋体" w:hAnsi="宋体" w:eastAsia="宋体" w:cs="宋体"/>
          <w:caps w:val="0"/>
          <w:sz w:val="30"/>
          <w:szCs w:val="32"/>
          <w:lang w:val="en-US" w:eastAsia="zh-CN"/>
        </w:rPr>
        <w:t>距今已有近110年的历史</w:t>
      </w:r>
      <w:r>
        <w:rPr>
          <w:rFonts w:hint="eastAsia" w:ascii="宋体" w:hAnsi="宋体" w:eastAsia="宋体" w:cs="宋体"/>
          <w:caps w:val="0"/>
          <w:sz w:val="30"/>
          <w:szCs w:val="32"/>
          <w:lang w:eastAsia="zh-CN"/>
        </w:rPr>
        <w:t>，</w:t>
      </w:r>
      <w:r>
        <w:rPr>
          <w:rFonts w:hint="eastAsia" w:ascii="宋体" w:hAnsi="宋体" w:eastAsia="宋体" w:cs="宋体"/>
          <w:caps w:val="0"/>
          <w:sz w:val="30"/>
          <w:szCs w:val="32"/>
          <w:lang w:val="en-US" w:eastAsia="zh-CN"/>
        </w:rPr>
        <w:t>前身是美国制造业协会，经过多轮</w:t>
      </w:r>
      <w:r>
        <w:rPr>
          <w:rFonts w:hint="eastAsia" w:ascii="宋体" w:hAnsi="宋体" w:eastAsia="宋体" w:cs="宋体"/>
          <w:caps w:val="0"/>
          <w:sz w:val="30"/>
          <w:szCs w:val="32"/>
          <w:lang w:eastAsia="zh-CN"/>
        </w:rPr>
        <w:t>重组后成为代表全球顶尖科技公司的政策倡导机构，</w:t>
      </w:r>
      <w:r>
        <w:rPr>
          <w:rFonts w:hint="eastAsia" w:ascii="宋体" w:hAnsi="宋体" w:eastAsia="宋体" w:cs="宋体"/>
          <w:caps w:val="0"/>
          <w:sz w:val="30"/>
          <w:szCs w:val="32"/>
          <w:lang w:val="en-US" w:eastAsia="zh-CN"/>
        </w:rPr>
        <w:t>其宗旨是坚持</w:t>
      </w:r>
      <w:r>
        <w:rPr>
          <w:rFonts w:hint="eastAsia" w:ascii="宋体" w:hAnsi="宋体" w:eastAsia="宋体" w:cs="宋体"/>
          <w:b/>
          <w:bCs/>
          <w:caps w:val="0"/>
          <w:sz w:val="30"/>
          <w:szCs w:val="32"/>
          <w:lang w:eastAsia="zh-CN"/>
        </w:rPr>
        <w:t>通过推动技术友好的公共政策和行业标准，提升成员企业的全球竞争力</w:t>
      </w:r>
      <w:r>
        <w:rPr>
          <w:rFonts w:hint="eastAsia" w:ascii="宋体" w:hAnsi="宋体" w:eastAsia="宋体" w:cs="宋体"/>
          <w:caps w:val="0"/>
          <w:sz w:val="30"/>
          <w:szCs w:val="32"/>
          <w:lang w:eastAsia="zh-CN"/>
        </w:rPr>
        <w:t>。</w:t>
      </w:r>
      <w:r>
        <w:rPr>
          <w:rFonts w:hint="eastAsia" w:ascii="宋体" w:hAnsi="宋体" w:eastAsia="宋体" w:cs="宋体"/>
          <w:caps w:val="0"/>
          <w:sz w:val="30"/>
          <w:szCs w:val="32"/>
          <w:lang w:val="en-US" w:eastAsia="zh-CN"/>
        </w:rPr>
        <w:t>ITI目前会员包含</w:t>
      </w:r>
      <w:r>
        <w:rPr>
          <w:rFonts w:hint="eastAsia" w:ascii="宋体" w:hAnsi="宋体" w:eastAsia="宋体" w:cs="宋体"/>
          <w:caps w:val="0"/>
          <w:sz w:val="30"/>
          <w:szCs w:val="32"/>
          <w:lang w:eastAsia="zh-CN"/>
        </w:rPr>
        <w:t>微软、谷歌、</w:t>
      </w:r>
      <w:r>
        <w:rPr>
          <w:rFonts w:hint="eastAsia" w:ascii="宋体" w:hAnsi="宋体" w:eastAsia="宋体" w:cs="宋体"/>
          <w:caps w:val="0"/>
          <w:sz w:val="30"/>
          <w:szCs w:val="32"/>
          <w:lang w:val="en-US" w:eastAsia="zh-CN"/>
        </w:rPr>
        <w:t>英伟达</w:t>
      </w:r>
      <w:r>
        <w:rPr>
          <w:rFonts w:hint="eastAsia" w:ascii="宋体" w:hAnsi="宋体" w:eastAsia="宋体" w:cs="宋体"/>
          <w:caps w:val="0"/>
          <w:sz w:val="30"/>
          <w:szCs w:val="32"/>
          <w:lang w:eastAsia="zh-CN"/>
        </w:rPr>
        <w:t>等</w:t>
      </w:r>
      <w:r>
        <w:rPr>
          <w:rFonts w:hint="eastAsia" w:ascii="宋体" w:hAnsi="宋体" w:eastAsia="宋体" w:cs="宋体"/>
          <w:caps w:val="0"/>
          <w:sz w:val="30"/>
          <w:szCs w:val="32"/>
          <w:lang w:val="en-US" w:eastAsia="zh-CN"/>
        </w:rPr>
        <w:t>在内的85家</w:t>
      </w:r>
      <w:r>
        <w:rPr>
          <w:rFonts w:hint="eastAsia" w:ascii="宋体" w:hAnsi="宋体" w:eastAsia="宋体" w:cs="宋体"/>
          <w:caps w:val="0"/>
          <w:sz w:val="30"/>
          <w:szCs w:val="32"/>
          <w:lang w:eastAsia="zh-CN"/>
        </w:rPr>
        <w:t>全球领先企业</w:t>
      </w:r>
      <w:r>
        <w:rPr>
          <w:rFonts w:hint="eastAsia" w:ascii="宋体" w:hAnsi="宋体" w:eastAsia="宋体" w:cs="宋体"/>
          <w:caps w:val="0"/>
          <w:sz w:val="30"/>
          <w:szCs w:val="32"/>
          <w:lang w:val="en-US" w:eastAsia="zh-CN"/>
        </w:rPr>
        <w:t>，其总部分别设立在</w:t>
      </w:r>
      <w:r>
        <w:rPr>
          <w:rFonts w:hint="eastAsia" w:ascii="宋体" w:hAnsi="宋体" w:eastAsia="宋体" w:cs="宋体"/>
          <w:caps w:val="0"/>
          <w:sz w:val="30"/>
          <w:szCs w:val="32"/>
          <w:lang w:eastAsia="zh-CN"/>
        </w:rPr>
        <w:t>美</w:t>
      </w:r>
      <w:r>
        <w:rPr>
          <w:rFonts w:hint="eastAsia" w:ascii="宋体" w:hAnsi="宋体" w:eastAsia="宋体" w:cs="宋体"/>
          <w:caps w:val="0"/>
          <w:sz w:val="30"/>
          <w:szCs w:val="32"/>
          <w:lang w:val="en-US" w:eastAsia="zh-CN"/>
        </w:rPr>
        <w:t>国</w:t>
      </w:r>
      <w:r>
        <w:rPr>
          <w:rFonts w:hint="eastAsia" w:ascii="宋体" w:hAnsi="宋体" w:eastAsia="宋体" w:cs="宋体"/>
          <w:caps w:val="0"/>
          <w:sz w:val="30"/>
          <w:szCs w:val="32"/>
          <w:lang w:eastAsia="zh-CN"/>
        </w:rPr>
        <w:t>、</w:t>
      </w:r>
      <w:r>
        <w:rPr>
          <w:rFonts w:hint="eastAsia" w:ascii="宋体" w:hAnsi="宋体" w:eastAsia="宋体" w:cs="宋体"/>
          <w:caps w:val="0"/>
          <w:sz w:val="30"/>
          <w:szCs w:val="32"/>
          <w:lang w:val="en-US" w:eastAsia="zh-CN"/>
        </w:rPr>
        <w:t>欧洲和亚太地区</w:t>
      </w:r>
      <w:r>
        <w:rPr>
          <w:rFonts w:hint="eastAsia" w:ascii="宋体" w:hAnsi="宋体" w:eastAsia="宋体" w:cs="宋体"/>
          <w:caps w:val="0"/>
          <w:sz w:val="30"/>
          <w:szCs w:val="32"/>
          <w:lang w:eastAsia="zh-CN"/>
        </w:rPr>
        <w:t>，</w:t>
      </w:r>
      <w:r>
        <w:rPr>
          <w:rFonts w:hint="eastAsia" w:ascii="宋体" w:hAnsi="宋体" w:eastAsia="宋体" w:cs="宋体"/>
          <w:caps w:val="0"/>
          <w:sz w:val="30"/>
          <w:szCs w:val="32"/>
          <w:lang w:val="en-US" w:eastAsia="zh-CN"/>
        </w:rPr>
        <w:t>优势技术全面覆盖高端制造、云计算、</w:t>
      </w:r>
      <w:r>
        <w:rPr>
          <w:rFonts w:hint="eastAsia" w:ascii="宋体" w:hAnsi="宋体" w:eastAsia="宋体" w:cs="宋体"/>
          <w:caps w:val="0"/>
          <w:sz w:val="30"/>
          <w:szCs w:val="32"/>
          <w:lang w:eastAsia="zh-CN"/>
        </w:rPr>
        <w:t>人工智能</w:t>
      </w:r>
      <w:r>
        <w:rPr>
          <w:rFonts w:hint="eastAsia" w:ascii="宋体" w:hAnsi="宋体" w:eastAsia="宋体" w:cs="宋体"/>
          <w:caps w:val="0"/>
          <w:sz w:val="30"/>
          <w:szCs w:val="32"/>
          <w:lang w:val="en-US" w:eastAsia="zh-CN"/>
        </w:rPr>
        <w:t>和</w:t>
      </w:r>
      <w:r>
        <w:rPr>
          <w:rFonts w:hint="eastAsia" w:ascii="宋体" w:hAnsi="宋体" w:eastAsia="宋体" w:cs="宋体"/>
          <w:caps w:val="0"/>
          <w:sz w:val="30"/>
          <w:szCs w:val="32"/>
          <w:lang w:eastAsia="zh-CN"/>
        </w:rPr>
        <w:t>网络安全</w:t>
      </w:r>
      <w:r>
        <w:rPr>
          <w:rFonts w:hint="eastAsia" w:ascii="宋体" w:hAnsi="宋体" w:eastAsia="宋体" w:cs="宋体"/>
          <w:caps w:val="0"/>
          <w:sz w:val="30"/>
          <w:szCs w:val="32"/>
          <w:lang w:val="en-US" w:eastAsia="zh-CN"/>
        </w:rPr>
        <w:t>等领域。近年来，ITI还</w:t>
      </w:r>
      <w:r>
        <w:rPr>
          <w:rFonts w:hint="eastAsia" w:ascii="宋体" w:hAnsi="宋体" w:eastAsia="宋体" w:cs="宋体"/>
          <w:b/>
          <w:bCs/>
          <w:caps w:val="0"/>
          <w:sz w:val="30"/>
          <w:szCs w:val="32"/>
          <w:lang w:val="en-US" w:eastAsia="zh-CN"/>
        </w:rPr>
        <w:t>增设</w:t>
      </w:r>
      <w:r>
        <w:rPr>
          <w:rFonts w:hint="eastAsia" w:ascii="宋体" w:hAnsi="宋体" w:eastAsia="宋体" w:cs="宋体"/>
          <w:caps w:val="0"/>
          <w:sz w:val="30"/>
          <w:szCs w:val="32"/>
          <w:lang w:val="en-US" w:eastAsia="zh-CN"/>
        </w:rPr>
        <w:t>了太空企业委员会（SEC）、绿色网格（Green Grid）和可持续发展政策小组等下设机构，其中太空企业委员会目前有16家会员，致力于美国太空管理政策草拟和推动国际太空合作，在太空数据和网络安全等交叉领域具有技术领先基础，绿色网格和可持续发展政策小组则在全球数据中心等领域具有较强影响力。</w:t>
      </w:r>
    </w:p>
    <w:p>
      <w:pPr>
        <w:pStyle w:val="4"/>
        <w:keepNext w:val="0"/>
        <w:keepLines w:val="0"/>
        <w:widowControl/>
        <w:numPr>
          <w:ilvl w:val="0"/>
          <w:numId w:val="1"/>
        </w:numPr>
        <w:suppressLineNumbers w:val="0"/>
        <w:rPr>
          <w:rFonts w:hint="eastAsia" w:ascii="宋体" w:hAnsi="宋体" w:eastAsia="宋体" w:cs="宋体"/>
          <w:b/>
          <w:bCs/>
          <w:caps w:val="0"/>
          <w:sz w:val="30"/>
          <w:szCs w:val="32"/>
        </w:rPr>
      </w:pPr>
      <w:r>
        <w:rPr>
          <w:rFonts w:hint="eastAsia" w:ascii="宋体" w:hAnsi="宋体" w:eastAsia="宋体" w:cs="宋体"/>
          <w:b/>
          <w:bCs/>
          <w:caps w:val="0"/>
          <w:sz w:val="30"/>
          <w:szCs w:val="32"/>
        </w:rPr>
        <w:t>ITI</w:t>
      </w:r>
      <w:r>
        <w:rPr>
          <w:rFonts w:hint="eastAsia" w:ascii="宋体" w:hAnsi="宋体" w:eastAsia="宋体" w:cs="宋体"/>
          <w:b/>
          <w:bCs/>
          <w:caps w:val="0"/>
          <w:sz w:val="30"/>
          <w:szCs w:val="32"/>
          <w:lang w:val="en-US" w:eastAsia="zh-CN"/>
        </w:rPr>
        <w:t>近年已经成功建言多国技术</w:t>
      </w:r>
      <w:r>
        <w:rPr>
          <w:rFonts w:hint="eastAsia" w:ascii="宋体" w:hAnsi="宋体" w:eastAsia="宋体" w:cs="宋体"/>
          <w:b/>
          <w:bCs/>
          <w:caps w:val="0"/>
          <w:sz w:val="30"/>
          <w:szCs w:val="32"/>
        </w:rPr>
        <w:t>政策</w:t>
      </w:r>
      <w:r>
        <w:rPr>
          <w:rFonts w:hint="eastAsia" w:ascii="宋体" w:hAnsi="宋体" w:eastAsia="宋体" w:cs="宋体"/>
          <w:b/>
          <w:bCs/>
          <w:caps w:val="0"/>
          <w:sz w:val="30"/>
          <w:szCs w:val="32"/>
          <w:lang w:val="en-US" w:eastAsia="zh-CN"/>
        </w:rPr>
        <w:t>和管理政策</w:t>
      </w:r>
      <w:r>
        <w:rPr>
          <w:rFonts w:hint="eastAsia" w:ascii="宋体" w:hAnsi="宋体" w:eastAsia="宋体" w:cs="宋体"/>
          <w:b/>
          <w:bCs/>
          <w:caps w:val="0"/>
          <w:sz w:val="30"/>
          <w:szCs w:val="32"/>
        </w:rPr>
        <w:t>制定。</w:t>
      </w:r>
    </w:p>
    <w:p>
      <w:pPr>
        <w:ind w:firstLine="600" w:firstLineChars="200"/>
        <w:rPr>
          <w:rFonts w:hint="eastAsia" w:ascii="宋体" w:hAnsi="宋体" w:eastAsia="宋体" w:cs="宋体"/>
          <w:caps w:val="0"/>
          <w:sz w:val="30"/>
          <w:szCs w:val="32"/>
        </w:rPr>
      </w:pPr>
      <w:r>
        <w:rPr>
          <w:rFonts w:hint="eastAsia" w:ascii="宋体" w:hAnsi="宋体" w:eastAsia="宋体" w:cs="宋体"/>
          <w:caps w:val="0"/>
          <w:sz w:val="30"/>
          <w:szCs w:val="32"/>
          <w:lang w:val="en-US" w:eastAsia="zh-CN"/>
        </w:rPr>
        <w:t>自2012年以来，ITI在人工智能、数据安全、物联网和5G等多个领域发布技术指南、原则性文件和正式函件等接近330份，通过多种方式深度介入全球</w:t>
      </w:r>
      <w:r>
        <w:rPr>
          <w:rFonts w:hint="eastAsia" w:ascii="宋体" w:hAnsi="宋体" w:eastAsia="宋体" w:cs="宋体"/>
          <w:caps w:val="0"/>
          <w:sz w:val="30"/>
          <w:szCs w:val="32"/>
        </w:rPr>
        <w:t>技术政策领域</w:t>
      </w:r>
      <w:r>
        <w:rPr>
          <w:rFonts w:hint="eastAsia" w:ascii="宋体" w:hAnsi="宋体" w:eastAsia="宋体" w:cs="宋体"/>
          <w:caps w:val="0"/>
          <w:sz w:val="30"/>
          <w:szCs w:val="32"/>
          <w:lang w:eastAsia="zh-CN"/>
        </w:rPr>
        <w:t>。</w:t>
      </w:r>
      <w:r>
        <w:rPr>
          <w:rFonts w:hint="eastAsia" w:ascii="宋体" w:hAnsi="宋体" w:eastAsia="宋体" w:cs="宋体"/>
          <w:b/>
          <w:bCs/>
          <w:caps w:val="0"/>
          <w:sz w:val="30"/>
          <w:szCs w:val="32"/>
          <w:lang w:val="en-US" w:eastAsia="zh-CN"/>
        </w:rPr>
        <w:t>一是通过</w:t>
      </w:r>
      <w:r>
        <w:rPr>
          <w:rFonts w:hint="eastAsia" w:ascii="宋体" w:hAnsi="宋体" w:eastAsia="宋体" w:cs="宋体"/>
          <w:b/>
          <w:bCs/>
          <w:caps w:val="0"/>
          <w:sz w:val="30"/>
          <w:szCs w:val="32"/>
        </w:rPr>
        <w:t>定期发布政策路线图</w:t>
      </w:r>
      <w:r>
        <w:rPr>
          <w:rFonts w:hint="eastAsia" w:ascii="宋体" w:hAnsi="宋体" w:eastAsia="宋体" w:cs="宋体"/>
          <w:b/>
          <w:bCs/>
          <w:caps w:val="0"/>
          <w:sz w:val="30"/>
          <w:szCs w:val="32"/>
          <w:lang w:eastAsia="zh-CN"/>
        </w:rPr>
        <w:t>、</w:t>
      </w:r>
      <w:r>
        <w:rPr>
          <w:rFonts w:hint="eastAsia" w:ascii="宋体" w:hAnsi="宋体" w:eastAsia="宋体" w:cs="宋体"/>
          <w:b/>
          <w:bCs/>
          <w:caps w:val="0"/>
          <w:sz w:val="30"/>
          <w:szCs w:val="32"/>
          <w:lang w:val="en-US" w:eastAsia="zh-CN"/>
        </w:rPr>
        <w:t>参与国会听证和白宫咨询等方式直接参与美国相关法案和管理政策制订</w:t>
      </w:r>
      <w:r>
        <w:rPr>
          <w:rFonts w:hint="eastAsia" w:ascii="宋体" w:hAnsi="宋体" w:eastAsia="宋体" w:cs="宋体"/>
          <w:caps w:val="0"/>
          <w:sz w:val="30"/>
          <w:szCs w:val="32"/>
          <w:lang w:val="en-US" w:eastAsia="zh-CN"/>
        </w:rPr>
        <w:t>，如ITI 在美国众议院会议上对参议院提出的《人工智能研究、创新和问责》等法案参与听证，通过定期发布政策路线图推动</w:t>
      </w:r>
      <w:r>
        <w:rPr>
          <w:rFonts w:hint="eastAsia" w:ascii="宋体" w:hAnsi="宋体" w:eastAsia="宋体" w:cs="宋体"/>
          <w:caps w:val="0"/>
          <w:sz w:val="30"/>
          <w:szCs w:val="32"/>
        </w:rPr>
        <w:t>美国《国家人工智能研发战略计划》更新</w:t>
      </w:r>
      <w:r>
        <w:rPr>
          <w:rFonts w:hint="eastAsia" w:ascii="宋体" w:hAnsi="宋体" w:eastAsia="宋体" w:cs="宋体"/>
          <w:caps w:val="0"/>
          <w:sz w:val="30"/>
          <w:szCs w:val="32"/>
          <w:lang w:val="en-US" w:eastAsia="zh-CN"/>
        </w:rPr>
        <w:t>，其中</w:t>
      </w:r>
      <w:r>
        <w:rPr>
          <w:rFonts w:hint="eastAsia" w:ascii="宋体" w:hAnsi="宋体" w:eastAsia="宋体" w:cs="宋体"/>
          <w:caps w:val="0"/>
          <w:sz w:val="30"/>
          <w:szCs w:val="32"/>
        </w:rPr>
        <w:t>2023年</w:t>
      </w:r>
      <w:r>
        <w:rPr>
          <w:rFonts w:hint="eastAsia" w:ascii="宋体" w:hAnsi="宋体" w:eastAsia="宋体" w:cs="宋体"/>
          <w:caps w:val="0"/>
          <w:sz w:val="30"/>
          <w:szCs w:val="32"/>
          <w:lang w:val="en-US" w:eastAsia="zh-CN"/>
        </w:rPr>
        <w:t>发布的</w:t>
      </w:r>
      <w:r>
        <w:rPr>
          <w:rFonts w:hint="eastAsia" w:ascii="宋体" w:hAnsi="宋体" w:eastAsia="宋体" w:cs="宋体"/>
          <w:caps w:val="0"/>
          <w:sz w:val="30"/>
          <w:szCs w:val="32"/>
        </w:rPr>
        <w:t>美国技术政策路线图被拜登政府采纳为竞争力提升框架。</w:t>
      </w:r>
      <w:r>
        <w:rPr>
          <w:rFonts w:hint="eastAsia" w:ascii="宋体" w:hAnsi="宋体" w:eastAsia="宋体" w:cs="宋体"/>
          <w:b/>
          <w:bCs/>
          <w:caps w:val="0"/>
          <w:sz w:val="30"/>
          <w:szCs w:val="32"/>
          <w:lang w:val="en-US" w:eastAsia="zh-CN"/>
        </w:rPr>
        <w:t>二是通过发函建议、举办国际会议和媒体倡导等方式影响他国政府管理政策</w:t>
      </w:r>
      <w:r>
        <w:rPr>
          <w:rFonts w:hint="eastAsia" w:ascii="宋体" w:hAnsi="宋体" w:eastAsia="宋体" w:cs="宋体"/>
          <w:caps w:val="0"/>
          <w:sz w:val="30"/>
          <w:szCs w:val="32"/>
          <w:lang w:val="en-US" w:eastAsia="zh-CN"/>
        </w:rPr>
        <w:t>除美国以外，</w:t>
      </w:r>
      <w:r>
        <w:rPr>
          <w:rFonts w:hint="eastAsia" w:ascii="宋体" w:hAnsi="宋体" w:eastAsia="宋体" w:cs="宋体"/>
          <w:caps w:val="0"/>
          <w:sz w:val="30"/>
          <w:szCs w:val="32"/>
        </w:rPr>
        <w:t>ITI</w:t>
      </w:r>
      <w:r>
        <w:rPr>
          <w:rFonts w:hint="eastAsia" w:ascii="宋体" w:hAnsi="宋体" w:eastAsia="宋体" w:cs="宋体"/>
          <w:caps w:val="0"/>
          <w:sz w:val="30"/>
          <w:szCs w:val="32"/>
          <w:lang w:val="en-US" w:eastAsia="zh-CN"/>
        </w:rPr>
        <w:t>还在全球范围内影响欧盟、英国、印度和巴西等多个国家和组织的相关产业管理政策的走向</w:t>
      </w:r>
      <w:r>
        <w:rPr>
          <w:rFonts w:hint="eastAsia" w:ascii="宋体" w:hAnsi="宋体" w:eastAsia="宋体" w:cs="宋体"/>
          <w:caps w:val="0"/>
          <w:sz w:val="30"/>
          <w:szCs w:val="32"/>
          <w:lang w:eastAsia="zh-CN"/>
        </w:rPr>
        <w:t>，</w:t>
      </w:r>
      <w:r>
        <w:rPr>
          <w:rFonts w:hint="eastAsia" w:ascii="宋体" w:hAnsi="宋体" w:eastAsia="宋体" w:cs="宋体"/>
          <w:caps w:val="0"/>
          <w:sz w:val="30"/>
          <w:szCs w:val="32"/>
          <w:lang w:val="en-US" w:eastAsia="zh-CN"/>
        </w:rPr>
        <w:t>如</w:t>
      </w:r>
      <w:r>
        <w:rPr>
          <w:rFonts w:hint="eastAsia" w:ascii="宋体" w:hAnsi="宋体" w:eastAsia="宋体" w:cs="宋体"/>
          <w:caps w:val="0"/>
          <w:sz w:val="30"/>
          <w:szCs w:val="32"/>
        </w:rPr>
        <w:t>对英国</w:t>
      </w:r>
      <w:r>
        <w:rPr>
          <w:rFonts w:hint="eastAsia" w:ascii="宋体" w:hAnsi="宋体" w:eastAsia="宋体" w:cs="宋体"/>
          <w:caps w:val="0"/>
          <w:sz w:val="30"/>
          <w:szCs w:val="32"/>
          <w:lang w:val="en-US" w:eastAsia="zh-CN"/>
        </w:rPr>
        <w:t>等提出</w:t>
      </w:r>
      <w:r>
        <w:rPr>
          <w:rFonts w:hint="eastAsia" w:ascii="宋体" w:hAnsi="宋体" w:eastAsia="宋体" w:cs="宋体"/>
          <w:caps w:val="0"/>
          <w:sz w:val="30"/>
          <w:szCs w:val="32"/>
        </w:rPr>
        <w:t>将AI治理与工业战略结合</w:t>
      </w:r>
      <w:r>
        <w:rPr>
          <w:rFonts w:hint="eastAsia" w:ascii="宋体" w:hAnsi="宋体" w:eastAsia="宋体" w:cs="宋体"/>
          <w:caps w:val="0"/>
          <w:sz w:val="30"/>
          <w:szCs w:val="32"/>
          <w:lang w:eastAsia="zh-CN"/>
        </w:rPr>
        <w:t>、</w:t>
      </w:r>
      <w:r>
        <w:rPr>
          <w:rFonts w:hint="eastAsia" w:ascii="宋体" w:hAnsi="宋体" w:eastAsia="宋体" w:cs="宋体"/>
          <w:caps w:val="0"/>
          <w:sz w:val="30"/>
          <w:szCs w:val="32"/>
        </w:rPr>
        <w:t>优化跨境数据</w:t>
      </w:r>
      <w:r>
        <w:rPr>
          <w:rFonts w:hint="eastAsia" w:ascii="宋体" w:hAnsi="宋体" w:eastAsia="宋体" w:cs="宋体"/>
          <w:caps w:val="0"/>
          <w:sz w:val="30"/>
          <w:szCs w:val="32"/>
          <w:lang w:val="en-US" w:eastAsia="zh-CN"/>
        </w:rPr>
        <w:t>流通政策等建议，对欧盟提出欧盟委员会数字基础设施互联互通提案，对巴西政府等提出网络使用费免费提案，对印度提出印太经济框架下可信数字合作提案等。</w:t>
      </w:r>
      <w:r>
        <w:rPr>
          <w:rFonts w:hint="eastAsia" w:ascii="宋体" w:hAnsi="宋体" w:eastAsia="宋体" w:cs="宋体"/>
          <w:b/>
          <w:bCs/>
          <w:caps w:val="0"/>
          <w:sz w:val="30"/>
          <w:szCs w:val="32"/>
          <w:lang w:val="en-US" w:eastAsia="zh-CN"/>
        </w:rPr>
        <w:t>三是参与多边机制形成，维护美国利益</w:t>
      </w:r>
      <w:r>
        <w:rPr>
          <w:rFonts w:hint="eastAsia" w:ascii="宋体" w:hAnsi="宋体" w:eastAsia="宋体" w:cs="宋体"/>
          <w:caps w:val="0"/>
          <w:sz w:val="30"/>
          <w:szCs w:val="32"/>
          <w:lang w:val="en-US" w:eastAsia="zh-CN"/>
        </w:rPr>
        <w:t>，如通过INCITS等附属机构，参与国际标准化组织（ISO）活动，确保美国在AI标准制定中的话语权。如在6G领域，ITI主张行业主导标准制定，强调网络安全和能源效率，推动美国与盟友的技术协调。</w:t>
      </w:r>
    </w:p>
    <w:p>
      <w:pPr>
        <w:jc w:val="left"/>
        <w:rPr>
          <w:rFonts w:hint="eastAsia" w:ascii="宋体" w:hAnsi="宋体" w:eastAsia="宋体" w:cs="宋体"/>
          <w:caps w:val="0"/>
          <w:sz w:val="30"/>
          <w:szCs w:val="32"/>
          <w:lang w:val="en-US" w:eastAsia="zh-CN"/>
        </w:rPr>
      </w:pPr>
      <w:r>
        <w:rPr>
          <w:rFonts w:hint="eastAsia" w:ascii="宋体" w:hAnsi="宋体" w:eastAsia="宋体" w:cs="宋体"/>
          <w:caps w:val="0"/>
          <w:sz w:val="30"/>
          <w:szCs w:val="32"/>
        </w:rPr>
        <w:t xml:space="preserve">   </w:t>
      </w:r>
      <w:r>
        <w:rPr>
          <w:rFonts w:hint="eastAsia" w:ascii="宋体" w:hAnsi="宋体" w:eastAsia="宋体" w:cs="宋体"/>
          <w:caps w:val="0"/>
          <w:sz w:val="30"/>
          <w:szCs w:val="32"/>
          <w:lang w:val="en-US" w:eastAsia="zh-CN"/>
        </w:rPr>
        <w:t xml:space="preserve"> </w:t>
      </w:r>
    </w:p>
    <w:p>
      <w:pPr>
        <w:jc w:val="left"/>
        <w:rPr>
          <w:rFonts w:hint="default" w:ascii="黑体" w:hAnsi="黑体" w:eastAsia="黑体" w:cs="黑体"/>
          <w:b/>
          <w:bCs/>
          <w:caps w:val="0"/>
          <w:sz w:val="32"/>
          <w:szCs w:val="36"/>
          <w:lang w:val="en-US" w:eastAsia="zh-CN"/>
        </w:rPr>
      </w:pPr>
      <w:r>
        <w:rPr>
          <w:rFonts w:hint="eastAsia" w:ascii="黑体" w:hAnsi="黑体" w:eastAsia="黑体" w:cs="黑体"/>
          <w:b/>
          <w:bCs/>
          <w:caps w:val="0"/>
          <w:sz w:val="32"/>
          <w:szCs w:val="36"/>
          <w:lang w:val="en-US" w:eastAsia="zh-CN"/>
        </w:rPr>
        <w:t>二.《量子技术政策指南》发布的时代背景是美国三大方向的量子技术领域正迈向产业化</w:t>
      </w:r>
    </w:p>
    <w:p>
      <w:pPr>
        <w:rPr>
          <w:rFonts w:hint="eastAsia" w:ascii="宋体" w:hAnsi="宋体" w:eastAsia="宋体" w:cs="宋体"/>
          <w:b/>
          <w:bCs/>
          <w:caps w:val="0"/>
          <w:sz w:val="30"/>
          <w:szCs w:val="32"/>
          <w:lang w:val="en-US" w:eastAsia="zh-CN"/>
        </w:rPr>
      </w:pPr>
      <w:r>
        <w:rPr>
          <w:rFonts w:hint="eastAsia" w:ascii="宋体" w:hAnsi="宋体" w:eastAsia="宋体" w:cs="宋体"/>
          <w:b/>
          <w:bCs/>
          <w:caps w:val="0"/>
          <w:sz w:val="30"/>
          <w:szCs w:val="32"/>
          <w:lang w:val="en-US" w:eastAsia="zh-CN"/>
        </w:rPr>
        <w:t>1.目前美国正处于多个方向量子技术从实验室走向产业化的关键窗口期。</w:t>
      </w:r>
    </w:p>
    <w:p>
      <w:pPr>
        <w:pStyle w:val="4"/>
        <w:keepNext w:val="0"/>
        <w:keepLines w:val="0"/>
        <w:widowControl/>
        <w:suppressLineNumbers w:val="0"/>
        <w:spacing w:before="0" w:beforeAutospacing="0"/>
        <w:ind w:firstLine="600" w:firstLineChars="200"/>
        <w:jc w:val="left"/>
        <w:rPr>
          <w:rFonts w:hint="default" w:ascii="宋体" w:hAnsi="宋体" w:eastAsia="宋体" w:cs="宋体"/>
          <w:b w:val="0"/>
          <w:bCs w:val="0"/>
          <w:i w:val="0"/>
          <w:iCs w:val="0"/>
          <w:caps w:val="0"/>
          <w:color w:val="373A3C"/>
          <w:spacing w:val="0"/>
          <w:sz w:val="30"/>
          <w:szCs w:val="24"/>
          <w:shd w:val="clear" w:fill="FFFFFF"/>
          <w:lang w:val="en-US" w:eastAsia="zh-CN"/>
        </w:rPr>
      </w:pPr>
      <w:r>
        <w:rPr>
          <w:rFonts w:hint="eastAsia" w:ascii="宋体" w:hAnsi="宋体" w:eastAsia="宋体" w:cs="宋体"/>
          <w:caps w:val="0"/>
          <w:sz w:val="30"/>
          <w:szCs w:val="32"/>
        </w:rPr>
        <w:t>美国自2018年通过《国家量子倡议法案》</w:t>
      </w:r>
      <w:r>
        <w:rPr>
          <w:rFonts w:hint="eastAsia" w:ascii="宋体" w:hAnsi="宋体" w:eastAsia="宋体" w:cs="宋体"/>
          <w:caps w:val="0"/>
          <w:sz w:val="30"/>
          <w:szCs w:val="32"/>
          <w:lang w:val="en-US" w:eastAsia="zh-CN"/>
        </w:rPr>
        <w:t>(</w:t>
      </w:r>
      <w:r>
        <w:rPr>
          <w:rFonts w:hint="eastAsia" w:ascii="宋体" w:hAnsi="宋体" w:eastAsia="宋体" w:cs="宋体"/>
          <w:caps w:val="0"/>
          <w:sz w:val="30"/>
          <w:szCs w:val="32"/>
        </w:rPr>
        <w:t>NQIA</w:t>
      </w:r>
      <w:r>
        <w:rPr>
          <w:rFonts w:hint="eastAsia" w:ascii="宋体" w:hAnsi="宋体" w:eastAsia="宋体" w:cs="宋体"/>
          <w:caps w:val="0"/>
          <w:sz w:val="30"/>
          <w:szCs w:val="32"/>
          <w:lang w:val="en-US" w:eastAsia="zh-CN"/>
        </w:rPr>
        <w:t>)</w:t>
      </w:r>
      <w:r>
        <w:rPr>
          <w:rFonts w:hint="eastAsia" w:ascii="宋体" w:hAnsi="宋体" w:eastAsia="宋体" w:cs="宋体"/>
          <w:caps w:val="0"/>
          <w:sz w:val="30"/>
          <w:szCs w:val="32"/>
        </w:rPr>
        <w:t>后，</w:t>
      </w:r>
      <w:r>
        <w:rPr>
          <w:rFonts w:hint="eastAsia" w:ascii="宋体" w:hAnsi="宋体" w:eastAsia="宋体" w:cs="宋体"/>
          <w:caps w:val="0"/>
          <w:sz w:val="30"/>
          <w:szCs w:val="32"/>
          <w:lang w:val="en-US" w:eastAsia="zh-CN"/>
        </w:rPr>
        <w:t>在美国</w:t>
      </w:r>
      <w:r>
        <w:rPr>
          <w:rFonts w:hint="eastAsia" w:ascii="宋体" w:hAnsi="宋体" w:eastAsia="宋体" w:cs="宋体"/>
          <w:caps w:val="0"/>
          <w:sz w:val="30"/>
          <w:szCs w:val="32"/>
        </w:rPr>
        <w:t>政府统筹、</w:t>
      </w:r>
      <w:r>
        <w:rPr>
          <w:rFonts w:hint="eastAsia" w:ascii="宋体" w:hAnsi="宋体" w:eastAsia="宋体" w:cs="宋体"/>
          <w:caps w:val="0"/>
          <w:sz w:val="30"/>
          <w:szCs w:val="32"/>
          <w:lang w:val="en-US" w:eastAsia="zh-CN"/>
        </w:rPr>
        <w:t>产学研各类机构</w:t>
      </w:r>
      <w:r>
        <w:rPr>
          <w:rFonts w:hint="eastAsia" w:ascii="宋体" w:hAnsi="宋体" w:eastAsia="宋体" w:cs="宋体"/>
          <w:caps w:val="0"/>
          <w:sz w:val="30"/>
          <w:szCs w:val="32"/>
        </w:rPr>
        <w:t>协同</w:t>
      </w:r>
      <w:r>
        <w:rPr>
          <w:rFonts w:hint="eastAsia" w:ascii="宋体" w:hAnsi="宋体" w:eastAsia="宋体" w:cs="宋体"/>
          <w:caps w:val="0"/>
          <w:sz w:val="30"/>
          <w:szCs w:val="32"/>
          <w:lang w:val="en-US" w:eastAsia="zh-CN"/>
        </w:rPr>
        <w:t>推进下</w:t>
      </w:r>
      <w:r>
        <w:rPr>
          <w:rFonts w:hint="eastAsia" w:ascii="宋体" w:hAnsi="宋体" w:eastAsia="宋体" w:cs="宋体"/>
          <w:caps w:val="0"/>
          <w:sz w:val="30"/>
          <w:szCs w:val="32"/>
          <w:lang w:eastAsia="zh-CN"/>
        </w:rPr>
        <w:t>，</w:t>
      </w:r>
      <w:r>
        <w:rPr>
          <w:rFonts w:hint="eastAsia" w:ascii="宋体" w:hAnsi="宋体" w:eastAsia="宋体" w:cs="宋体"/>
          <w:caps w:val="0"/>
          <w:sz w:val="30"/>
          <w:szCs w:val="32"/>
          <w:lang w:val="en-US" w:eastAsia="zh-CN"/>
        </w:rPr>
        <w:t>部分量子技术已经具备产业化条件或已经开始产业化。</w:t>
      </w:r>
      <w:r>
        <w:rPr>
          <w:rFonts w:hint="eastAsia" w:ascii="宋体" w:hAnsi="宋体" w:eastAsia="宋体" w:cs="宋体"/>
          <w:b/>
          <w:bCs/>
          <w:caps w:val="0"/>
          <w:sz w:val="30"/>
          <w:szCs w:val="32"/>
          <w:lang w:val="en-US" w:eastAsia="zh-CN"/>
        </w:rPr>
        <w:t>一是量子混合计算系统以及在医药、材料学和复杂政务等领域的应用。</w:t>
      </w:r>
      <w:r>
        <w:rPr>
          <w:rFonts w:hint="eastAsia" w:ascii="宋体" w:hAnsi="宋体" w:eastAsia="宋体" w:cs="宋体"/>
          <w:b w:val="0"/>
          <w:bCs w:val="0"/>
          <w:caps w:val="0"/>
          <w:sz w:val="30"/>
          <w:szCs w:val="32"/>
          <w:lang w:val="en-US" w:eastAsia="zh-CN"/>
        </w:rPr>
        <w:t>近期研究表明，量子计算与人工智能、高性能计算（HPC）在分析催化反应方面具有高度协同潜力，借助于大规模的密度泛函计算(DFT)，特别适合于</w:t>
      </w:r>
      <w:r>
        <w:rPr>
          <w:rFonts w:hint="eastAsia" w:ascii="宋体" w:hAnsi="宋体" w:eastAsia="宋体" w:cs="宋体"/>
          <w:b w:val="0"/>
          <w:bCs w:val="0"/>
          <w:i w:val="0"/>
          <w:iCs w:val="0"/>
          <w:caps w:val="0"/>
          <w:color w:val="373A3C"/>
          <w:spacing w:val="0"/>
          <w:sz w:val="30"/>
          <w:szCs w:val="24"/>
          <w:shd w:val="clear" w:fill="FFFFFF"/>
        </w:rPr>
        <w:t>量子-经典混合工作流程</w:t>
      </w:r>
      <w:r>
        <w:rPr>
          <w:rFonts w:hint="eastAsia" w:ascii="宋体" w:hAnsi="宋体" w:eastAsia="宋体" w:cs="宋体"/>
          <w:b w:val="0"/>
          <w:bCs w:val="0"/>
          <w:i w:val="0"/>
          <w:iCs w:val="0"/>
          <w:caps w:val="0"/>
          <w:color w:val="373A3C"/>
          <w:spacing w:val="0"/>
          <w:sz w:val="30"/>
          <w:szCs w:val="24"/>
          <w:shd w:val="clear" w:fill="FFFFFF"/>
          <w:lang w:val="en-US" w:eastAsia="zh-CN"/>
        </w:rPr>
        <w:t>和复杂</w:t>
      </w:r>
      <w:r>
        <w:rPr>
          <w:rFonts w:hint="eastAsia" w:ascii="宋体" w:hAnsi="宋体" w:eastAsia="宋体" w:cs="宋体"/>
          <w:b w:val="0"/>
          <w:bCs w:val="0"/>
          <w:i w:val="0"/>
          <w:iCs w:val="0"/>
          <w:caps w:val="0"/>
          <w:color w:val="373A3C"/>
          <w:spacing w:val="0"/>
          <w:sz w:val="30"/>
          <w:szCs w:val="24"/>
          <w:shd w:val="clear" w:fill="FFFFFF"/>
        </w:rPr>
        <w:t>映射</w:t>
      </w:r>
      <w:r>
        <w:rPr>
          <w:rFonts w:hint="eastAsia" w:ascii="宋体" w:hAnsi="宋体" w:eastAsia="宋体" w:cs="宋体"/>
          <w:b w:val="0"/>
          <w:bCs w:val="0"/>
          <w:i w:val="0"/>
          <w:iCs w:val="0"/>
          <w:caps w:val="0"/>
          <w:color w:val="373A3C"/>
          <w:spacing w:val="0"/>
          <w:sz w:val="30"/>
          <w:szCs w:val="24"/>
          <w:shd w:val="clear" w:fill="FFFFFF"/>
          <w:lang w:val="en-US" w:eastAsia="zh-CN"/>
        </w:rPr>
        <w:t>环境。2025年2月，通用动力信息技术 （GDIT） 和量子计算设备制造商 IonQ 宣布合作，旨在提高联邦政府机构的量子计算能力。</w:t>
      </w:r>
      <w:r>
        <w:rPr>
          <w:rFonts w:hint="eastAsia" w:ascii="宋体" w:hAnsi="宋体" w:eastAsia="宋体" w:cs="宋体"/>
          <w:b/>
          <w:bCs/>
          <w:i w:val="0"/>
          <w:iCs w:val="0"/>
          <w:caps w:val="0"/>
          <w:color w:val="373A3C"/>
          <w:spacing w:val="0"/>
          <w:sz w:val="30"/>
          <w:szCs w:val="24"/>
          <w:shd w:val="clear" w:fill="FFFFFF"/>
          <w:lang w:val="en-US" w:eastAsia="zh-CN"/>
        </w:rPr>
        <w:t>与此同时，量子芯片技术取得关键突破，使得量子计算机有望数年内实现量产</w:t>
      </w:r>
      <w:r>
        <w:rPr>
          <w:rFonts w:hint="eastAsia" w:ascii="宋体" w:hAnsi="宋体" w:eastAsia="宋体" w:cs="宋体"/>
          <w:b w:val="0"/>
          <w:bCs w:val="0"/>
          <w:i w:val="0"/>
          <w:iCs w:val="0"/>
          <w:caps w:val="0"/>
          <w:color w:val="373A3C"/>
          <w:spacing w:val="0"/>
          <w:sz w:val="30"/>
          <w:szCs w:val="24"/>
          <w:shd w:val="clear" w:fill="FFFFFF"/>
          <w:lang w:val="en-US" w:eastAsia="zh-CN"/>
        </w:rPr>
        <w:t>。2025年2月下旬，微软公司与国防高级研究计划局（DARPA）合作推出全球首款基于拓扑导体的量子芯片“Majorana 1”，未来可扩充到单个芯片放置100 万个量子比特，大幅缩短公用事业量子计算投产时限。</w:t>
      </w:r>
      <w:r>
        <w:rPr>
          <w:rFonts w:hint="eastAsia" w:ascii="宋体" w:hAnsi="宋体" w:eastAsia="宋体" w:cs="宋体"/>
          <w:b/>
          <w:bCs/>
          <w:i w:val="0"/>
          <w:iCs w:val="0"/>
          <w:caps w:val="0"/>
          <w:color w:val="373A3C"/>
          <w:spacing w:val="0"/>
          <w:sz w:val="30"/>
          <w:szCs w:val="24"/>
          <w:shd w:val="clear" w:fill="FFFFFF"/>
          <w:lang w:val="en-US" w:eastAsia="zh-CN"/>
        </w:rPr>
        <w:t>二是</w:t>
      </w:r>
      <w:r>
        <w:rPr>
          <w:rFonts w:hint="eastAsia" w:ascii="宋体" w:hAnsi="宋体" w:eastAsia="宋体" w:cs="宋体"/>
          <w:b/>
          <w:bCs/>
          <w:i w:val="0"/>
          <w:iCs w:val="0"/>
          <w:caps w:val="0"/>
          <w:color w:val="373A3C"/>
          <w:spacing w:val="0"/>
          <w:sz w:val="30"/>
          <w:szCs w:val="24"/>
          <w:shd w:val="clear" w:fill="FFFFFF"/>
        </w:rPr>
        <w:t>量子传感器的精确测量</w:t>
      </w:r>
      <w:r>
        <w:rPr>
          <w:rFonts w:hint="eastAsia" w:ascii="宋体" w:hAnsi="宋体" w:eastAsia="宋体" w:cs="宋体"/>
          <w:b/>
          <w:bCs/>
          <w:i w:val="0"/>
          <w:iCs w:val="0"/>
          <w:caps w:val="0"/>
          <w:color w:val="373A3C"/>
          <w:spacing w:val="0"/>
          <w:sz w:val="30"/>
          <w:szCs w:val="24"/>
          <w:shd w:val="clear" w:fill="FFFFFF"/>
          <w:lang w:val="en-US" w:eastAsia="zh-CN"/>
        </w:rPr>
        <w:t>能力已经达到</w:t>
      </w:r>
      <w:r>
        <w:rPr>
          <w:rFonts w:hint="eastAsia" w:ascii="宋体" w:hAnsi="宋体" w:eastAsia="宋体" w:cs="宋体"/>
          <w:b/>
          <w:bCs/>
          <w:i w:val="0"/>
          <w:iCs w:val="0"/>
          <w:caps w:val="0"/>
          <w:color w:val="373A3C"/>
          <w:spacing w:val="0"/>
          <w:sz w:val="30"/>
          <w:szCs w:val="24"/>
          <w:shd w:val="clear" w:fill="FFFFFF"/>
        </w:rPr>
        <w:t>医学、国防</w:t>
      </w:r>
      <w:r>
        <w:rPr>
          <w:rFonts w:hint="eastAsia" w:ascii="宋体" w:hAnsi="宋体" w:eastAsia="宋体" w:cs="宋体"/>
          <w:b/>
          <w:bCs/>
          <w:i w:val="0"/>
          <w:iCs w:val="0"/>
          <w:caps w:val="0"/>
          <w:color w:val="373A3C"/>
          <w:spacing w:val="0"/>
          <w:sz w:val="30"/>
          <w:szCs w:val="24"/>
          <w:shd w:val="clear" w:fill="FFFFFF"/>
          <w:lang w:val="en-US" w:eastAsia="zh-CN"/>
        </w:rPr>
        <w:t>等领域需求</w:t>
      </w:r>
      <w:r>
        <w:rPr>
          <w:rFonts w:hint="eastAsia" w:ascii="宋体" w:hAnsi="宋体" w:eastAsia="宋体" w:cs="宋体"/>
          <w:i w:val="0"/>
          <w:iCs w:val="0"/>
          <w:caps w:val="0"/>
          <w:color w:val="373A3C"/>
          <w:spacing w:val="0"/>
          <w:sz w:val="30"/>
          <w:szCs w:val="24"/>
          <w:shd w:val="clear" w:fill="FFFFFF"/>
        </w:rPr>
        <w:t>。根据</w:t>
      </w:r>
      <w:r>
        <w:rPr>
          <w:rFonts w:hint="eastAsia" w:ascii="宋体" w:hAnsi="宋体" w:eastAsia="宋体" w:cs="宋体"/>
          <w:i w:val="0"/>
          <w:iCs w:val="0"/>
          <w:caps w:val="0"/>
          <w:color w:val="373A3C"/>
          <w:spacing w:val="0"/>
          <w:sz w:val="30"/>
          <w:szCs w:val="24"/>
          <w:shd w:val="clear" w:fill="FFFFFF"/>
          <w:lang w:val="en-US" w:eastAsia="zh-CN"/>
        </w:rPr>
        <w:t>2025年</w:t>
      </w:r>
      <w:r>
        <w:rPr>
          <w:rFonts w:hint="eastAsia" w:ascii="宋体" w:hAnsi="宋体" w:eastAsia="宋体" w:cs="宋体"/>
          <w:i w:val="0"/>
          <w:iCs w:val="0"/>
          <w:caps w:val="0"/>
          <w:color w:val="373A3C"/>
          <w:spacing w:val="0"/>
          <w:sz w:val="30"/>
          <w:szCs w:val="24"/>
          <w:shd w:val="clear" w:fill="FFFFFF"/>
        </w:rPr>
        <w:t>1</w:t>
      </w:r>
      <w:r>
        <w:rPr>
          <w:rFonts w:hint="eastAsia" w:ascii="宋体" w:hAnsi="宋体" w:eastAsia="宋体" w:cs="宋体"/>
          <w:i w:val="0"/>
          <w:iCs w:val="0"/>
          <w:caps w:val="0"/>
          <w:color w:val="373A3C"/>
          <w:spacing w:val="0"/>
          <w:sz w:val="30"/>
          <w:szCs w:val="24"/>
          <w:shd w:val="clear" w:fill="FFFFFF"/>
          <w:lang w:val="en-US" w:eastAsia="zh-CN"/>
        </w:rPr>
        <w:t>月美国政府责任署（</w:t>
      </w:r>
      <w:r>
        <w:rPr>
          <w:rFonts w:hint="eastAsia" w:ascii="宋体" w:hAnsi="宋体" w:eastAsia="宋体" w:cs="宋体"/>
          <w:i w:val="0"/>
          <w:iCs w:val="0"/>
          <w:caps w:val="0"/>
          <w:color w:val="373A3C"/>
          <w:spacing w:val="0"/>
          <w:sz w:val="30"/>
          <w:szCs w:val="24"/>
          <w:shd w:val="clear" w:fill="FFFFFF"/>
        </w:rPr>
        <w:t>GAO</w:t>
      </w:r>
      <w:r>
        <w:rPr>
          <w:rFonts w:hint="eastAsia" w:ascii="宋体" w:hAnsi="宋体" w:eastAsia="宋体" w:cs="宋体"/>
          <w:i w:val="0"/>
          <w:iCs w:val="0"/>
          <w:caps w:val="0"/>
          <w:color w:val="373A3C"/>
          <w:spacing w:val="0"/>
          <w:sz w:val="30"/>
          <w:szCs w:val="24"/>
          <w:shd w:val="clear" w:fill="FFFFFF"/>
          <w:lang w:eastAsia="zh-CN"/>
        </w:rPr>
        <w:t>）</w:t>
      </w:r>
      <w:r>
        <w:rPr>
          <w:rFonts w:hint="eastAsia" w:ascii="宋体" w:hAnsi="宋体" w:eastAsia="宋体" w:cs="宋体"/>
          <w:i w:val="0"/>
          <w:iCs w:val="0"/>
          <w:caps w:val="0"/>
          <w:color w:val="373A3C"/>
          <w:spacing w:val="0"/>
          <w:sz w:val="30"/>
          <w:szCs w:val="24"/>
          <w:shd w:val="clear" w:fill="FFFFFF"/>
        </w:rPr>
        <w:t>报告，量子传感器是目前最</w:t>
      </w:r>
      <w:r>
        <w:rPr>
          <w:rFonts w:hint="eastAsia" w:ascii="宋体" w:hAnsi="宋体" w:eastAsia="宋体" w:cs="宋体"/>
          <w:i w:val="0"/>
          <w:iCs w:val="0"/>
          <w:caps w:val="0"/>
          <w:color w:val="373A3C"/>
          <w:spacing w:val="0"/>
          <w:sz w:val="30"/>
          <w:szCs w:val="24"/>
          <w:shd w:val="clear" w:fill="FFFFFF"/>
          <w:lang w:val="en-US" w:eastAsia="zh-CN"/>
        </w:rPr>
        <w:t>为</w:t>
      </w:r>
      <w:r>
        <w:rPr>
          <w:rFonts w:hint="eastAsia" w:ascii="宋体" w:hAnsi="宋体" w:eastAsia="宋体" w:cs="宋体"/>
          <w:i w:val="0"/>
          <w:iCs w:val="0"/>
          <w:caps w:val="0"/>
          <w:color w:val="373A3C"/>
          <w:spacing w:val="0"/>
          <w:sz w:val="30"/>
          <w:szCs w:val="24"/>
          <w:shd w:val="clear" w:fill="FFFFFF"/>
        </w:rPr>
        <w:t>成熟的量子技术形式</w:t>
      </w:r>
      <w:r>
        <w:rPr>
          <w:rFonts w:hint="eastAsia" w:ascii="宋体" w:hAnsi="宋体" w:eastAsia="宋体" w:cs="宋体"/>
          <w:i w:val="0"/>
          <w:iCs w:val="0"/>
          <w:caps w:val="0"/>
          <w:color w:val="373A3C"/>
          <w:spacing w:val="0"/>
          <w:sz w:val="30"/>
          <w:szCs w:val="24"/>
          <w:shd w:val="clear" w:fill="FFFFFF"/>
          <w:lang w:eastAsia="zh-CN"/>
        </w:rPr>
        <w:t>，</w:t>
      </w:r>
      <w:r>
        <w:rPr>
          <w:rFonts w:hint="eastAsia" w:ascii="宋体" w:hAnsi="宋体" w:eastAsia="宋体" w:cs="宋体"/>
          <w:i w:val="0"/>
          <w:iCs w:val="0"/>
          <w:caps w:val="0"/>
          <w:color w:val="373A3C"/>
          <w:spacing w:val="0"/>
          <w:sz w:val="30"/>
          <w:szCs w:val="24"/>
          <w:shd w:val="clear" w:fill="FFFFFF"/>
        </w:rPr>
        <w:t>可</w:t>
      </w:r>
      <w:r>
        <w:rPr>
          <w:rFonts w:hint="eastAsia" w:ascii="宋体" w:hAnsi="宋体" w:eastAsia="宋体" w:cs="宋体"/>
          <w:i w:val="0"/>
          <w:iCs w:val="0"/>
          <w:caps w:val="0"/>
          <w:color w:val="373A3C"/>
          <w:spacing w:val="0"/>
          <w:sz w:val="30"/>
          <w:szCs w:val="24"/>
          <w:shd w:val="clear" w:fill="FFFFFF"/>
          <w:lang w:val="en-US" w:eastAsia="zh-CN"/>
        </w:rPr>
        <w:t>用来</w:t>
      </w:r>
      <w:r>
        <w:rPr>
          <w:rFonts w:hint="eastAsia" w:ascii="宋体" w:hAnsi="宋体" w:eastAsia="宋体" w:cs="宋体"/>
          <w:i w:val="0"/>
          <w:iCs w:val="0"/>
          <w:caps w:val="0"/>
          <w:color w:val="373A3C"/>
          <w:spacing w:val="0"/>
          <w:sz w:val="30"/>
          <w:szCs w:val="24"/>
          <w:shd w:val="clear" w:fill="FFFFFF"/>
        </w:rPr>
        <w:t>测量</w:t>
      </w:r>
      <w:r>
        <w:rPr>
          <w:rFonts w:hint="eastAsia" w:ascii="宋体" w:hAnsi="宋体" w:eastAsia="宋体" w:cs="宋体"/>
          <w:i w:val="0"/>
          <w:iCs w:val="0"/>
          <w:caps w:val="0"/>
          <w:color w:val="373A3C"/>
          <w:spacing w:val="0"/>
          <w:sz w:val="30"/>
          <w:szCs w:val="24"/>
          <w:shd w:val="clear" w:fill="FFFFFF"/>
          <w:lang w:val="en-US" w:eastAsia="zh-CN"/>
        </w:rPr>
        <w:t>时空</w:t>
      </w:r>
      <w:r>
        <w:rPr>
          <w:rFonts w:hint="eastAsia" w:ascii="宋体" w:hAnsi="宋体" w:eastAsia="宋体" w:cs="宋体"/>
          <w:i w:val="0"/>
          <w:iCs w:val="0"/>
          <w:caps w:val="0"/>
          <w:color w:val="373A3C"/>
          <w:spacing w:val="0"/>
          <w:sz w:val="30"/>
          <w:szCs w:val="24"/>
          <w:shd w:val="clear" w:fill="FFFFFF"/>
        </w:rPr>
        <w:t>、重力</w:t>
      </w:r>
      <w:r>
        <w:rPr>
          <w:rFonts w:hint="eastAsia" w:ascii="宋体" w:hAnsi="宋体" w:eastAsia="宋体" w:cs="宋体"/>
          <w:i w:val="0"/>
          <w:iCs w:val="0"/>
          <w:caps w:val="0"/>
          <w:color w:val="373A3C"/>
          <w:spacing w:val="0"/>
          <w:sz w:val="30"/>
          <w:szCs w:val="24"/>
          <w:shd w:val="clear" w:fill="FFFFFF"/>
          <w:lang w:val="en-US" w:eastAsia="zh-CN"/>
        </w:rPr>
        <w:t>和</w:t>
      </w:r>
      <w:r>
        <w:rPr>
          <w:rFonts w:hint="eastAsia" w:ascii="宋体" w:hAnsi="宋体" w:eastAsia="宋体" w:cs="宋体"/>
          <w:i w:val="0"/>
          <w:iCs w:val="0"/>
          <w:caps w:val="0"/>
          <w:color w:val="373A3C"/>
          <w:spacing w:val="0"/>
          <w:sz w:val="30"/>
          <w:szCs w:val="24"/>
          <w:shd w:val="clear" w:fill="FFFFFF"/>
        </w:rPr>
        <w:t>电磁场</w:t>
      </w:r>
      <w:r>
        <w:rPr>
          <w:rFonts w:hint="eastAsia" w:ascii="宋体" w:hAnsi="宋体" w:eastAsia="宋体" w:cs="宋体"/>
          <w:i w:val="0"/>
          <w:iCs w:val="0"/>
          <w:caps w:val="0"/>
          <w:color w:val="373A3C"/>
          <w:spacing w:val="0"/>
          <w:sz w:val="30"/>
          <w:szCs w:val="24"/>
          <w:shd w:val="clear" w:fill="FFFFFF"/>
          <w:lang w:eastAsia="zh-CN"/>
        </w:rPr>
        <w:t>，</w:t>
      </w:r>
      <w:r>
        <w:rPr>
          <w:rFonts w:hint="eastAsia" w:ascii="宋体" w:hAnsi="宋体" w:eastAsia="宋体" w:cs="宋体"/>
          <w:i w:val="0"/>
          <w:iCs w:val="0"/>
          <w:caps w:val="0"/>
          <w:color w:val="373A3C"/>
          <w:spacing w:val="0"/>
          <w:sz w:val="30"/>
          <w:szCs w:val="24"/>
          <w:shd w:val="clear" w:fill="FFFFFF"/>
          <w:lang w:val="en-US" w:eastAsia="zh-CN"/>
        </w:rPr>
        <w:t>典型</w:t>
      </w:r>
      <w:r>
        <w:rPr>
          <w:rFonts w:hint="eastAsia" w:ascii="宋体" w:hAnsi="宋体" w:eastAsia="宋体" w:cs="宋体"/>
          <w:i w:val="0"/>
          <w:iCs w:val="0"/>
          <w:caps w:val="0"/>
          <w:color w:val="373A3C"/>
          <w:spacing w:val="0"/>
          <w:sz w:val="30"/>
          <w:szCs w:val="24"/>
          <w:shd w:val="clear" w:fill="FFFFFF"/>
        </w:rPr>
        <w:t>商业化用途</w:t>
      </w:r>
      <w:r>
        <w:rPr>
          <w:rFonts w:hint="eastAsia" w:ascii="宋体" w:hAnsi="宋体" w:eastAsia="宋体" w:cs="宋体"/>
          <w:i w:val="0"/>
          <w:iCs w:val="0"/>
          <w:caps w:val="0"/>
          <w:color w:val="373A3C"/>
          <w:spacing w:val="0"/>
          <w:sz w:val="30"/>
          <w:szCs w:val="24"/>
          <w:shd w:val="clear" w:fill="FFFFFF"/>
          <w:lang w:val="en-US" w:eastAsia="zh-CN"/>
        </w:rPr>
        <w:t>如</w:t>
      </w:r>
      <w:r>
        <w:rPr>
          <w:rFonts w:hint="eastAsia" w:ascii="宋体" w:hAnsi="宋体" w:eastAsia="宋体" w:cs="宋体"/>
          <w:i w:val="0"/>
          <w:iCs w:val="0"/>
          <w:caps w:val="0"/>
          <w:color w:val="373A3C"/>
          <w:spacing w:val="0"/>
          <w:sz w:val="30"/>
          <w:szCs w:val="24"/>
          <w:shd w:val="clear" w:fill="FFFFFF"/>
        </w:rPr>
        <w:t>磁共振成像</w:t>
      </w:r>
      <w:r>
        <w:rPr>
          <w:rFonts w:hint="eastAsia" w:ascii="宋体" w:hAnsi="宋体" w:eastAsia="宋体" w:cs="宋体"/>
          <w:i w:val="0"/>
          <w:iCs w:val="0"/>
          <w:caps w:val="0"/>
          <w:color w:val="373A3C"/>
          <w:spacing w:val="0"/>
          <w:sz w:val="30"/>
          <w:szCs w:val="24"/>
          <w:shd w:val="clear" w:fill="FFFFFF"/>
          <w:lang w:val="en-US" w:eastAsia="zh-CN"/>
        </w:rPr>
        <w:t>(</w:t>
      </w:r>
      <w:r>
        <w:rPr>
          <w:rFonts w:hint="eastAsia" w:ascii="宋体" w:hAnsi="宋体" w:eastAsia="宋体" w:cs="宋体"/>
          <w:i w:val="0"/>
          <w:iCs w:val="0"/>
          <w:caps w:val="0"/>
          <w:color w:val="373A3C"/>
          <w:spacing w:val="0"/>
          <w:sz w:val="30"/>
          <w:szCs w:val="24"/>
          <w:shd w:val="clear" w:fill="FFFFFF"/>
        </w:rPr>
        <w:t>MRI</w:t>
      </w:r>
      <w:r>
        <w:rPr>
          <w:rFonts w:hint="eastAsia" w:ascii="宋体" w:hAnsi="宋体" w:eastAsia="宋体" w:cs="宋体"/>
          <w:i w:val="0"/>
          <w:iCs w:val="0"/>
          <w:caps w:val="0"/>
          <w:color w:val="373A3C"/>
          <w:spacing w:val="0"/>
          <w:sz w:val="30"/>
          <w:szCs w:val="24"/>
          <w:shd w:val="clear" w:fill="FFFFFF"/>
          <w:lang w:val="en-US" w:eastAsia="zh-CN"/>
        </w:rPr>
        <w:t>)</w:t>
      </w:r>
      <w:r>
        <w:rPr>
          <w:rFonts w:hint="eastAsia" w:ascii="宋体" w:hAnsi="宋体" w:eastAsia="宋体" w:cs="宋体"/>
          <w:i w:val="0"/>
          <w:iCs w:val="0"/>
          <w:caps w:val="0"/>
          <w:color w:val="373A3C"/>
          <w:spacing w:val="0"/>
          <w:sz w:val="30"/>
          <w:szCs w:val="24"/>
          <w:shd w:val="clear" w:fill="FFFFFF"/>
        </w:rPr>
        <w:t>。</w:t>
      </w:r>
      <w:r>
        <w:rPr>
          <w:rFonts w:hint="eastAsia" w:ascii="宋体" w:hAnsi="宋体" w:eastAsia="宋体" w:cs="宋体"/>
          <w:i w:val="0"/>
          <w:iCs w:val="0"/>
          <w:caps w:val="0"/>
          <w:color w:val="373A3C"/>
          <w:spacing w:val="0"/>
          <w:sz w:val="30"/>
          <w:szCs w:val="24"/>
          <w:shd w:val="clear" w:fill="FFFFFF"/>
          <w:lang w:val="en-US" w:eastAsia="zh-CN"/>
        </w:rPr>
        <w:t>目前</w:t>
      </w:r>
      <w:r>
        <w:rPr>
          <w:rFonts w:hint="eastAsia" w:ascii="宋体" w:hAnsi="宋体" w:eastAsia="宋体" w:cs="宋体"/>
          <w:i w:val="0"/>
          <w:iCs w:val="0"/>
          <w:caps w:val="0"/>
          <w:color w:val="373A3C"/>
          <w:spacing w:val="0"/>
          <w:sz w:val="30"/>
          <w:szCs w:val="24"/>
          <w:shd w:val="clear" w:fill="FFFFFF"/>
        </w:rPr>
        <w:t>美国能源部正在与国防部</w:t>
      </w:r>
      <w:r>
        <w:rPr>
          <w:rFonts w:hint="eastAsia" w:ascii="宋体" w:hAnsi="宋体" w:eastAsia="宋体" w:cs="宋体"/>
          <w:i w:val="0"/>
          <w:iCs w:val="0"/>
          <w:caps w:val="0"/>
          <w:color w:val="373A3C"/>
          <w:spacing w:val="0"/>
          <w:sz w:val="30"/>
          <w:szCs w:val="24"/>
          <w:shd w:val="clear" w:fill="FFFFFF"/>
          <w:lang w:eastAsia="zh-CN"/>
        </w:rPr>
        <w:t>、</w:t>
      </w:r>
      <w:r>
        <w:rPr>
          <w:rFonts w:hint="eastAsia" w:ascii="宋体" w:hAnsi="宋体" w:eastAsia="宋体" w:cs="宋体"/>
          <w:i w:val="0"/>
          <w:iCs w:val="0"/>
          <w:caps w:val="0"/>
          <w:color w:val="373A3C"/>
          <w:spacing w:val="0"/>
          <w:sz w:val="30"/>
          <w:szCs w:val="24"/>
          <w:shd w:val="clear" w:fill="FFFFFF"/>
        </w:rPr>
        <w:t>美国宇航局合作，开发可供多个机构使用的量子传感技术。</w:t>
      </w:r>
      <w:r>
        <w:rPr>
          <w:rFonts w:hint="eastAsia" w:ascii="宋体" w:hAnsi="宋体" w:eastAsia="宋体" w:cs="宋体"/>
          <w:b/>
          <w:bCs/>
          <w:i w:val="0"/>
          <w:iCs w:val="0"/>
          <w:caps w:val="0"/>
          <w:color w:val="373A3C"/>
          <w:spacing w:val="0"/>
          <w:sz w:val="30"/>
          <w:szCs w:val="24"/>
          <w:shd w:val="clear" w:fill="FFFFFF"/>
          <w:lang w:val="en-US" w:eastAsia="zh-CN"/>
        </w:rPr>
        <w:t>三是美国已经形成立体式后量子密码加密算法体系，将广泛应用于金融支付通讯和加密卫星通信。</w:t>
      </w:r>
      <w:r>
        <w:rPr>
          <w:rFonts w:hint="eastAsia" w:ascii="宋体" w:hAnsi="宋体" w:eastAsia="宋体" w:cs="宋体"/>
          <w:b w:val="0"/>
          <w:bCs w:val="0"/>
          <w:i w:val="0"/>
          <w:iCs w:val="0"/>
          <w:caps w:val="0"/>
          <w:color w:val="373A3C"/>
          <w:spacing w:val="0"/>
          <w:sz w:val="30"/>
          <w:szCs w:val="24"/>
          <w:shd w:val="clear" w:fill="FFFFFF"/>
          <w:lang w:val="en-US" w:eastAsia="zh-CN"/>
        </w:rPr>
        <w:t>美国国家标准与技术研究院（NIST）于2025年3月宣布将Hamming Quasi-Cyclic（HQC）算法列为后量子密码（PQC）标准化的后备型防御算法，这是自2016年12月启动PQC准化项目以来，经过对70多种算法进行长期评估与筛选，已经确定的既能抵御量子计算攻击又与现有通信协议兼容的第五种算法，预计2027年HQC标准将会落地。</w:t>
      </w:r>
    </w:p>
    <w:p>
      <w:pPr>
        <w:pStyle w:val="4"/>
        <w:keepNext w:val="0"/>
        <w:keepLines w:val="0"/>
        <w:widowControl/>
        <w:suppressLineNumbers w:val="0"/>
        <w:rPr>
          <w:rFonts w:hint="default" w:ascii="宋体" w:hAnsi="宋体" w:eastAsia="宋体" w:cs="宋体"/>
          <w:b/>
          <w:bCs/>
          <w:caps w:val="0"/>
          <w:sz w:val="30"/>
          <w:szCs w:val="32"/>
          <w:lang w:val="en-US" w:eastAsia="zh-CN"/>
        </w:rPr>
      </w:pPr>
      <w:r>
        <w:rPr>
          <w:rFonts w:hint="eastAsia" w:ascii="宋体" w:hAnsi="宋体" w:eastAsia="宋体" w:cs="宋体"/>
          <w:b/>
          <w:bCs/>
          <w:caps w:val="0"/>
          <w:sz w:val="30"/>
          <w:szCs w:val="32"/>
          <w:lang w:val="en-US" w:eastAsia="zh-CN"/>
        </w:rPr>
        <w:t>2.ITI在此时间节点发布指南，旨在建言美国政府全力解决产业化瓶颈问题。</w:t>
      </w:r>
    </w:p>
    <w:p>
      <w:pPr>
        <w:pStyle w:val="4"/>
        <w:keepNext w:val="0"/>
        <w:keepLines w:val="0"/>
        <w:widowControl/>
        <w:suppressLineNumbers w:val="0"/>
        <w:ind w:firstLine="602" w:firstLineChars="200"/>
        <w:rPr>
          <w:rFonts w:hint="eastAsia" w:ascii="宋体" w:hAnsi="宋体" w:eastAsia="宋体" w:cs="宋体"/>
          <w:b w:val="0"/>
          <w:bCs w:val="0"/>
          <w:caps w:val="0"/>
          <w:sz w:val="30"/>
          <w:szCs w:val="32"/>
          <w:lang w:val="en-US" w:eastAsia="zh-CN"/>
        </w:rPr>
      </w:pPr>
      <w:r>
        <w:rPr>
          <w:rFonts w:hint="eastAsia" w:ascii="宋体" w:hAnsi="宋体" w:eastAsia="宋体" w:cs="宋体"/>
          <w:b/>
          <w:bCs/>
          <w:caps w:val="0"/>
          <w:sz w:val="30"/>
          <w:szCs w:val="32"/>
          <w:lang w:val="en-US" w:eastAsia="zh-CN"/>
        </w:rPr>
        <w:t>ITI认为在量子技术领域，尤其是量子计算方面抢占先机，能够为各国和私营企业带来显著的战略优势</w:t>
      </w:r>
      <w:r>
        <w:rPr>
          <w:rFonts w:hint="eastAsia" w:ascii="宋体" w:hAnsi="宋体" w:eastAsia="宋体" w:cs="宋体"/>
          <w:b w:val="0"/>
          <w:bCs w:val="0"/>
          <w:caps w:val="0"/>
          <w:sz w:val="30"/>
          <w:szCs w:val="32"/>
          <w:lang w:val="en-US" w:eastAsia="zh-CN"/>
        </w:rPr>
        <w:t>。要取得这些战略上的进步必须克服多重挑战，比如高昂的研发成本、供应链难题、技术的不确定性以及培养熟练劳动力的挑战。指南全文着重于提出美国量子技术发展的六大政策基石，主要内容包括：</w:t>
      </w:r>
      <w:r>
        <w:rPr>
          <w:rFonts w:hint="eastAsia" w:ascii="宋体" w:hAnsi="宋体" w:eastAsia="宋体" w:cs="宋体"/>
          <w:b/>
          <w:bCs/>
          <w:caps w:val="0"/>
          <w:sz w:val="30"/>
          <w:szCs w:val="32"/>
          <w:lang w:val="en-US" w:eastAsia="zh-CN"/>
        </w:rPr>
        <w:t>一是多种手段释放创新与投资活力。</w:t>
      </w:r>
      <w:r>
        <w:rPr>
          <w:rFonts w:hint="eastAsia" w:ascii="宋体" w:hAnsi="宋体" w:eastAsia="宋体" w:cs="宋体"/>
          <w:b w:val="0"/>
          <w:bCs w:val="0"/>
          <w:caps w:val="0"/>
          <w:sz w:val="30"/>
          <w:szCs w:val="32"/>
          <w:lang w:val="en-US" w:eastAsia="zh-CN"/>
        </w:rPr>
        <w:t>包括四点，推动通过《国家量子计划重新授权法案》，通过公共资金长期资助高风险/高回报基础研究；通过税收优惠、联合研发计划（如美国的NQI法案）激励企业投资；推动量子计算与经典计算的混合应用，加速技术落地和商业化；加强量子出口管制政策协调，在技术保密与开放创新间寻求平衡，如量子传感领域的出口限制谈判。</w:t>
      </w:r>
      <w:r>
        <w:rPr>
          <w:rFonts w:hint="eastAsia" w:ascii="宋体" w:hAnsi="宋体" w:eastAsia="宋体" w:cs="宋体"/>
          <w:b/>
          <w:bCs/>
          <w:caps w:val="0"/>
          <w:sz w:val="30"/>
          <w:szCs w:val="32"/>
          <w:lang w:val="en-US" w:eastAsia="zh-CN"/>
        </w:rPr>
        <w:t>二是构建韧性供应链和技术人才储备。</w:t>
      </w:r>
      <w:r>
        <w:rPr>
          <w:rFonts w:hint="eastAsia" w:ascii="宋体" w:hAnsi="宋体" w:eastAsia="宋体" w:cs="宋体"/>
          <w:b w:val="0"/>
          <w:bCs w:val="0"/>
          <w:caps w:val="0"/>
          <w:sz w:val="30"/>
          <w:szCs w:val="32"/>
          <w:lang w:val="en-US" w:eastAsia="zh-CN"/>
        </w:rPr>
        <w:t>一方面增加供应链的自主可控和多元化供应，如减少对单一国家或企业的依赖（目前芬兰生产稀释制冷机、德国生产特种光纤），另一方面加强本土人才培养，满足量子技术生态系统所需的各类专业人才队伍需要。</w:t>
      </w:r>
      <w:r>
        <w:rPr>
          <w:rFonts w:hint="eastAsia" w:ascii="宋体" w:hAnsi="宋体" w:eastAsia="宋体" w:cs="宋体"/>
          <w:b/>
          <w:bCs/>
          <w:caps w:val="0"/>
          <w:sz w:val="30"/>
          <w:szCs w:val="32"/>
          <w:lang w:val="en-US" w:eastAsia="zh-CN"/>
        </w:rPr>
        <w:t>三是加快部署，应对网络安全挑战</w:t>
      </w:r>
      <w:r>
        <w:rPr>
          <w:rFonts w:hint="eastAsia" w:ascii="宋体" w:hAnsi="宋体" w:eastAsia="宋体" w:cs="宋体"/>
          <w:b w:val="0"/>
          <w:bCs w:val="0"/>
          <w:caps w:val="0"/>
          <w:sz w:val="30"/>
          <w:szCs w:val="32"/>
          <w:lang w:val="en-US" w:eastAsia="zh-CN"/>
        </w:rPr>
        <w:t>。一方面评估现有加密体系漏洞，推动标准化进程（如NIST的PQC项目），加快后量子密码（PQC）部署；另一方面，建立国家级测试平台，模拟量子攻击对金融、国防等关键领域的影响，积极应对量子威胁模拟。</w:t>
      </w:r>
      <w:r>
        <w:rPr>
          <w:rFonts w:hint="eastAsia" w:ascii="宋体" w:hAnsi="宋体" w:eastAsia="宋体" w:cs="宋体"/>
          <w:b/>
          <w:bCs/>
          <w:caps w:val="0"/>
          <w:sz w:val="30"/>
          <w:szCs w:val="32"/>
          <w:lang w:val="en-US" w:eastAsia="zh-CN"/>
        </w:rPr>
        <w:t>四是建立平衡治理机制。</w:t>
      </w:r>
      <w:r>
        <w:rPr>
          <w:rFonts w:hint="eastAsia" w:ascii="宋体" w:hAnsi="宋体" w:eastAsia="宋体" w:cs="宋体"/>
          <w:b w:val="0"/>
          <w:bCs w:val="0"/>
          <w:caps w:val="0"/>
          <w:sz w:val="30"/>
          <w:szCs w:val="32"/>
          <w:lang w:val="en-US" w:eastAsia="zh-CN"/>
        </w:rPr>
        <w:t>一方面建立风险适应性监管，根据具体使用背景制定差异化的管理规则，避免妨碍创新。另一方面，对现行的数据保护等法规进行评估和根据量子应用特征进行调整。</w:t>
      </w:r>
      <w:r>
        <w:rPr>
          <w:rFonts w:hint="eastAsia" w:ascii="宋体" w:hAnsi="宋体" w:eastAsia="宋体" w:cs="宋体"/>
          <w:b/>
          <w:bCs/>
          <w:caps w:val="0"/>
          <w:sz w:val="30"/>
          <w:szCs w:val="32"/>
          <w:lang w:val="en-US" w:eastAsia="zh-CN"/>
        </w:rPr>
        <w:t>五是加强国际合作，主导技术走向、避免技术碎片化</w:t>
      </w:r>
      <w:r>
        <w:rPr>
          <w:rFonts w:hint="eastAsia" w:ascii="宋体" w:hAnsi="宋体" w:eastAsia="宋体" w:cs="宋体"/>
          <w:b w:val="0"/>
          <w:bCs w:val="0"/>
          <w:caps w:val="0"/>
          <w:sz w:val="30"/>
          <w:szCs w:val="32"/>
          <w:lang w:val="en-US" w:eastAsia="zh-CN"/>
        </w:rPr>
        <w:t>。通过与行业标准组织（ISO/IEC量子技术工作组）开展国际标准协同，通过全球多边对话平台“量子发展小组”（Quantum Development Group）协调技术路线与供应链。</w:t>
      </w:r>
    </w:p>
    <w:p>
      <w:pPr>
        <w:pStyle w:val="2"/>
        <w:keepNext w:val="0"/>
        <w:keepLines w:val="0"/>
        <w:widowControl/>
        <w:suppressLineNumbers w:val="0"/>
        <w:rPr>
          <w:rFonts w:hint="default" w:eastAsia="宋体"/>
          <w:sz w:val="32"/>
          <w:szCs w:val="32"/>
          <w:lang w:val="en-US" w:eastAsia="zh-CN"/>
        </w:rPr>
      </w:pPr>
      <w:r>
        <w:rPr>
          <w:rFonts w:hint="eastAsia"/>
          <w:sz w:val="32"/>
          <w:szCs w:val="32"/>
          <w:lang w:val="en-US" w:eastAsia="zh-CN"/>
        </w:rPr>
        <w:t>三.目前中美量子领域三大产业化方向各有优势，产业化配套水平差异较大。</w:t>
      </w:r>
    </w:p>
    <w:p>
      <w:pPr>
        <w:pStyle w:val="2"/>
        <w:keepNext w:val="0"/>
        <w:keepLines w:val="0"/>
        <w:widowControl/>
        <w:suppressLineNumbers w:val="0"/>
        <w:jc w:val="left"/>
        <w:rPr>
          <w:rFonts w:hint="eastAsia"/>
          <w:b w:val="0"/>
          <w:bCs w:val="0"/>
          <w:sz w:val="30"/>
          <w:lang w:val="en-US" w:eastAsia="zh-CN"/>
        </w:rPr>
      </w:pPr>
      <w:r>
        <w:rPr>
          <w:rFonts w:hint="eastAsia"/>
          <w:lang w:val="en-US" w:eastAsia="zh-CN"/>
        </w:rPr>
        <w:t xml:space="preserve">     </w:t>
      </w:r>
      <w:r>
        <w:rPr>
          <w:rFonts w:hint="eastAsia"/>
          <w:b w:val="0"/>
          <w:bCs w:val="0"/>
          <w:sz w:val="30"/>
          <w:szCs w:val="28"/>
          <w:lang w:val="en-US" w:eastAsia="zh-CN"/>
        </w:rPr>
        <w:t>目前与美国相比，中国在量子通信、量子计算和量子传感三大产业方向各有优势领域，主要表现为：</w:t>
      </w:r>
      <w:r>
        <w:rPr>
          <w:rFonts w:hint="eastAsia"/>
          <w:b/>
          <w:bCs/>
          <w:sz w:val="30"/>
          <w:szCs w:val="28"/>
          <w:lang w:val="en-US" w:eastAsia="zh-CN"/>
        </w:rPr>
        <w:t>一是</w:t>
      </w:r>
      <w:r>
        <w:rPr>
          <w:rFonts w:hint="eastAsia"/>
          <w:b/>
          <w:bCs/>
          <w:sz w:val="30"/>
          <w:lang w:val="en-US" w:eastAsia="zh-CN"/>
        </w:rPr>
        <w:t>中国在量子通信工程化应用和网络规模上显著领先，美国实际部署进度滞后</w:t>
      </w:r>
      <w:r>
        <w:rPr>
          <w:rFonts w:hint="eastAsia"/>
          <w:b w:val="0"/>
          <w:bCs w:val="0"/>
          <w:sz w:val="30"/>
          <w:lang w:val="en-US" w:eastAsia="zh-CN"/>
        </w:rPr>
        <w:t>。中国一方面在量子基础设施与规模化部署保持全球领先，如拥有世界上最长的量子密钥分发网络“京沪干线”以及“墨子号”量子通信卫星等，在安全、长距离量子通信方面走在世界前沿，另一方面在量子密钥分发（QKD）、量子隐形传态以及量子隐形传态与经典通信共存技术等核心技术上实现领先，量子通信专利数量占到全球的49%。</w:t>
      </w:r>
      <w:r>
        <w:rPr>
          <w:rFonts w:hint="eastAsia"/>
          <w:b/>
          <w:bCs/>
          <w:sz w:val="30"/>
          <w:lang w:val="en-US" w:eastAsia="zh-CN"/>
        </w:rPr>
        <w:t>二是美国在超导量子计算硬件性能、算法专利和商业化方面更为领先，中国在光量子计算技术领域具有独特优势</w:t>
      </w:r>
      <w:r>
        <w:rPr>
          <w:rFonts w:hint="eastAsia"/>
          <w:b w:val="0"/>
          <w:bCs w:val="0"/>
          <w:sz w:val="30"/>
          <w:lang w:val="en-US" w:eastAsia="zh-CN"/>
        </w:rPr>
        <w:t>。在</w:t>
      </w:r>
      <w:r>
        <w:rPr>
          <w:rFonts w:hint="eastAsia"/>
          <w:b/>
          <w:bCs/>
          <w:sz w:val="30"/>
          <w:lang w:val="en-US" w:eastAsia="zh-CN"/>
        </w:rPr>
        <w:t>量子硬件</w:t>
      </w:r>
      <w:r>
        <w:rPr>
          <w:rFonts w:hint="eastAsia"/>
          <w:b w:val="0"/>
          <w:bCs w:val="0"/>
          <w:sz w:val="30"/>
          <w:lang w:val="en-US" w:eastAsia="zh-CN"/>
        </w:rPr>
        <w:t>方面，美国的硬件技术优势明显，超导量子计算专利全球占比56%，IBM、谷歌等公司推出了多款高性能量子计算芯片，如谷歌公司第一个低于阈值（在增加量子比特数量的同时降低错误率）的最新量子芯片Willow，在量子比特数量、芯片性能以及可扩展性方面取得显著进展。中国是全球唯一在光量子计算（“九章”）和超导量子计算（“祖冲之号”）两种技术路径并行发展的国家。在</w:t>
      </w:r>
      <w:r>
        <w:rPr>
          <w:rFonts w:hint="eastAsia"/>
          <w:b/>
          <w:bCs/>
          <w:sz w:val="30"/>
          <w:lang w:val="en-US" w:eastAsia="zh-CN"/>
        </w:rPr>
        <w:t>量子软件</w:t>
      </w:r>
      <w:r>
        <w:rPr>
          <w:rFonts w:hint="eastAsia"/>
          <w:b w:val="0"/>
          <w:bCs w:val="0"/>
          <w:sz w:val="30"/>
          <w:lang w:val="en-US" w:eastAsia="zh-CN"/>
        </w:rPr>
        <w:t>方面，美国科技公司和研究机构共同建立了相对完善的量子计算软件生态系统，如谷歌的TensorFlow Quantum等。中国在量子计算软件生态系统完善程度上有所不如。在</w:t>
      </w:r>
      <w:r>
        <w:rPr>
          <w:rFonts w:hint="eastAsia"/>
          <w:b/>
          <w:bCs/>
          <w:sz w:val="30"/>
          <w:lang w:val="en-US" w:eastAsia="zh-CN"/>
        </w:rPr>
        <w:t>商业化</w:t>
      </w:r>
      <w:r>
        <w:rPr>
          <w:rFonts w:hint="eastAsia"/>
          <w:b w:val="0"/>
          <w:bCs w:val="0"/>
          <w:sz w:val="30"/>
          <w:lang w:val="en-US" w:eastAsia="zh-CN"/>
        </w:rPr>
        <w:t>方面，美国企业积极推动金融、制药、材料科学等领域的商业化，并吸引了大量投资。中国在通信、金融、国防等领域也取得了一定应用成果，但在商业化深度上与美国存在差距。</w:t>
      </w:r>
      <w:r>
        <w:rPr>
          <w:rFonts w:hint="eastAsia"/>
          <w:b/>
          <w:bCs/>
          <w:sz w:val="30"/>
          <w:lang w:val="en-US" w:eastAsia="zh-CN"/>
        </w:rPr>
        <w:t>三是在量子传感领域中美两国实力相当，各有所长，竞争激烈。</w:t>
      </w:r>
      <w:r>
        <w:rPr>
          <w:rFonts w:hint="eastAsia"/>
          <w:b w:val="0"/>
          <w:bCs w:val="0"/>
          <w:sz w:val="30"/>
          <w:lang w:val="en-US" w:eastAsia="zh-CN"/>
        </w:rPr>
        <w:t>中国量子传感在</w:t>
      </w:r>
      <w:r>
        <w:rPr>
          <w:rFonts w:hint="eastAsia"/>
          <w:b/>
          <w:bCs/>
          <w:sz w:val="30"/>
          <w:lang w:val="en-US" w:eastAsia="zh-CN"/>
        </w:rPr>
        <w:t>空间精度</w:t>
      </w:r>
      <w:r>
        <w:rPr>
          <w:rFonts w:hint="eastAsia"/>
          <w:b w:val="0"/>
          <w:bCs w:val="0"/>
          <w:sz w:val="30"/>
          <w:lang w:val="en-US" w:eastAsia="zh-CN"/>
        </w:rPr>
        <w:t>领先水平更高，目前已在电力监测、芯片制造等领域使用的量子电流传感器和探测传感器已达到原子级别，而美国的量子重力仪和量子雷达技术的</w:t>
      </w:r>
      <w:r>
        <w:rPr>
          <w:rFonts w:hint="eastAsia"/>
          <w:b/>
          <w:bCs/>
          <w:sz w:val="30"/>
          <w:lang w:val="en-US" w:eastAsia="zh-CN"/>
        </w:rPr>
        <w:t>时间精度</w:t>
      </w:r>
      <w:r>
        <w:rPr>
          <w:rFonts w:hint="eastAsia"/>
          <w:b w:val="0"/>
          <w:bCs w:val="0"/>
          <w:sz w:val="30"/>
          <w:lang w:val="en-US" w:eastAsia="zh-CN"/>
        </w:rPr>
        <w:t>更高，达到10⁻¹⁹秒水平。</w:t>
      </w:r>
    </w:p>
    <w:p>
      <w:pPr>
        <w:pStyle w:val="2"/>
        <w:keepNext w:val="0"/>
        <w:keepLines w:val="0"/>
        <w:widowControl/>
        <w:suppressLineNumbers w:val="0"/>
        <w:jc w:val="left"/>
        <w:rPr>
          <w:rFonts w:hint="eastAsia" w:ascii="黑体" w:hAnsi="黑体" w:eastAsia="黑体" w:cs="黑体"/>
          <w:b w:val="0"/>
          <w:bCs w:val="0"/>
          <w:sz w:val="32"/>
          <w:szCs w:val="28"/>
          <w:lang w:val="en-US" w:eastAsia="zh-CN"/>
        </w:rPr>
      </w:pPr>
      <w:r>
        <w:rPr>
          <w:rFonts w:hint="eastAsia" w:ascii="黑体" w:hAnsi="黑体" w:eastAsia="黑体" w:cs="黑体"/>
          <w:b w:val="0"/>
          <w:bCs w:val="0"/>
          <w:sz w:val="32"/>
          <w:szCs w:val="28"/>
          <w:lang w:val="en-US" w:eastAsia="zh-CN"/>
        </w:rPr>
        <w:t xml:space="preserve">四.预计中国将按差异化路径进一步开展量子产业竞赛 </w:t>
      </w:r>
    </w:p>
    <w:p>
      <w:pPr>
        <w:keepNext w:val="0"/>
        <w:keepLines w:val="0"/>
        <w:widowControl/>
        <w:numPr>
          <w:ilvl w:val="0"/>
          <w:numId w:val="0"/>
        </w:numPr>
        <w:suppressLineNumbers w:val="0"/>
        <w:spacing w:before="0" w:beforeAutospacing="1" w:after="0" w:afterAutospacing="1"/>
        <w:ind w:firstLine="602" w:firstLineChars="200"/>
        <w:rPr>
          <w:rFonts w:hint="eastAsia" w:ascii="宋体" w:hAnsi="宋体" w:eastAsia="宋体" w:cs="宋体"/>
          <w:sz w:val="30"/>
          <w:lang w:val="en-US" w:eastAsia="zh-CN"/>
        </w:rPr>
      </w:pPr>
      <w:r>
        <w:rPr>
          <w:rStyle w:val="7"/>
          <w:rFonts w:hint="eastAsia" w:ascii="宋体" w:hAnsi="宋体" w:eastAsia="宋体" w:cs="宋体"/>
          <w:sz w:val="30"/>
          <w:lang w:val="en-US" w:eastAsia="zh-CN"/>
        </w:rPr>
        <w:t>一是着力于缩短超导量子技术路线的核心技术</w:t>
      </w:r>
      <w:r>
        <w:rPr>
          <w:rStyle w:val="7"/>
          <w:rFonts w:hint="eastAsia" w:ascii="宋体" w:hAnsi="宋体" w:eastAsia="宋体" w:cs="宋体"/>
          <w:sz w:val="30"/>
        </w:rPr>
        <w:t>差距</w:t>
      </w:r>
      <w:r>
        <w:rPr>
          <w:rStyle w:val="7"/>
          <w:rFonts w:hint="eastAsia" w:ascii="宋体" w:hAnsi="宋体" w:eastAsia="宋体" w:cs="宋体"/>
          <w:sz w:val="30"/>
          <w:lang w:eastAsia="zh-CN"/>
        </w:rPr>
        <w:t>。</w:t>
      </w:r>
      <w:r>
        <w:rPr>
          <w:rStyle w:val="7"/>
          <w:rFonts w:hint="eastAsia" w:ascii="宋体" w:hAnsi="宋体" w:eastAsia="宋体" w:cs="宋体"/>
          <w:b w:val="0"/>
          <w:bCs/>
          <w:sz w:val="30"/>
          <w:lang w:val="en-US" w:eastAsia="zh-CN"/>
        </w:rPr>
        <w:t>目前我国发现光量子技术虽然存在可在常温下运行、硬件成本相对较低以及能与光纤及集成光学技术兼容等优势，但是在逻辑门的可编程性有限，在通用量子计算任务中表现一般，也不能满足</w:t>
      </w:r>
      <w:r>
        <w:rPr>
          <w:rStyle w:val="7"/>
          <w:rFonts w:hint="eastAsia" w:ascii="宋体" w:hAnsi="宋体" w:eastAsia="宋体" w:cs="宋体"/>
          <w:b w:val="0"/>
          <w:bCs/>
          <w:sz w:val="30"/>
          <w:lang w:eastAsia="zh-CN"/>
        </w:rPr>
        <w:t>药物设计、新材料研发、金融建模</w:t>
      </w:r>
      <w:r>
        <w:rPr>
          <w:rStyle w:val="7"/>
          <w:rFonts w:hint="eastAsia" w:ascii="宋体" w:hAnsi="宋体" w:eastAsia="宋体" w:cs="宋体"/>
          <w:b w:val="0"/>
          <w:bCs/>
          <w:sz w:val="30"/>
          <w:lang w:val="en-US" w:eastAsia="zh-CN"/>
        </w:rPr>
        <w:t>等</w:t>
      </w:r>
      <w:r>
        <w:rPr>
          <w:rStyle w:val="7"/>
          <w:rFonts w:hint="eastAsia" w:ascii="宋体" w:hAnsi="宋体" w:eastAsia="宋体" w:cs="宋体"/>
          <w:b w:val="0"/>
          <w:bCs/>
          <w:sz w:val="30"/>
          <w:lang w:eastAsia="zh-CN"/>
        </w:rPr>
        <w:t>高计算</w:t>
      </w:r>
      <w:r>
        <w:rPr>
          <w:rStyle w:val="7"/>
          <w:rFonts w:hint="eastAsia" w:ascii="宋体" w:hAnsi="宋体" w:eastAsia="宋体" w:cs="宋体"/>
          <w:b w:val="0"/>
          <w:bCs/>
          <w:sz w:val="30"/>
          <w:lang w:val="en-US" w:eastAsia="zh-CN"/>
        </w:rPr>
        <w:t>强</w:t>
      </w:r>
      <w:r>
        <w:rPr>
          <w:rStyle w:val="7"/>
          <w:rFonts w:hint="eastAsia" w:ascii="宋体" w:hAnsi="宋体" w:eastAsia="宋体" w:cs="宋体"/>
          <w:b w:val="0"/>
          <w:bCs/>
          <w:sz w:val="30"/>
          <w:lang w:eastAsia="zh-CN"/>
        </w:rPr>
        <w:t>复杂度</w:t>
      </w:r>
      <w:r>
        <w:rPr>
          <w:rStyle w:val="7"/>
          <w:rFonts w:hint="eastAsia" w:ascii="宋体" w:hAnsi="宋体" w:eastAsia="宋体" w:cs="宋体"/>
          <w:b w:val="0"/>
          <w:bCs/>
          <w:sz w:val="30"/>
          <w:lang w:val="en-US" w:eastAsia="zh-CN"/>
        </w:rPr>
        <w:t>计算需要，更适用于量子通信、量子网络领域。中国仍将加强对</w:t>
      </w:r>
      <w:r>
        <w:rPr>
          <w:rFonts w:hint="eastAsia" w:ascii="宋体" w:hAnsi="宋体" w:eastAsia="宋体" w:cs="宋体"/>
          <w:sz w:val="30"/>
        </w:rPr>
        <w:t>美国超导量子比特数量与稳定性领先</w:t>
      </w:r>
      <w:r>
        <w:rPr>
          <w:rFonts w:hint="eastAsia" w:ascii="宋体" w:hAnsi="宋体" w:eastAsia="宋体" w:cs="宋体"/>
          <w:sz w:val="30"/>
          <w:lang w:val="en-US" w:eastAsia="zh-CN"/>
        </w:rPr>
        <w:t>等指标的赶超。</w:t>
      </w:r>
    </w:p>
    <w:p>
      <w:pPr>
        <w:keepNext w:val="0"/>
        <w:keepLines w:val="0"/>
        <w:widowControl/>
        <w:numPr>
          <w:ilvl w:val="0"/>
          <w:numId w:val="0"/>
        </w:numPr>
        <w:suppressLineNumbers w:val="0"/>
        <w:spacing w:before="0" w:beforeAutospacing="1" w:after="0" w:afterAutospacing="1"/>
        <w:ind w:firstLine="602" w:firstLineChars="200"/>
        <w:rPr>
          <w:rFonts w:hint="eastAsia" w:ascii="宋体" w:hAnsi="宋体" w:eastAsia="宋体" w:cs="宋体"/>
          <w:b w:val="0"/>
          <w:bCs w:val="0"/>
          <w:sz w:val="30"/>
          <w:lang w:val="en-US" w:eastAsia="zh-CN"/>
        </w:rPr>
      </w:pPr>
      <w:r>
        <w:rPr>
          <w:rFonts w:hint="eastAsia" w:ascii="宋体" w:hAnsi="宋体" w:eastAsia="宋体" w:cs="宋体"/>
          <w:b/>
          <w:bCs/>
          <w:sz w:val="30"/>
          <w:lang w:val="en-US" w:eastAsia="zh-CN"/>
        </w:rPr>
        <w:t>二是将会加强量子多个产业方向的商业化应用广度和深度。</w:t>
      </w:r>
      <w:r>
        <w:rPr>
          <w:rFonts w:hint="eastAsia" w:ascii="宋体" w:hAnsi="宋体" w:eastAsia="宋体" w:cs="宋体"/>
          <w:b w:val="0"/>
          <w:bCs w:val="0"/>
          <w:sz w:val="30"/>
          <w:lang w:val="en-US" w:eastAsia="zh-CN"/>
        </w:rPr>
        <w:t>我国企业虽在量子通信（如量子密钥分发）领域保持应用领先，但跨行业应用（如金融、能源）仍处于试点阶段。预计未来将推动“量子算法+AI大模型”的复杂求解的行业应用落地,为金融证券、电网调度、医疗制造等高端私有环境客户，提供复杂问题求解场景的并发计算解决方案。可借鉴美国IBM与摩根大通合作推出多个成熟案例的做法，强强联合，在量子金融的投资组合优化、量子制药的高分子模拟等领域打造深度应用，如与金融机构深度合作开发量子优化算法用于全球资产配置，联合知名药企建立量子药物模拟平台，缩短新药研发周期。</w:t>
      </w:r>
    </w:p>
    <w:p>
      <w:pPr>
        <w:keepNext w:val="0"/>
        <w:keepLines w:val="0"/>
        <w:widowControl/>
        <w:numPr>
          <w:ilvl w:val="0"/>
          <w:numId w:val="0"/>
        </w:numPr>
        <w:suppressLineNumbers w:val="0"/>
        <w:spacing w:before="0" w:beforeAutospacing="1" w:after="0" w:afterAutospacing="1"/>
        <w:ind w:firstLine="602" w:firstLineChars="200"/>
        <w:rPr>
          <w:rFonts w:hint="eastAsia" w:ascii="宋体" w:hAnsi="宋体" w:eastAsia="宋体" w:cs="宋体"/>
          <w:sz w:val="30"/>
        </w:rPr>
      </w:pPr>
      <w:r>
        <w:rPr>
          <w:rFonts w:hint="eastAsia" w:ascii="宋体" w:hAnsi="宋体" w:eastAsia="宋体" w:cs="宋体"/>
          <w:b/>
          <w:bCs/>
          <w:sz w:val="30"/>
          <w:lang w:val="en-US" w:eastAsia="zh-CN"/>
        </w:rPr>
        <w:t>三是引导推动“政产学研”联合创新</w:t>
      </w:r>
      <w:r>
        <w:rPr>
          <w:rStyle w:val="7"/>
          <w:rFonts w:hint="eastAsia" w:ascii="宋体" w:hAnsi="宋体" w:eastAsia="宋体" w:cs="宋体"/>
          <w:sz w:val="30"/>
        </w:rPr>
        <w:t>生态</w:t>
      </w:r>
      <w:r>
        <w:rPr>
          <w:rStyle w:val="7"/>
          <w:rFonts w:hint="eastAsia" w:ascii="宋体" w:hAnsi="宋体" w:eastAsia="宋体" w:cs="宋体"/>
          <w:sz w:val="30"/>
          <w:lang w:eastAsia="zh-CN"/>
        </w:rPr>
        <w:t>，</w:t>
      </w:r>
      <w:r>
        <w:rPr>
          <w:rStyle w:val="7"/>
          <w:rFonts w:hint="eastAsia" w:ascii="宋体" w:hAnsi="宋体" w:eastAsia="宋体" w:cs="宋体"/>
          <w:sz w:val="30"/>
          <w:lang w:val="en-US" w:eastAsia="zh-CN"/>
        </w:rPr>
        <w:t>克服卡脖子问题</w:t>
      </w:r>
      <w:r>
        <w:rPr>
          <w:rStyle w:val="7"/>
          <w:rFonts w:hint="eastAsia" w:ascii="宋体" w:hAnsi="宋体" w:eastAsia="宋体" w:cs="宋体"/>
          <w:sz w:val="30"/>
          <w:lang w:eastAsia="zh-CN"/>
        </w:rPr>
        <w:t>。</w:t>
      </w:r>
      <w:r>
        <w:rPr>
          <w:rFonts w:hint="eastAsia" w:ascii="宋体" w:hAnsi="宋体" w:eastAsia="宋体" w:cs="宋体"/>
          <w:sz w:val="30"/>
        </w:rPr>
        <w:t>美国量子产业以私营企业（IBM、谷歌）为主导，形成“技术研发-资本投入-市场转化”闭环</w:t>
      </w:r>
      <w:r>
        <w:rPr>
          <w:rFonts w:hint="eastAsia" w:ascii="宋体" w:hAnsi="宋体" w:eastAsia="宋体" w:cs="宋体"/>
          <w:sz w:val="30"/>
          <w:lang w:eastAsia="zh-CN"/>
        </w:rPr>
        <w:t>，</w:t>
      </w:r>
      <w:r>
        <w:rPr>
          <w:rFonts w:hint="eastAsia" w:ascii="宋体" w:hAnsi="宋体" w:eastAsia="宋体" w:cs="宋体"/>
          <w:sz w:val="30"/>
          <w:lang w:val="en-US" w:eastAsia="zh-CN"/>
        </w:rPr>
        <w:t>并</w:t>
      </w:r>
      <w:r>
        <w:rPr>
          <w:rFonts w:hint="eastAsia" w:ascii="宋体" w:hAnsi="宋体" w:eastAsia="宋体" w:cs="宋体"/>
          <w:sz w:val="30"/>
        </w:rPr>
        <w:t>已形成成熟的开发工具链（如Qiskit）</w:t>
      </w:r>
      <w:r>
        <w:rPr>
          <w:rFonts w:hint="eastAsia" w:ascii="宋体" w:hAnsi="宋体" w:eastAsia="宋体" w:cs="宋体"/>
          <w:sz w:val="30"/>
          <w:lang w:val="en-US" w:eastAsia="zh-CN"/>
        </w:rPr>
        <w:t>，目前美国多名国会参议员也正在有意识地呼吁增强量子技术社区建设</w:t>
      </w:r>
      <w:r>
        <w:rPr>
          <w:rFonts w:hint="eastAsia" w:ascii="宋体" w:hAnsi="宋体" w:eastAsia="宋体" w:cs="宋体"/>
          <w:sz w:val="30"/>
          <w:lang w:eastAsia="zh-CN"/>
        </w:rPr>
        <w:t>。</w:t>
      </w:r>
      <w:r>
        <w:rPr>
          <w:rFonts w:hint="eastAsia" w:ascii="宋体" w:hAnsi="宋体" w:eastAsia="宋体" w:cs="宋体"/>
          <w:sz w:val="30"/>
        </w:rPr>
        <w:t>中国量子</w:t>
      </w:r>
      <w:r>
        <w:rPr>
          <w:rFonts w:hint="eastAsia" w:ascii="宋体" w:hAnsi="宋体" w:eastAsia="宋体" w:cs="宋体"/>
          <w:sz w:val="30"/>
          <w:lang w:val="en-US" w:eastAsia="zh-CN"/>
        </w:rPr>
        <w:t>产业领域目前缺少足够体量的龙头企业，</w:t>
      </w:r>
      <w:r>
        <w:rPr>
          <w:rFonts w:hint="eastAsia" w:ascii="宋体" w:hAnsi="宋体" w:eastAsia="宋体" w:cs="宋体"/>
          <w:sz w:val="30"/>
        </w:rPr>
        <w:t>整体产业生态</w:t>
      </w:r>
      <w:r>
        <w:rPr>
          <w:rFonts w:hint="eastAsia" w:ascii="宋体" w:hAnsi="宋体" w:eastAsia="宋体" w:cs="宋体"/>
          <w:sz w:val="30"/>
          <w:lang w:val="en-US" w:eastAsia="zh-CN"/>
        </w:rPr>
        <w:t>严重</w:t>
      </w:r>
      <w:r>
        <w:rPr>
          <w:rFonts w:hint="eastAsia" w:ascii="宋体" w:hAnsi="宋体" w:eastAsia="宋体" w:cs="宋体"/>
          <w:sz w:val="30"/>
        </w:rPr>
        <w:t>依赖</w:t>
      </w:r>
      <w:r>
        <w:rPr>
          <w:rFonts w:hint="eastAsia" w:ascii="宋体" w:hAnsi="宋体" w:eastAsia="宋体" w:cs="宋体"/>
          <w:sz w:val="30"/>
          <w:lang w:val="en-US" w:eastAsia="zh-CN"/>
        </w:rPr>
        <w:t>于</w:t>
      </w:r>
      <w:r>
        <w:rPr>
          <w:rFonts w:hint="eastAsia" w:ascii="宋体" w:hAnsi="宋体" w:eastAsia="宋体" w:cs="宋体"/>
          <w:sz w:val="30"/>
        </w:rPr>
        <w:t>政府项目，</w:t>
      </w:r>
      <w:r>
        <w:rPr>
          <w:rFonts w:hint="eastAsia" w:ascii="宋体" w:hAnsi="宋体" w:eastAsia="宋体" w:cs="宋体"/>
          <w:sz w:val="30"/>
          <w:lang w:val="en-US" w:eastAsia="zh-CN"/>
        </w:rPr>
        <w:t>技术领先</w:t>
      </w:r>
      <w:r>
        <w:rPr>
          <w:rFonts w:hint="eastAsia" w:ascii="宋体" w:hAnsi="宋体" w:eastAsia="宋体" w:cs="宋体"/>
          <w:sz w:val="30"/>
        </w:rPr>
        <w:t>企业和</w:t>
      </w:r>
      <w:r>
        <w:rPr>
          <w:rFonts w:hint="eastAsia" w:ascii="宋体" w:hAnsi="宋体" w:eastAsia="宋体" w:cs="宋体"/>
          <w:sz w:val="30"/>
          <w:lang w:val="en-US" w:eastAsia="zh-CN"/>
        </w:rPr>
        <w:t>互联网</w:t>
      </w:r>
      <w:r>
        <w:rPr>
          <w:rFonts w:hint="eastAsia" w:ascii="宋体" w:hAnsi="宋体" w:eastAsia="宋体" w:cs="宋体"/>
          <w:sz w:val="30"/>
        </w:rPr>
        <w:t>初创公司参与度较低</w:t>
      </w:r>
      <w:r>
        <w:rPr>
          <w:rFonts w:hint="eastAsia" w:ascii="宋体" w:hAnsi="宋体" w:eastAsia="宋体" w:cs="宋体"/>
          <w:sz w:val="30"/>
          <w:lang w:eastAsia="zh-CN"/>
        </w:rPr>
        <w:t>，</w:t>
      </w:r>
      <w:r>
        <w:rPr>
          <w:rFonts w:hint="eastAsia" w:ascii="宋体" w:hAnsi="宋体" w:eastAsia="宋体" w:cs="宋体"/>
          <w:sz w:val="30"/>
        </w:rPr>
        <w:t>在</w:t>
      </w:r>
      <w:r>
        <w:rPr>
          <w:rFonts w:hint="eastAsia" w:ascii="宋体" w:hAnsi="宋体" w:eastAsia="宋体" w:cs="宋体"/>
          <w:sz w:val="30"/>
          <w:lang w:val="en-US" w:eastAsia="zh-CN"/>
        </w:rPr>
        <w:t>量子</w:t>
      </w:r>
      <w:r>
        <w:rPr>
          <w:rFonts w:hint="eastAsia" w:ascii="宋体" w:hAnsi="宋体" w:eastAsia="宋体" w:cs="宋体"/>
          <w:sz w:val="30"/>
        </w:rPr>
        <w:t>编程语言、算法库等软件层面临“卡脖子”</w:t>
      </w:r>
      <w:r>
        <w:rPr>
          <w:rFonts w:hint="eastAsia" w:ascii="宋体" w:hAnsi="宋体" w:eastAsia="宋体" w:cs="宋体"/>
          <w:sz w:val="30"/>
          <w:lang w:val="en-US" w:eastAsia="zh-CN"/>
        </w:rPr>
        <w:t>问题，迫切需要“政产学研”各界通力合作，打造联合创新生态</w:t>
      </w:r>
      <w:r>
        <w:rPr>
          <w:rFonts w:hint="eastAsia" w:ascii="宋体" w:hAnsi="宋体" w:eastAsia="宋体" w:cs="宋体"/>
          <w:sz w:val="30"/>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SourceHanSerifCN-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32F29A"/>
    <w:multiLevelType w:val="singleLevel"/>
    <w:tmpl w:val="FB32F29A"/>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A646EF"/>
    <w:rsid w:val="03462D10"/>
    <w:rsid w:val="063F565F"/>
    <w:rsid w:val="09751523"/>
    <w:rsid w:val="09DC5DBA"/>
    <w:rsid w:val="0B565626"/>
    <w:rsid w:val="0E3D1A89"/>
    <w:rsid w:val="10646139"/>
    <w:rsid w:val="120558A5"/>
    <w:rsid w:val="122A09D4"/>
    <w:rsid w:val="123E4847"/>
    <w:rsid w:val="125C25AB"/>
    <w:rsid w:val="14425E8C"/>
    <w:rsid w:val="147C16AC"/>
    <w:rsid w:val="14F00F37"/>
    <w:rsid w:val="15F050AF"/>
    <w:rsid w:val="18F144BA"/>
    <w:rsid w:val="195C77F8"/>
    <w:rsid w:val="208F6A0E"/>
    <w:rsid w:val="26C1541C"/>
    <w:rsid w:val="26D56E4D"/>
    <w:rsid w:val="278E1380"/>
    <w:rsid w:val="288F28BA"/>
    <w:rsid w:val="29845EA0"/>
    <w:rsid w:val="2B6F6900"/>
    <w:rsid w:val="2D4834C7"/>
    <w:rsid w:val="37864EED"/>
    <w:rsid w:val="3BC33040"/>
    <w:rsid w:val="3D0F358F"/>
    <w:rsid w:val="3D162AFE"/>
    <w:rsid w:val="42351914"/>
    <w:rsid w:val="424B3399"/>
    <w:rsid w:val="43687544"/>
    <w:rsid w:val="44921B05"/>
    <w:rsid w:val="4740192A"/>
    <w:rsid w:val="49E07D5C"/>
    <w:rsid w:val="4C994544"/>
    <w:rsid w:val="4CF864CA"/>
    <w:rsid w:val="4E337474"/>
    <w:rsid w:val="4FBF0685"/>
    <w:rsid w:val="52612D41"/>
    <w:rsid w:val="532D0103"/>
    <w:rsid w:val="563B693B"/>
    <w:rsid w:val="56432596"/>
    <w:rsid w:val="579275AD"/>
    <w:rsid w:val="587522C3"/>
    <w:rsid w:val="597810F0"/>
    <w:rsid w:val="5ABE0B9E"/>
    <w:rsid w:val="5B7670C0"/>
    <w:rsid w:val="5E125052"/>
    <w:rsid w:val="6016626E"/>
    <w:rsid w:val="605E01FD"/>
    <w:rsid w:val="611565D4"/>
    <w:rsid w:val="61A646EF"/>
    <w:rsid w:val="61D55BCB"/>
    <w:rsid w:val="63DD2B95"/>
    <w:rsid w:val="677B1DC1"/>
    <w:rsid w:val="67954E97"/>
    <w:rsid w:val="697D2657"/>
    <w:rsid w:val="6A7514E9"/>
    <w:rsid w:val="6C6A12EE"/>
    <w:rsid w:val="6D163A4C"/>
    <w:rsid w:val="7A732487"/>
    <w:rsid w:val="7A7C6311"/>
    <w:rsid w:val="7ACE77F8"/>
    <w:rsid w:val="7D761514"/>
    <w:rsid w:val="7DFB096A"/>
    <w:rsid w:val="7F531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1</Pages>
  <Words>0</Words>
  <Characters>0</Characters>
  <Lines>0</Lines>
  <Paragraphs>0</Paragraphs>
  <TotalTime>10</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2025-04-22T08:38:00Z</dcterms:created>
  <dc:creator>张小东</dc:creator>
  <cp:lastModifiedBy>张小东</cp:lastModifiedBy>
  <dcterms:modified xsi:type="dcterms:W3CDTF">2025-04-28T08:48:12Z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2C105DC65BD44933ADBE179F77F832F7_13</vt:lpwstr>
  </property>
</Properties>
</file>