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12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能源央企科改标杆研究与启示</w:t>
      </w:r>
    </w:p>
    <w:p>
      <w:pPr>
        <w:ind w:left="2557"/>
        <w:spacing w:before="331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6"/>
        </w:rPr>
        <w:t>文/</w:t>
      </w:r>
      <w:r>
        <w:rPr>
          <w:rFonts w:ascii="STKaiti" w:hAnsi="STKaiti" w:eastAsia="STKaiti" w:cs="STKaiti"/>
          <w:sz w:val="30"/>
          <w:szCs w:val="30"/>
          <w:spacing w:val="22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邓丽华</w:t>
      </w:r>
      <w:r>
        <w:rPr>
          <w:rFonts w:ascii="STKaiti" w:hAnsi="STKaiti" w:eastAsia="STKaiti" w:cs="STKaiti"/>
          <w:sz w:val="30"/>
          <w:szCs w:val="30"/>
          <w:spacing w:val="24"/>
          <w:w w:val="101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田盼</w:t>
      </w:r>
      <w:r>
        <w:rPr>
          <w:rFonts w:ascii="STKaiti" w:hAnsi="STKaiti" w:eastAsia="STKaiti" w:cs="STKaiti"/>
          <w:sz w:val="30"/>
          <w:szCs w:val="30"/>
          <w:spacing w:val="1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6"/>
        </w:rPr>
        <w:t>张云霞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31" w:right="210" w:firstLine="571"/>
        <w:spacing w:before="97" w:line="261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6"/>
        </w:rPr>
        <w:t>“科改行动”</w:t>
      </w:r>
      <w:r>
        <w:rPr>
          <w:rFonts w:ascii="FangSong" w:hAnsi="FangSong" w:eastAsia="FangSong" w:cs="FangSong"/>
          <w:sz w:val="15"/>
          <w:szCs w:val="15"/>
          <w:spacing w:val="-6"/>
          <w:position w:val="14"/>
        </w:rPr>
        <w:t>1</w:t>
      </w:r>
      <w:r>
        <w:rPr>
          <w:rFonts w:ascii="FangSong" w:hAnsi="FangSong" w:eastAsia="FangSong" w:cs="FangSong"/>
          <w:sz w:val="15"/>
          <w:szCs w:val="15"/>
          <w:spacing w:val="-6"/>
          <w:position w:val="1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自</w:t>
      </w:r>
      <w:r>
        <w:rPr>
          <w:rFonts w:ascii="FangSong" w:hAnsi="FangSong" w:eastAsia="FangSong" w:cs="FangSong"/>
          <w:sz w:val="30"/>
          <w:szCs w:val="30"/>
          <w:spacing w:val="-4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2020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年</w:t>
      </w:r>
      <w:r>
        <w:rPr>
          <w:rFonts w:ascii="FangSong" w:hAnsi="FangSong" w:eastAsia="FangSong" w:cs="FangSong"/>
          <w:sz w:val="30"/>
          <w:szCs w:val="30"/>
          <w:spacing w:val="-6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4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6"/>
        </w:rPr>
        <w:t>月正式实施以来，涌现了一批国</w:t>
      </w:r>
      <w:r>
        <w:rPr>
          <w:rFonts w:ascii="FangSong" w:hAnsi="FangSong" w:eastAsia="FangSong" w:cs="FangSong"/>
          <w:sz w:val="30"/>
          <w:szCs w:val="30"/>
          <w:spacing w:val="-4"/>
        </w:rPr>
        <w:t>有科技型企业改革样板和创新尖兵。在</w:t>
      </w:r>
      <w:r>
        <w:rPr>
          <w:rFonts w:ascii="FangSong" w:hAnsi="FangSong" w:eastAsia="FangSong" w:cs="FangSong"/>
          <w:sz w:val="30"/>
          <w:szCs w:val="30"/>
          <w:spacing w:val="-38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2023</w:t>
      </w:r>
      <w:r>
        <w:rPr>
          <w:rFonts w:ascii="FangSong" w:hAnsi="FangSong" w:eastAsia="FangSong" w:cs="FangSong"/>
          <w:sz w:val="30"/>
          <w:szCs w:val="30"/>
          <w:spacing w:val="-3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年</w:t>
      </w:r>
      <w:r>
        <w:rPr>
          <w:rFonts w:ascii="FangSong" w:hAnsi="FangSong" w:eastAsia="FangSong" w:cs="FangSong"/>
          <w:sz w:val="30"/>
          <w:szCs w:val="30"/>
          <w:spacing w:val="-4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5</w:t>
      </w:r>
      <w:r>
        <w:rPr>
          <w:rFonts w:ascii="FangSong" w:hAnsi="FangSong" w:eastAsia="FangSong" w:cs="FangSong"/>
          <w:sz w:val="30"/>
          <w:szCs w:val="30"/>
          <w:spacing w:val="-2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月国资委《关</w:t>
      </w:r>
      <w:r>
        <w:rPr>
          <w:rFonts w:ascii="FangSong" w:hAnsi="FangSong" w:eastAsia="FangSong" w:cs="FangSong"/>
          <w:sz w:val="30"/>
          <w:szCs w:val="30"/>
          <w:spacing w:val="-7"/>
        </w:rPr>
        <w:t>于印发中央企业所属“双百企业”“科改企业”2022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7"/>
        </w:rPr>
        <w:t>年度专项考</w:t>
      </w:r>
      <w:r>
        <w:rPr>
          <w:rFonts w:ascii="FangSong" w:hAnsi="FangSong" w:eastAsia="FangSong" w:cs="FangSong"/>
          <w:sz w:val="30"/>
          <w:szCs w:val="30"/>
          <w:spacing w:val="-14"/>
        </w:rPr>
        <w:t>核结果的通知》（下文称“通知”）综合排名</w:t>
      </w:r>
      <w:r>
        <w:rPr>
          <w:rFonts w:ascii="FangSong" w:hAnsi="FangSong" w:eastAsia="FangSong" w:cs="FangSong"/>
          <w:sz w:val="30"/>
          <w:szCs w:val="30"/>
          <w:spacing w:val="-14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4"/>
        </w:rPr>
        <w:t>TOP15</w:t>
      </w:r>
      <w:r>
        <w:rPr>
          <w:rFonts w:ascii="FangSong" w:hAnsi="FangSong" w:eastAsia="FangSong" w:cs="FangSong"/>
          <w:sz w:val="30"/>
          <w:szCs w:val="30"/>
          <w:spacing w:val="-1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15"/>
        </w:rPr>
        <w:t>央企集团中，</w:t>
      </w:r>
      <w:r>
        <w:rPr>
          <w:rFonts w:ascii="FangSong" w:hAnsi="FangSong" w:eastAsia="FangSong" w:cs="FangSong"/>
          <w:sz w:val="30"/>
          <w:szCs w:val="30"/>
          <w:spacing w:val="-5"/>
        </w:rPr>
        <w:t>能源央企占据</w:t>
      </w:r>
      <w:r>
        <w:rPr>
          <w:rFonts w:ascii="FangSong" w:hAnsi="FangSong" w:eastAsia="FangSong" w:cs="FangSong"/>
          <w:sz w:val="30"/>
          <w:szCs w:val="30"/>
          <w:spacing w:val="-62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9</w:t>
      </w:r>
      <w:r>
        <w:rPr>
          <w:rFonts w:ascii="FangSong" w:hAnsi="FangSong" w:eastAsia="FangSong" w:cs="FangSong"/>
          <w:sz w:val="30"/>
          <w:szCs w:val="30"/>
          <w:spacing w:val="-56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席、改革成效显著。本文将聚焦能源央企</w:t>
      </w:r>
      <w:r>
        <w:rPr>
          <w:rFonts w:ascii="FangSong" w:hAnsi="FangSong" w:eastAsia="FangSong" w:cs="FangSong"/>
          <w:sz w:val="30"/>
          <w:szCs w:val="30"/>
          <w:spacing w:val="-6"/>
        </w:rPr>
        <w:t>“科改</w:t>
      </w:r>
      <w:r>
        <w:rPr>
          <w:rFonts w:ascii="FangSong" w:hAnsi="FangSong" w:eastAsia="FangSong" w:cs="FangSong"/>
          <w:sz w:val="30"/>
          <w:szCs w:val="30"/>
          <w:spacing w:val="-9"/>
        </w:rPr>
        <w:t>行动”发展现状、深度解析标杆企业先进经验，</w:t>
      </w:r>
      <w:r>
        <w:rPr>
          <w:rFonts w:ascii="FangSong" w:hAnsi="FangSong" w:eastAsia="FangSong" w:cs="FangSong"/>
          <w:sz w:val="30"/>
          <w:szCs w:val="30"/>
          <w:spacing w:val="-9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对中国电信争创</w:t>
      </w:r>
      <w:r>
        <w:rPr>
          <w:rFonts w:ascii="FangSong" w:hAnsi="FangSong" w:eastAsia="FangSong" w:cs="FangSong"/>
          <w:sz w:val="30"/>
          <w:szCs w:val="30"/>
          <w:spacing w:val="-2"/>
        </w:rPr>
        <w:t>世界一流，探索高标准科技改革、高质量创新发展提供借</w:t>
      </w:r>
      <w:r>
        <w:rPr>
          <w:rFonts w:ascii="FangSong" w:hAnsi="FangSong" w:eastAsia="FangSong" w:cs="FangSong"/>
          <w:sz w:val="30"/>
          <w:szCs w:val="30"/>
          <w:spacing w:val="-3"/>
        </w:rPr>
        <w:t>鉴。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一、能源央企“科改行动”发展总体情况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12"/>
        </w:rPr>
        <w:t>1</w:t>
      </w:r>
      <w:r>
        <w:rPr>
          <w:b/>
          <w:bCs/>
          <w:spacing w:val="-12"/>
        </w:rPr>
        <w:t>．“科改行动”第一轮收官、成果丰硕</w:t>
      </w:r>
    </w:p>
    <w:p>
      <w:pPr>
        <w:pStyle w:val="BodyText"/>
        <w:ind w:left="50" w:firstLine="554"/>
        <w:spacing w:before="323" w:line="258" w:lineRule="auto"/>
        <w:jc w:val="both"/>
        <w:rPr/>
      </w:pPr>
      <w:r>
        <w:rPr/>
        <w:t>“科改行动”选取改革创新紧迫性较强的国有科技型企业，</w:t>
      </w:r>
      <w:r>
        <w:rPr>
          <w:spacing w:val="4"/>
        </w:rPr>
        <w:t>旨在打造一批深化市场化改革和提升自主创新能力“双轮驱动</w:t>
      </w:r>
      <w:r>
        <w:rPr>
          <w:spacing w:val="-91"/>
        </w:rPr>
        <w:t xml:space="preserve"> </w:t>
      </w:r>
      <w:r>
        <w:rPr>
          <w:spacing w:val="4"/>
        </w:rPr>
        <w:t>”</w:t>
      </w:r>
      <w:r>
        <w:rPr>
          <w:spacing w:val="-16"/>
        </w:rPr>
        <w:t>的创新型国有企业。实施三年来，“科改企业”取得了丰硕成果。</w:t>
      </w:r>
    </w:p>
    <w:p>
      <w:pPr>
        <w:pStyle w:val="BodyText"/>
        <w:ind w:left="29"/>
        <w:spacing w:before="1" w:line="219" w:lineRule="auto"/>
        <w:rPr/>
      </w:pPr>
      <w:r>
        <w:rPr>
          <w:spacing w:val="-9"/>
        </w:rPr>
        <w:t>最新公开数据显示：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6" w:right="191" w:firstLine="607"/>
        <w:spacing w:before="98" w:line="260" w:lineRule="auto"/>
        <w:jc w:val="both"/>
        <w:rPr/>
      </w:pPr>
      <w:r>
        <w:rPr>
          <w:spacing w:val="-7"/>
        </w:rPr>
        <w:t>市场化改革：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年“科改企业”营业收入、净利润、全员</w:t>
      </w:r>
      <w:r>
        <w:rPr>
          <w:spacing w:val="-15"/>
        </w:rPr>
        <w:t>劳动生产率、人事成本利润率，分别较</w:t>
      </w:r>
      <w:r>
        <w:rPr>
          <w:spacing w:val="-81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2020 </w:t>
      </w:r>
      <w:r>
        <w:rPr>
          <w:spacing w:val="-15"/>
        </w:rPr>
        <w:t>年增长</w:t>
      </w:r>
      <w:r>
        <w:rPr>
          <w:spacing w:val="-85"/>
        </w:rPr>
        <w:t xml:space="preserve"> </w:t>
      </w:r>
      <w:r>
        <w:rPr>
          <w:rFonts w:ascii="Times New Roman" w:hAnsi="Times New Roman" w:eastAsia="Times New Roman" w:cs="Times New Roman"/>
          <w:spacing w:val="-15"/>
        </w:rPr>
        <w:t>33.6%</w:t>
      </w:r>
      <w:r>
        <w:rPr>
          <w:spacing w:val="-15"/>
        </w:rPr>
        <w:t>、</w:t>
      </w:r>
      <w:r>
        <w:rPr>
          <w:rFonts w:ascii="Times New Roman" w:hAnsi="Times New Roman" w:eastAsia="Times New Roman" w:cs="Times New Roman"/>
          <w:spacing w:val="-15"/>
        </w:rPr>
        <w:t>40.9%</w:t>
      </w:r>
      <w:r>
        <w:rPr>
          <w:spacing w:val="-15"/>
        </w:rPr>
        <w:t>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30.1%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18.5%</w:t>
      </w:r>
      <w:r>
        <w:rPr>
          <w:spacing w:val="-2"/>
        </w:rPr>
        <w:t>，人事费用率较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2020 </w:t>
      </w:r>
      <w:r>
        <w:rPr>
          <w:spacing w:val="-2"/>
        </w:rPr>
        <w:t>年降低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52.4%</w:t>
      </w:r>
      <w:r>
        <w:rPr>
          <w:spacing w:val="-2"/>
        </w:rPr>
        <w:t>。</w:t>
      </w:r>
    </w:p>
    <w:p>
      <w:pPr>
        <w:pStyle w:val="BodyText"/>
        <w:ind w:left="27" w:right="298" w:firstLine="647"/>
        <w:spacing w:before="274" w:line="259" w:lineRule="auto"/>
        <w:jc w:val="both"/>
        <w:rPr/>
      </w:pPr>
      <w:r>
        <w:pict>
          <v:shape id="_x0000_s2" style="position:absolute;margin-left:0.72599pt;margin-top:124.163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>
        <w:rPr>
          <w:spacing w:val="-5"/>
        </w:rPr>
        <w:t>自主创新能力：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45"/>
        </w:rPr>
        <w:t xml:space="preserve"> </w:t>
      </w:r>
      <w:r>
        <w:rPr>
          <w:spacing w:val="-5"/>
        </w:rPr>
        <w:t>年“科改企业”研发总投入 </w:t>
      </w:r>
      <w:r>
        <w:rPr>
          <w:rFonts w:ascii="Times New Roman" w:hAnsi="Times New Roman" w:eastAsia="Times New Roman" w:cs="Times New Roman"/>
          <w:spacing w:val="-5"/>
        </w:rPr>
        <w:t>1582.4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5"/>
        </w:rPr>
        <w:t>亿</w:t>
      </w:r>
      <w:r>
        <w:rPr>
          <w:spacing w:val="-5"/>
        </w:rPr>
        <w:t>元，近三年研发投入强度</w:t>
      </w: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10"/>
        </w:rPr>
        <w:t>2</w:t>
      </w:r>
      <w:r>
        <w:rPr>
          <w:spacing w:val="-5"/>
        </w:rPr>
        <w:t>均超过 </w:t>
      </w:r>
      <w:r>
        <w:rPr>
          <w:rFonts w:ascii="Times New Roman" w:hAnsi="Times New Roman" w:eastAsia="Times New Roman" w:cs="Times New Roman"/>
          <w:spacing w:val="-5"/>
        </w:rPr>
        <w:t>14%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5"/>
        </w:rPr>
        <w:t>，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5"/>
        </w:rPr>
        <w:t>年达 </w:t>
      </w:r>
      <w:r>
        <w:rPr>
          <w:rFonts w:ascii="Times New Roman" w:hAnsi="Times New Roman" w:eastAsia="Times New Roman" w:cs="Times New Roman"/>
          <w:spacing w:val="-5"/>
        </w:rPr>
        <w:t>17.7</w:t>
      </w:r>
      <w:r>
        <w:rPr>
          <w:rFonts w:ascii="Times New Roman" w:hAnsi="Times New Roman" w:eastAsia="Times New Roman" w:cs="Times New Roman"/>
          <w:spacing w:val="-6"/>
        </w:rPr>
        <w:t>%</w:t>
      </w:r>
      <w:r>
        <w:rPr>
          <w:spacing w:val="-6"/>
        </w:rPr>
        <w:t>；科技</w:t>
      </w:r>
      <w:r>
        <w:rPr>
          <w:spacing w:val="-3"/>
        </w:rPr>
        <w:t>人员总数超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42</w:t>
      </w:r>
      <w:r>
        <w:rPr>
          <w:rFonts w:ascii="Times New Roman" w:hAnsi="Times New Roman" w:eastAsia="Times New Roman" w:cs="Times New Roman"/>
          <w:spacing w:val="20"/>
          <w:w w:val="101"/>
        </w:rPr>
        <w:t xml:space="preserve"> </w:t>
      </w:r>
      <w:r>
        <w:rPr>
          <w:spacing w:val="-3"/>
        </w:rPr>
        <w:t>万人，平均占比达</w:t>
      </w:r>
      <w:r>
        <w:rPr>
          <w:rFonts w:ascii="Times New Roman" w:hAnsi="Times New Roman" w:eastAsia="Times New Roman" w:cs="Times New Roman"/>
          <w:spacing w:val="-3"/>
        </w:rPr>
        <w:t>54.1%</w:t>
      </w:r>
      <w:r>
        <w:rPr>
          <w:spacing w:val="-3"/>
        </w:rPr>
        <w:t>；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年来新增培养或引进</w:t>
      </w:r>
      <w:r>
        <w:rPr>
          <w:spacing w:val="-2"/>
        </w:rPr>
        <w:t>国家级高层次人次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2023</w:t>
      </w:r>
      <w:r>
        <w:rPr>
          <w:rFonts w:ascii="Times New Roman" w:hAnsi="Times New Roman" w:eastAsia="Times New Roman" w:cs="Times New Roman"/>
          <w:spacing w:val="49"/>
          <w:w w:val="101"/>
        </w:rPr>
        <w:t xml:space="preserve"> </w:t>
      </w:r>
      <w:r>
        <w:rPr>
          <w:spacing w:val="-2"/>
        </w:rPr>
        <w:t>人，新增授权发明专利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4.4</w:t>
      </w:r>
      <w:r>
        <w:rPr>
          <w:rFonts w:ascii="Times New Roman" w:hAnsi="Times New Roman" w:eastAsia="Times New Roman" w:cs="Times New Roman"/>
          <w:spacing w:val="50"/>
        </w:rPr>
        <w:t xml:space="preserve"> </w:t>
      </w:r>
      <w:r>
        <w:rPr>
          <w:spacing w:val="-2"/>
        </w:rPr>
        <w:t>万件，有效</w:t>
      </w:r>
      <w:r>
        <w:rPr>
          <w:spacing w:val="-8"/>
        </w:rPr>
        <w:t>专利实施数量</w:t>
      </w:r>
      <w:r>
        <w:rPr>
          <w:spacing w:val="-37"/>
        </w:rPr>
        <w:t xml:space="preserve"> </w:t>
      </w:r>
      <w:r>
        <w:rPr>
          <w:rFonts w:ascii="Times New Roman" w:hAnsi="Times New Roman" w:eastAsia="Times New Roman" w:cs="Times New Roman"/>
          <w:spacing w:val="-8"/>
        </w:rPr>
        <w:t>11.2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8"/>
        </w:rPr>
        <w:t>万件，科技成果对外转让、技术许可收入和作</w:t>
      </w:r>
    </w:p>
    <w:p>
      <w:pPr>
        <w:pStyle w:val="BodyText"/>
        <w:ind w:left="25" w:right="409" w:firstLine="1"/>
        <w:spacing w:before="268" w:line="258" w:lineRule="auto"/>
        <w:rPr>
          <w:sz w:val="21"/>
          <w:szCs w:val="21"/>
        </w:rPr>
      </w:pPr>
      <w:r>
        <w:rPr>
          <w:sz w:val="11"/>
          <w:szCs w:val="11"/>
          <w:position w:val="10"/>
        </w:rPr>
        <w:t>1  </w:t>
      </w:r>
      <w:r>
        <w:rPr>
          <w:sz w:val="21"/>
          <w:szCs w:val="21"/>
        </w:rPr>
        <w:t>科改行动：2020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</w:rPr>
        <w:t>年，国务院国有企业改</w:t>
      </w:r>
      <w:r>
        <w:rPr>
          <w:sz w:val="21"/>
          <w:szCs w:val="21"/>
          <w:spacing w:val="-1"/>
        </w:rPr>
        <w:t>革领导小组办公室部署的国企改革专项工程，选</w:t>
      </w:r>
      <w:r>
        <w:rPr>
          <w:sz w:val="21"/>
          <w:szCs w:val="21"/>
        </w:rPr>
        <w:t>取一些科技型企业开展深化市场化改革、提升自主创新能力的</w:t>
      </w:r>
      <w:r>
        <w:rPr>
          <w:sz w:val="21"/>
          <w:szCs w:val="21"/>
          <w:spacing w:val="-1"/>
        </w:rPr>
        <w:t>专项行动。</w:t>
      </w:r>
    </w:p>
    <w:p>
      <w:pPr>
        <w:pStyle w:val="BodyText"/>
        <w:ind w:left="20" w:right="446" w:hanging="1"/>
        <w:spacing w:before="49" w:line="269" w:lineRule="auto"/>
        <w:rPr>
          <w:sz w:val="19"/>
          <w:szCs w:val="19"/>
        </w:rPr>
      </w:pPr>
      <w:r>
        <w:rPr>
          <w:sz w:val="10"/>
          <w:szCs w:val="10"/>
          <w:spacing w:val="9"/>
          <w:position w:val="10"/>
        </w:rPr>
        <w:t>2  </w:t>
      </w:r>
      <w:r>
        <w:rPr>
          <w:sz w:val="19"/>
          <w:szCs w:val="19"/>
          <w:spacing w:val="9"/>
        </w:rPr>
        <w:t>研发投入强度：研发投入强度=研发投入总额/</w:t>
      </w:r>
      <w:r>
        <w:rPr>
          <w:sz w:val="19"/>
          <w:szCs w:val="19"/>
          <w:spacing w:val="8"/>
        </w:rPr>
        <w:t>营业收入×100%。其中，研发投入总额是指企</w:t>
      </w:r>
      <w:r>
        <w:rPr>
          <w:sz w:val="19"/>
          <w:szCs w:val="19"/>
          <w:spacing w:val="9"/>
        </w:rPr>
        <w:t>业在研发活动中投入的所有资金总额，包括研发人员工资、研发材料费用、研发设</w:t>
      </w:r>
      <w:r>
        <w:rPr>
          <w:sz w:val="19"/>
          <w:szCs w:val="19"/>
          <w:spacing w:val="8"/>
        </w:rPr>
        <w:t>备折旧等。</w:t>
      </w:r>
    </w:p>
    <w:p>
      <w:pPr>
        <w:spacing w:line="269" w:lineRule="auto"/>
        <w:sectPr>
          <w:pgSz w:w="11907" w:h="16839"/>
          <w:pgMar w:top="1431" w:right="1496" w:bottom="0" w:left="1785" w:header="0" w:footer="0" w:gutter="0"/>
        </w:sectPr>
        <w:rPr>
          <w:sz w:val="19"/>
          <w:szCs w:val="19"/>
        </w:rPr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7"/>
        <w:spacing w:before="98" w:line="232" w:lineRule="auto"/>
        <w:rPr/>
      </w:pPr>
      <w:r>
        <w:rPr>
          <w:spacing w:val="-1"/>
        </w:rPr>
        <w:t>价入股获得股权价值累计近</w:t>
      </w:r>
      <w:r>
        <w:rPr>
          <w:spacing w:val="-67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298 </w:t>
      </w:r>
      <w:r>
        <w:rPr>
          <w:spacing w:val="-1"/>
        </w:rPr>
        <w:t>亿元。</w:t>
      </w:r>
    </w:p>
    <w:p>
      <w:pPr>
        <w:pStyle w:val="BodyText"/>
        <w:ind w:left="772"/>
        <w:spacing w:before="320" w:line="21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．能源央企科改标杆率高于总体水平</w:t>
      </w:r>
      <w:r>
        <w:rPr>
          <w:spacing w:val="-48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6pp</w:t>
      </w:r>
      <w:r>
        <w:rPr>
          <w:b/>
          <w:bCs/>
          <w:spacing w:val="-3"/>
        </w:rPr>
        <w:t>，成效显著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5" w:firstLine="595"/>
        <w:spacing w:before="97" w:line="254" w:lineRule="auto"/>
        <w:jc w:val="both"/>
        <w:rPr/>
      </w:pPr>
      <w:r>
        <w:rPr>
          <w:rFonts w:ascii="Times New Roman" w:hAnsi="Times New Roman" w:eastAsia="Times New Roman" w:cs="Times New Roman"/>
          <w:spacing w:val="-9"/>
        </w:rPr>
        <w:t>2023 </w:t>
      </w:r>
      <w:r>
        <w:rPr>
          <w:spacing w:val="-9"/>
        </w:rPr>
        <w:t>年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9"/>
        </w:rPr>
        <w:t>月，国资委公布中央企业所属“科改企业”</w:t>
      </w:r>
      <w:r>
        <w:rPr>
          <w:rFonts w:ascii="Times New Roman" w:hAnsi="Times New Roman" w:eastAsia="Times New Roman" w:cs="Times New Roman"/>
          <w:spacing w:val="-9"/>
        </w:rPr>
        <w:t>2022 </w:t>
      </w:r>
      <w:r>
        <w:rPr>
          <w:spacing w:val="-9"/>
        </w:rPr>
        <w:t>年</w:t>
      </w:r>
      <w:r>
        <w:rPr>
          <w:spacing w:val="-1"/>
        </w:rPr>
        <w:t>度专项考核结果：央企所属“科改企业”</w:t>
      </w:r>
      <w:r>
        <w:rPr>
          <w:rFonts w:ascii="Times New Roman" w:hAnsi="Times New Roman" w:eastAsia="Times New Roman" w:cs="Times New Roman"/>
          <w:spacing w:val="-1"/>
        </w:rPr>
        <w:t>274 </w:t>
      </w:r>
      <w:r>
        <w:rPr>
          <w:spacing w:val="-1"/>
        </w:rPr>
        <w:t>户参与考核，获评</w:t>
      </w:r>
      <w:r>
        <w:rPr>
          <w:spacing w:val="-5"/>
        </w:rPr>
        <w:t>标杆 </w:t>
      </w:r>
      <w:r>
        <w:rPr>
          <w:rFonts w:ascii="Times New Roman" w:hAnsi="Times New Roman" w:eastAsia="Times New Roman" w:cs="Times New Roman"/>
          <w:spacing w:val="-5"/>
        </w:rPr>
        <w:t>84</w:t>
      </w:r>
      <w:r>
        <w:rPr>
          <w:rFonts w:ascii="Times New Roman" w:hAnsi="Times New Roman" w:eastAsia="Times New Roman" w:cs="Times New Roman"/>
          <w:spacing w:val="73"/>
        </w:rPr>
        <w:t xml:space="preserve"> </w:t>
      </w:r>
      <w:r>
        <w:rPr>
          <w:spacing w:val="-5"/>
        </w:rPr>
        <w:t>户。其中，能源央企所属“科改企业”</w:t>
      </w:r>
      <w:r>
        <w:rPr>
          <w:rFonts w:ascii="Times New Roman" w:hAnsi="Times New Roman" w:eastAsia="Times New Roman" w:cs="Times New Roman"/>
          <w:spacing w:val="-5"/>
        </w:rPr>
        <w:t>95</w:t>
      </w:r>
      <w:r>
        <w:rPr>
          <w:rFonts w:ascii="Times New Roman" w:hAnsi="Times New Roman" w:eastAsia="Times New Roman" w:cs="Times New Roman"/>
          <w:spacing w:val="57"/>
        </w:rPr>
        <w:t xml:space="preserve"> </w:t>
      </w:r>
      <w:r>
        <w:rPr>
          <w:spacing w:val="-5"/>
        </w:rPr>
        <w:t>户参与考核，</w:t>
      </w:r>
      <w:r>
        <w:rPr>
          <w:spacing w:val="-10"/>
        </w:rPr>
        <w:t>获评标杆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35 </w:t>
      </w:r>
      <w:r>
        <w:rPr>
          <w:spacing w:val="-10"/>
        </w:rPr>
        <w:t>户（名单见附录</w:t>
      </w:r>
      <w:r>
        <w:rPr>
          <w:spacing w:val="-66"/>
          <w:w w:val="84"/>
        </w:rPr>
        <w:t>），</w:t>
      </w:r>
      <w:r>
        <w:rPr>
          <w:spacing w:val="-10"/>
        </w:rPr>
        <w:t>标杆率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37%</w:t>
      </w:r>
      <w:r>
        <w:rPr>
          <w:spacing w:val="-10"/>
        </w:rPr>
        <w:t>，高于总体水平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6pp</w:t>
      </w:r>
      <w:r>
        <w:rPr>
          <w:spacing w:val="-10"/>
        </w:rPr>
        <w:t>。</w:t>
      </w:r>
    </w:p>
    <w:p>
      <w:pPr>
        <w:ind w:left="2138" w:right="4453" w:firstLine="46"/>
        <w:spacing w:before="227" w:line="21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4" style="position:absolute;margin-left:251.729pt;margin-top:17.0942pt;mso-position-vertical-relative:text;mso-position-horizontal-relative:text;width:79.15pt;height:18.4pt;z-index:25166848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11"/>
                    <w:spacing w:before="19" w:line="191" w:lineRule="auto"/>
                    <w:rPr>
                      <w:rFonts w:ascii="Microsoft YaHei" w:hAnsi="Microsoft YaHei" w:eastAsia="Microsoft YaHei" w:cs="Microsoft YaHei"/>
                      <w:sz w:val="12"/>
                      <w:szCs w:val="12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5"/>
                    </w:rPr>
                    <w:t>440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5"/>
                    </w:rPr>
                    <w:t>户（央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20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5"/>
                    </w:rPr>
                    <w:t>企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7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5"/>
                    </w:rPr>
                    <w:t>子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5"/>
                    </w:rPr>
                    <w:t>企业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4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5"/>
                    </w:rPr>
                    <w:t>281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户 ，地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方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2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国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有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企业 1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9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5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5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9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18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2"/>
                      <w:szCs w:val="12"/>
                      <w:color w:val="595959"/>
                      <w:spacing w:val="-6"/>
                    </w:rPr>
                    <w:t>户）</w:t>
                  </w:r>
                </w:p>
              </w:txbxContent>
            </v:textbox>
          </v:shape>
        </w:pict>
      </w:r>
      <w:r>
        <w:pict>
          <v:group id="_x0000_s6" style="position:absolute;margin-left:240.874pt;margin-top:39.86pt;mso-position-vertical-relative:text;mso-position-horizontal-relative:text;width:61.05pt;height:34.3pt;z-index:251667456;" filled="false" stroked="false" coordsize="1220,685" coordorigin="0,0">
            <v:shape id="_x0000_s8" style="position:absolute;left:0;top:0;width:1220;height:685;" fillcolor="#2196F3" filled="true" stroked="false" coordsize="1220,685" coordorigin="0,0" path="m1021,0c1013,0,1005,3,998,10l834,191c821,205,821,227,834,241c847,255,867,255,880,241l990,121l990,507c992,533,983,560,967,579c949,600,923,611,897,609l30,612c14,614,1,629,0,647c0,667,13,683,30,685l922,682c960,679,994,660,1018,629c1038,604,1049,573,1051,540l1051,120l1162,241c1174,255,1195,255,1208,241c1220,227,1220,205,1208,191l1045,10c1038,3,1030,0,1021,0e"/>
            <v:shape id="_x0000_s10" style="position:absolute;left:-20;top:-20;width:1260;height:7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6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17"/>
                      <w:spacing w:before="69" w:line="21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b/>
                        <w:bCs/>
                        <w:color w:val="383838"/>
                        <w:spacing w:val="5"/>
                      </w:rPr>
                      <w:t>2022.3</w:t>
                    </w:r>
                  </w:p>
                </w:txbxContent>
              </v:textbox>
            </v:shape>
          </v:group>
        </w:pict>
      </w:r>
      <w:r>
        <w:pict>
          <v:group id="_x0000_s12" style="position:absolute;margin-left:102.406pt;margin-top:39.86pt;mso-position-vertical-relative:text;mso-position-horizontal-relative:text;width:61.1pt;height:34.3pt;z-index:251666432;" filled="false" stroked="false" coordsize="1221,685" coordorigin="0,0">
            <v:shape id="_x0000_s14" style="position:absolute;left:0;top:0;width:1221;height:685;" fillcolor="#2196F3" filled="true" stroked="false" coordsize="1221,685" coordorigin="0,0" path="m1021,0c1013,0,1005,3,998,10l834,191c821,205,821,227,834,241c847,255,867,255,880,241l990,121l990,507c992,533,983,560,967,579c949,600,923,611,897,609l30,612c14,614,1,629,0,647c0,667,13,683,30,685l922,682c960,679,994,660,1018,629c1038,604,1049,573,1051,540l1051,120l1162,241c1174,255,1195,255,1208,241c1221,227,1221,205,1208,191l1045,10c1038,3,1030,0,1021,0e"/>
            <v:shape id="_x0000_s16" style="position:absolute;left:-20;top:-20;width:1261;height:79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311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333"/>
                      <w:spacing w:before="68" w:line="21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b/>
                        <w:bCs/>
                        <w:color w:val="383838"/>
                        <w:spacing w:val="5"/>
                      </w:rPr>
                      <w:t>2020.4</w:t>
                    </w:r>
                  </w:p>
                </w:txbxContent>
              </v:textbox>
            </v:shape>
          </v:group>
        </w:pic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4"/>
        </w:rPr>
        <w:t>204户（央企子企业138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户，</w: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-22"/>
        </w:rPr>
        <w:t xml:space="preserve"> </w:t>
      </w:r>
      <w:r>
        <w:rPr>
          <w:rFonts w:ascii="Microsoft YaHei" w:hAnsi="Microsoft YaHei" w:eastAsia="Microsoft YaHei" w:cs="Microsoft YaHei"/>
          <w:sz w:val="16"/>
          <w:szCs w:val="16"/>
          <w:color w:val="595959"/>
        </w:rPr>
        <w:t>地方国有企业66户）</w:t>
      </w:r>
    </w:p>
    <w:p>
      <w:pPr>
        <w:ind w:firstLine="218"/>
        <w:spacing w:before="210" w:line="1059" w:lineRule="exact"/>
        <w:rPr/>
      </w:pPr>
      <w:r>
        <w:pict>
          <v:group id="_x0000_s18" style="position:absolute;margin-left:171.64pt;margin-top:35.0094pt;mso-position-vertical-relative:text;mso-position-horizontal-relative:text;width:61.05pt;height:34.35pt;z-index:251665408;" filled="false" stroked="false" coordsize="1220,686" coordorigin="0,0">
            <v:shape id="_x0000_s20" style="position:absolute;left:0;top:0;width:1220;height:686;" fillcolor="#009587" filled="true" stroked="false" coordsize="1220,686" coordorigin="0,0" path="m1021,686c1013,686,1005,683,998,676l834,495c821,481,821,458,834,444c847,430,867,430,880,444l990,565l990,178c992,152,983,125,967,106c949,85,923,73,897,76l30,73c14,71,1,56,0,37c0,18,13,1,30,0l922,2c960,6,994,25,1018,56c1038,81,1049,112,1051,145l1051,566l1162,444c1174,430,1195,430,1208,444c1220,458,1220,481,1208,495l1045,676c1038,683,1030,686,1021,686e"/>
            <v:shape id="_x0000_s22" style="position:absolute;left:-20;top:-20;width:1260;height:794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85"/>
                      <w:spacing w:before="209" w:line="212" w:lineRule="auto"/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5"/>
                        <w:szCs w:val="15"/>
                        <w:b/>
                        <w:bCs/>
                        <w:color w:val="383838"/>
                        <w:spacing w:val="4"/>
                      </w:rPr>
                      <w:t>2020.12</w:t>
                    </w:r>
                  </w:p>
                </w:txbxContent>
              </v:textbox>
            </v:shape>
          </v:group>
        </w:pict>
      </w:r>
      <w:r>
        <w:pict>
          <v:group id="_x0000_s24" style="position:absolute;margin-left:310.044pt;margin-top:35.0094pt;mso-position-vertical-relative:text;mso-position-horizontal-relative:text;width:61.05pt;height:34.35pt;z-index:251664384;" filled="false" stroked="false" coordsize="1220,686" coordorigin="0,0">
            <v:shape id="_x0000_s26" style="position:absolute;left:0;top:0;width:1220;height:686;" fillcolor="#009587" filled="true" stroked="false" coordsize="1220,686" coordorigin="0,0" path="m1021,686c1013,686,1005,683,998,676l834,495c821,481,821,458,834,444c847,430,867,430,880,444l990,565l990,178c992,152,983,125,967,106c949,85,923,73,897,76l30,73c14,71,1,56,0,37c0,18,13,1,30,0l922,2c960,6,994,25,1018,56c1038,81,1049,112,1051,145l1051,566l1162,444c1174,430,1195,430,1208,444c1220,458,1220,481,1208,495l1045,676c1038,683,1030,686,1021,686e"/>
            <v:shape id="_x0000_s28" style="position:absolute;left:-20;top:-20;width:1260;height:799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320"/>
                      <w:spacing w:before="203" w:line="214" w:lineRule="auto"/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16"/>
                        <w:szCs w:val="16"/>
                        <w:b/>
                        <w:bCs/>
                        <w:color w:val="383838"/>
                        <w:spacing w:val="5"/>
                      </w:rPr>
                      <w:t>2023.5</w:t>
                    </w:r>
                  </w:p>
                </w:txbxContent>
              </v:textbox>
            </v:shape>
          </v:group>
        </w:pict>
      </w:r>
      <w:r>
        <w:rPr>
          <w:position w:val="-21"/>
        </w:rPr>
        <w:pict>
          <v:group id="_x0000_s30" style="mso-position-vertical-relative:line;mso-position-horizontal-relative:char;width:84.4pt;height:53pt;" filled="false" stroked="false" coordsize="1688,1060" coordorigin="0,0">
            <v:group id="_x0000_s32" style="position:absolute;left:0;top:0;width:1688;height:1060;" filled="false" stroked="false" coordsize="1688,1060" coordorigin="0,0">
              <v:shape id="_x0000_s34" style="position:absolute;left:0;top:0;width:1688;height:1060;" fillcolor="#2196F3" filled="true" stroked="false" coordsize="1688,1060" coordorigin="0,0" path="m0,529c0,237,377,0,843,0c1309,0,1687,237,1687,529c1687,821,1309,1059,843,1059c377,1059,0,821,0,529e"/>
              <v:shape id="_x0000_s36" style="position:absolute;left:78;top:68;width:1548;height:923;" filled="false" strokecolor="#FFFFFF" strokeweight="0.53pt" coordsize="1548,923" coordorigin="0,0" path="m5,461c5,209,349,5,773,5c1197,5,1541,209,1541,461c1541,712,1197,916,773,916c349,916,5,712,5,461e">
                <v:stroke miterlimit="10"/>
              </v:shape>
            </v:group>
            <v:shape id="_x0000_s38" style="position:absolute;left:-20;top:-20;width:1728;height:1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47" w:right="339" w:firstLine="1"/>
                      <w:spacing w:before="303" w:line="183" w:lineRule="auto"/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  <w:b/>
                        <w:bCs/>
                        <w:color w:val="FFFFFF"/>
                        <w:spacing w:val="4"/>
                      </w:rPr>
                      <w:t>科改企业</w:t>
                    </w:r>
                    <w:r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  <w:b/>
                        <w:bCs/>
                        <w:color w:val="FFFFFF"/>
                        <w:spacing w:val="5"/>
                      </w:rPr>
                      <w:t>数量变化</w:t>
                    </w:r>
                  </w:p>
                </w:txbxContent>
              </v:textbox>
            </v:shape>
          </v:group>
        </w:pict>
      </w:r>
    </w:p>
    <w:p>
      <w:pPr>
        <w:ind w:left="5956"/>
        <w:spacing w:before="183" w:line="192" w:lineRule="auto"/>
        <w:rPr>
          <w:rFonts w:ascii="Microsoft YaHei" w:hAnsi="Microsoft YaHei" w:eastAsia="Microsoft YaHei" w:cs="Microsoft YaHei"/>
          <w:sz w:val="16"/>
          <w:szCs w:val="16"/>
        </w:rPr>
      </w:pPr>
      <w:r>
        <w:pict>
          <v:shape id="_x0000_s40" style="position:absolute;margin-left:209.412pt;margin-top:8.16526pt;mso-position-vertical-relative:text;mso-position-horizontal-relative:text;width:24.6pt;height:13.25pt;z-index:2516695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6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  <w:spacing w:val="5"/>
                    </w:rPr>
                    <w:t>209户</w:t>
                  </w:r>
                </w:p>
              </w:txbxContent>
            </v:textbox>
          </v:shape>
        </w:pict>
      </w:r>
      <w:r>
        <w:pict>
          <v:shape id="_x0000_s42" style="position:absolute;margin-left:292.981pt;margin-top:19.8569pt;mso-position-vertical-relative:text;mso-position-horizontal-relative:text;width:97.7pt;height:13pt;z-index:25166131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92" w:lineRule="auto"/>
                    <w:rPr>
                      <w:rFonts w:ascii="Microsoft YaHei" w:hAnsi="Microsoft YaHei" w:eastAsia="Microsoft YaHei" w:cs="Microsoft YaHei"/>
                      <w:sz w:val="16"/>
                      <w:szCs w:val="16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</w:rPr>
                    <w:t>户，地方国有企业3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  <w:spacing w:val="-13"/>
                    </w:rPr>
                    <w:t xml:space="preserve"> </w:t>
                  </w:r>
                  <w:r>
                    <w:rPr>
                      <w:rFonts w:ascii="Microsoft YaHei" w:hAnsi="Microsoft YaHei" w:eastAsia="Microsoft YaHei" w:cs="Microsoft YaHei"/>
                      <w:sz w:val="16"/>
                      <w:szCs w:val="16"/>
                      <w:color w:val="595959"/>
                    </w:rPr>
                    <w:t>04户）</w:t>
                  </w:r>
                </w:p>
              </w:txbxContent>
            </v:textbox>
          </v:shape>
        </w:pict>
      </w:r>
      <w:r>
        <w:rPr>
          <w:rFonts w:ascii="Microsoft YaHei" w:hAnsi="Microsoft YaHei" w:eastAsia="Microsoft YaHei" w:cs="Microsoft YaHei"/>
          <w:sz w:val="16"/>
          <w:szCs w:val="16"/>
          <w:color w:val="595959"/>
          <w:spacing w:val="4"/>
        </w:rPr>
        <w:t>672户（央企子企业368</w:t>
      </w:r>
    </w:p>
    <w:p>
      <w:pPr>
        <w:ind w:firstLine="302"/>
        <w:spacing w:before="21" w:line="1061" w:lineRule="exact"/>
        <w:rPr/>
      </w:pPr>
      <w:r>
        <w:pict>
          <v:shape id="_x0000_s44" style="position:absolute;margin-left:383.97pt;margin-top:42.6682pt;mso-position-vertical-relative:text;mso-position-horizontal-relative:text;width:0.55pt;height:11.7pt;z-index:251670528;" filled="false" strokecolor="#446DA9" strokeweight="0.53pt" coordsize="11,233" coordorigin="0,0" path="m5,233l5,0e">
            <v:stroke joinstyle="miter"/>
          </v:shape>
        </w:pict>
      </w:r>
      <w:r>
        <w:pict>
          <v:shape id="_x0000_s46" style="position:absolute;margin-left:101.184pt;margin-top:16.6852pt;mso-position-vertical-relative:text;mso-position-horizontal-relative:text;width:194pt;height:29.25pt;z-index:25166233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spacing w:line="20" w:lineRule="exact"/>
                    <w:rPr/>
                  </w:pPr>
                  <w:r/>
                </w:p>
                <w:tbl>
                  <w:tblPr>
                    <w:tblStyle w:val="TableNormal"/>
                    <w:tblW w:w="3829" w:type="dxa"/>
                    <w:tblInd w:w="25" w:type="dxa"/>
                    <w:shd w:val="clear" w:fill="C8C8C8"/>
                    <w:tblLayout w:type="fixed"/>
                    <w:tblBorders>
                      <w:left w:val="single" w:color="DCDCDC" w:sz="4" w:space="0"/>
                      <w:bottom w:val="single" w:color="DCDCDC" w:sz="4" w:space="0"/>
                      <w:right w:val="single" w:color="DCDCDC" w:sz="4" w:space="0"/>
                      <w:top w:val="single" w:color="DCDCDC" w:sz="4" w:space="0"/>
                    </w:tblBorders>
                  </w:tblPr>
                  <w:tblGrid>
                    <w:gridCol w:w="3829"/>
                  </w:tblGrid>
                  <w:tr>
                    <w:trPr>
                      <w:trHeight w:val="524" w:hRule="atLeast"/>
                    </w:trPr>
                    <w:tc>
                      <w:tcPr>
                        <w:shd w:val="clear" w:fill="C8C8C8"/>
                        <w:tcW w:w="3829" w:type="dxa"/>
                        <w:vAlign w:val="top"/>
                      </w:tcPr>
                      <w:p>
                        <w:pPr>
                          <w:ind w:left="204"/>
                          <w:spacing w:before="169" w:line="201" w:lineRule="auto"/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Microsoft YaHei" w:hAnsi="Microsoft YaHei" w:eastAsia="Microsoft YaHei" w:cs="Microsoft YaHei"/>
                            <w:sz w:val="20"/>
                            <w:szCs w:val="20"/>
                            <w:color w:val="FFFFFF"/>
                            <w:spacing w:val="-10"/>
                          </w:rPr>
                          <w:t>改革创新双轮驱动，打造创新型国有企业</w:t>
                        </w:r>
                      </w:p>
                    </w:tc>
                  </w:tr>
                </w:tbl>
                <w:p>
                  <w:pPr>
                    <w:rPr>
                      <w:rFonts w:ascii="Arial"/>
                      <w:sz w:val="21"/>
                    </w:rPr>
                  </w:pPr>
                  <w:r/>
                </w:p>
              </w:txbxContent>
            </v:textbox>
          </v:shape>
        </w:pict>
      </w:r>
      <w:r>
        <w:pict>
          <v:shape id="_x0000_s48" style="position:absolute;margin-left:293.903pt;margin-top:17.9639pt;mso-position-vertical-relative:text;mso-position-horizontal-relative:text;width:91pt;height:26.7pt;z-index:251660288;" fillcolor="#BFD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531" w:right="148" w:hanging="380"/>
                    <w:spacing w:before="47" w:line="189" w:lineRule="auto"/>
                    <w:rPr>
                      <w:rFonts w:ascii="Microsoft YaHei" w:hAnsi="Microsoft YaHei" w:eastAsia="Microsoft YaHei" w:cs="Microsoft YaHei"/>
                      <w:sz w:val="20"/>
                      <w:szCs w:val="20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4"/>
                      <w:w w:val="96"/>
                    </w:rPr>
                    <w:t>打造前瞻性战略性</w:t>
                  </w:r>
                  <w:r>
                    <w:rPr>
                      <w:rFonts w:ascii="Microsoft YaHei" w:hAnsi="Microsoft YaHei" w:eastAsia="Microsoft YaHei" w:cs="Microsoft YaHei"/>
                      <w:sz w:val="20"/>
                      <w:szCs w:val="20"/>
                      <w:color w:val="FFFFFF"/>
                      <w:spacing w:val="-5"/>
                      <w:w w:val="98"/>
                    </w:rPr>
                    <w:t>新兴产业</w:t>
                  </w:r>
                </w:p>
              </w:txbxContent>
            </v:textbox>
          </v:shape>
        </w:pict>
      </w:r>
      <w:r>
        <w:pict>
          <v:shape id="_x0000_s50" style="position:absolute;margin-left:102.45pt;margin-top:7.7092pt;mso-position-vertical-relative:text;mso-position-horizontal-relative:text;width:282.05pt;height:35.25pt;z-index:251663360;" filled="false" strokecolor="#446DA9" strokeweight="0.53pt" coordsize="5640,705" coordorigin="0,0" path="m5,233l5635,233l5635,0m5635,699l5,699l5,233e">
            <v:stroke joinstyle="miter"/>
          </v:shape>
        </w:pict>
      </w:r>
      <w:r>
        <w:pict>
          <v:shape id="_x0000_s52" style="position:absolute;margin-left:384.057pt;margin-top:7.51215pt;mso-position-vertical-relative:text;mso-position-horizontal-relative:text;width:21.6pt;height:47.05pt;z-index:-251657216;" filled="false" strokecolor="#446DA9" strokeweight="0.53pt" coordsize="432,940" coordorigin="0,0" path="m3,3l427,470l3,936e">
            <v:stroke joinstyle="miter"/>
          </v:shape>
        </w:pict>
      </w:r>
      <w:r>
        <w:rPr>
          <w:position w:val="-21"/>
        </w:rPr>
        <w:pict>
          <v:group id="_x0000_s54" style="mso-position-vertical-relative:line;mso-position-horizontal-relative:char;width:84.4pt;height:53.05pt;" filled="false" stroked="false" coordsize="1688,1060" coordorigin="0,0">
            <v:group id="_x0000_s56" style="position:absolute;left:0;top:0;width:1688;height:1060;" filled="false" stroked="false" coordsize="1688,1060" coordorigin="0,0">
              <v:shape id="_x0000_s58" style="position:absolute;left:0;top:0;width:1688;height:1060;" fillcolor="#2196F3" filled="true" stroked="false" coordsize="1688,1060" coordorigin="0,0" path="m0,530c0,237,377,0,843,0c1309,0,1687,237,1687,530c1687,823,1309,1060,843,1060c377,1060,0,823,0,530e"/>
              <v:shape id="_x0000_s60" style="position:absolute;left:63;top:52;width:1546;height:923;" filled="false" strokecolor="#FFFFFF" strokeweight="0.53pt" coordsize="1546,923" coordorigin="0,0" path="m5,461c5,209,348,5,772,5c1196,5,1540,209,1540,461c1540,712,1196,916,772,916c348,916,5,712,5,461e"/>
            </v:group>
            <v:shape id="_x0000_s62" style="position:absolute;left:-20;top:-20;width:1728;height:11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9" w:right="423" w:hanging="244"/>
                      <w:spacing w:before="288" w:line="183" w:lineRule="auto"/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  <w:b/>
                        <w:bCs/>
                        <w:color w:val="FFFFFF"/>
                        <w:spacing w:val="-5"/>
                      </w:rPr>
                      <w:t>科</w:t>
                    </w:r>
                    <w:r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  <w:b/>
                        <w:bCs/>
                        <w:color w:val="FFFFFF"/>
                        <w:spacing w:val="-3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  <w:b/>
                        <w:bCs/>
                        <w:color w:val="FFFFFF"/>
                        <w:spacing w:val="-5"/>
                      </w:rPr>
                      <w:t>改行动</w:t>
                    </w:r>
                    <w:r>
                      <w:rPr>
                        <w:rFonts w:ascii="Microsoft YaHei" w:hAnsi="Microsoft YaHei" w:eastAsia="Microsoft YaHei" w:cs="Microsoft YaHei"/>
                        <w:sz w:val="23"/>
                        <w:szCs w:val="23"/>
                        <w:b/>
                        <w:bCs/>
                        <w:color w:val="FFFFFF"/>
                        <w:spacing w:val="-3"/>
                      </w:rPr>
                      <w:t>重点</w:t>
                    </w:r>
                  </w:p>
                </w:txbxContent>
              </v:textbox>
            </v:shape>
          </v:group>
        </w:pict>
      </w:r>
    </w:p>
    <w:p>
      <w:pPr>
        <w:ind w:left="1701"/>
        <w:spacing w:before="137" w:line="219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5"/>
        </w:rPr>
        <w:t>图</w:t>
      </w:r>
      <w:r>
        <w:rPr>
          <w:rFonts w:ascii="KaiTi" w:hAnsi="KaiTi" w:eastAsia="KaiTi" w:cs="KaiTi"/>
          <w:sz w:val="30"/>
          <w:szCs w:val="30"/>
          <w:spacing w:val="-3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5"/>
        </w:rPr>
        <w:t>1</w:t>
      </w:r>
      <w:r>
        <w:rPr>
          <w:rFonts w:ascii="KaiTi" w:hAnsi="KaiTi" w:eastAsia="KaiTi" w:cs="KaiTi"/>
          <w:sz w:val="30"/>
          <w:szCs w:val="30"/>
          <w:spacing w:val="-5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5"/>
        </w:rPr>
        <w:t>央企“科改企业”数量变化情况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27" w:right="82" w:firstLine="628"/>
        <w:spacing w:before="97" w:line="257" w:lineRule="auto"/>
        <w:jc w:val="both"/>
        <w:rPr/>
      </w:pPr>
      <w:r>
        <w:rPr>
          <w:spacing w:val="-5"/>
        </w:rPr>
        <w:t>同时，根据最新一次“科改企业”充实扩围和动态调整，</w:t>
      </w:r>
      <w:r>
        <w:rPr>
          <w:rFonts w:ascii="Times New Roman" w:hAnsi="Times New Roman" w:eastAsia="Times New Roman" w:cs="Times New Roman"/>
          <w:spacing w:val="-5"/>
        </w:rPr>
        <w:t>59</w:t>
      </w:r>
      <w:r>
        <w:rPr>
          <w:spacing w:val="-2"/>
        </w:rPr>
        <w:t>户能源央企子企业新增入围榜单，使得能源央企</w:t>
      </w:r>
      <w:r>
        <w:rPr>
          <w:spacing w:val="-3"/>
        </w:rPr>
        <w:t>子企业达到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154</w:t>
      </w:r>
      <w:r>
        <w:rPr>
          <w:spacing w:val="-5"/>
        </w:rPr>
        <w:t>户，占比为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42%</w:t>
      </w:r>
      <w:r>
        <w:rPr>
          <w:spacing w:val="-5"/>
        </w:rPr>
        <w:t>，与 </w:t>
      </w:r>
      <w:r>
        <w:rPr>
          <w:rFonts w:ascii="Times New Roman" w:hAnsi="Times New Roman" w:eastAsia="Times New Roman" w:cs="Times New Roman"/>
          <w:spacing w:val="-5"/>
        </w:rPr>
        <w:t>2022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5"/>
        </w:rPr>
        <w:t>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3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5"/>
        </w:rPr>
        <w:t>月扩围相比，上升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8pp</w:t>
      </w:r>
      <w:r>
        <w:rPr>
          <w:spacing w:val="-5"/>
        </w:rPr>
        <w:t>。能源央</w:t>
      </w:r>
      <w:r>
        <w:rPr>
          <w:spacing w:val="-4"/>
        </w:rPr>
        <w:t>企科改标杆复制推广显现，标杆复制推广经验值得央企集团重点</w:t>
      </w:r>
      <w:r>
        <w:rPr>
          <w:spacing w:val="-13"/>
        </w:rPr>
        <w:t>关注。</w:t>
      </w:r>
    </w:p>
    <w:p>
      <w:pPr>
        <w:pStyle w:val="BodyText"/>
        <w:ind w:left="25" w:right="81" w:firstLine="634"/>
        <w:spacing w:before="292" w:line="259" w:lineRule="auto"/>
        <w:jc w:val="both"/>
        <w:rPr/>
      </w:pPr>
      <w:r>
        <w:rPr>
          <w:spacing w:val="-7"/>
        </w:rPr>
        <w:t>以南方电网为例，在国资委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2022 </w:t>
      </w:r>
      <w:r>
        <w:rPr>
          <w:spacing w:val="-7"/>
        </w:rPr>
        <w:t>年度专项考</w:t>
      </w:r>
      <w:r>
        <w:rPr>
          <w:spacing w:val="-8"/>
        </w:rPr>
        <w:t>核中，</w:t>
      </w:r>
      <w:r>
        <w:rPr>
          <w:rFonts w:ascii="Times New Roman" w:hAnsi="Times New Roman" w:eastAsia="Times New Roman" w:cs="Times New Roman"/>
          <w:spacing w:val="-8"/>
        </w:rPr>
        <w:t>6 </w:t>
      </w:r>
      <w:r>
        <w:rPr>
          <w:spacing w:val="-8"/>
        </w:rPr>
        <w:t>户“科</w:t>
      </w:r>
      <w:r>
        <w:rPr>
          <w:spacing w:val="-17"/>
        </w:rPr>
        <w:t>改企业”获评“</w:t>
      </w:r>
      <w:r>
        <w:rPr>
          <w:rFonts w:ascii="Times New Roman" w:hAnsi="Times New Roman" w:eastAsia="Times New Roman" w:cs="Times New Roman"/>
          <w:spacing w:val="-17"/>
        </w:rPr>
        <w:t>5 </w:t>
      </w:r>
      <w:r>
        <w:rPr>
          <w:spacing w:val="-17"/>
        </w:rPr>
        <w:t>标杆、</w:t>
      </w:r>
      <w:r>
        <w:rPr>
          <w:rFonts w:ascii="Times New Roman" w:hAnsi="Times New Roman" w:eastAsia="Times New Roman" w:cs="Times New Roman"/>
          <w:spacing w:val="-17"/>
        </w:rPr>
        <w:t>1 </w:t>
      </w:r>
      <w:r>
        <w:rPr>
          <w:spacing w:val="-17"/>
        </w:rPr>
        <w:t>优秀”，“科改企业”</w:t>
      </w:r>
      <w:r>
        <w:rPr>
          <w:spacing w:val="-18"/>
        </w:rPr>
        <w:t>实现跨越式发展，</w:t>
      </w:r>
      <w:r>
        <w:rPr>
          <w:spacing w:val="-2"/>
        </w:rPr>
        <w:t>其营业收入、净利润分别增长 </w:t>
      </w:r>
      <w:r>
        <w:rPr>
          <w:rFonts w:ascii="Times New Roman" w:hAnsi="Times New Roman" w:eastAsia="Times New Roman" w:cs="Times New Roman"/>
          <w:spacing w:val="-2"/>
        </w:rPr>
        <w:t>43.2%</w:t>
      </w:r>
      <w:r>
        <w:rPr>
          <w:rFonts w:ascii="Times New Roman" w:hAnsi="Times New Roman" w:eastAsia="Times New Roman" w:cs="Times New Roman"/>
          <w:spacing w:val="-26"/>
        </w:rPr>
        <w:t xml:space="preserve"> </w:t>
      </w:r>
      <w:r>
        <w:rPr>
          <w:spacing w:val="-2"/>
        </w:rPr>
        <w:t>、</w:t>
      </w:r>
      <w:r>
        <w:rPr>
          <w:rFonts w:ascii="Times New Roman" w:hAnsi="Times New Roman" w:eastAsia="Times New Roman" w:cs="Times New Roman"/>
          <w:spacing w:val="-2"/>
        </w:rPr>
        <w:t>73.9%</w:t>
      </w:r>
      <w:r>
        <w:rPr>
          <w:spacing w:val="-2"/>
        </w:rPr>
        <w:t>，科技人员占比达</w:t>
      </w:r>
      <w:r>
        <w:rPr>
          <w:rFonts w:ascii="Times New Roman" w:hAnsi="Times New Roman" w:eastAsia="Times New Roman" w:cs="Times New Roman"/>
          <w:spacing w:val="-9"/>
        </w:rPr>
        <w:t>79.7%</w:t>
      </w:r>
      <w:r>
        <w:rPr>
          <w:spacing w:val="-9"/>
        </w:rPr>
        <w:t>，国家级高层次人才数量增长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7 </w:t>
      </w:r>
      <w:r>
        <w:rPr>
          <w:spacing w:val="-9"/>
        </w:rPr>
        <w:t>倍，研发费用增长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69.3%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9"/>
        </w:rPr>
        <w:t>，</w:t>
      </w:r>
      <w:r>
        <w:rPr>
          <w:spacing w:val="-12"/>
        </w:rPr>
        <w:t>远超“科改企业”平均水平。如南网数字集团，</w:t>
      </w:r>
      <w:r>
        <w:rPr>
          <w:spacing w:val="77"/>
        </w:rPr>
        <w:t xml:space="preserve"> </w:t>
      </w:r>
      <w:r>
        <w:rPr>
          <w:spacing w:val="-12"/>
        </w:rPr>
        <w:t>实现营收、利润</w:t>
      </w:r>
      <w:r>
        <w:rPr>
          <w:spacing w:val="-1"/>
        </w:rPr>
        <w:t>三年翻四番。南网科研院近三年营业收入年均增长率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20.9%</w:t>
      </w:r>
      <w:r>
        <w:rPr>
          <w:spacing w:val="-1"/>
        </w:rPr>
        <w:t>。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ind w:left="675"/>
        <w:spacing w:before="101" w:line="221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二、能源央企“科改行动”标杆最佳实践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26"/>
        <w:spacing w:before="98" w:line="233" w:lineRule="auto"/>
        <w:rPr/>
      </w:pPr>
      <w:r>
        <w:rPr>
          <w:spacing w:val="-3"/>
        </w:rPr>
        <w:t>今年</w:t>
      </w:r>
      <w:r>
        <w:rPr>
          <w:spacing w:val="-27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</w:t>
      </w:r>
      <w:r>
        <w:rPr>
          <w:rFonts w:ascii="Times New Roman" w:hAnsi="Times New Roman" w:eastAsia="Times New Roman" w:cs="Times New Roman"/>
          <w:spacing w:val="43"/>
        </w:rPr>
        <w:t xml:space="preserve"> </w:t>
      </w:r>
      <w:r>
        <w:rPr>
          <w:spacing w:val="-3"/>
        </w:rPr>
        <w:t>月，国资委“通知”中</w:t>
      </w:r>
      <w:r>
        <w:rPr>
          <w:spacing w:val="-42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TOP10</w:t>
      </w:r>
      <w:r>
        <w:rPr>
          <w:rFonts w:ascii="Times New Roman" w:hAnsi="Times New Roman" w:eastAsia="Times New Roman" w:cs="Times New Roman"/>
          <w:spacing w:val="38"/>
          <w:w w:val="101"/>
        </w:rPr>
        <w:t xml:space="preserve"> </w:t>
      </w:r>
      <w:r>
        <w:rPr>
          <w:spacing w:val="-3"/>
        </w:rPr>
        <w:t>标杆央企所属“科改</w:t>
      </w:r>
    </w:p>
    <w:p>
      <w:pPr>
        <w:spacing w:line="233" w:lineRule="auto"/>
        <w:sectPr>
          <w:headerReference w:type="default" r:id="rId1"/>
          <w:pgSz w:w="11907" w:h="16839"/>
          <w:pgMar w:top="400" w:right="1714" w:bottom="0" w:left="1785" w:header="0" w:footer="0" w:gutter="0"/>
        </w:sectPr>
        <w:rPr/>
      </w:pP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" w:firstLine="25"/>
        <w:spacing w:before="97" w:line="257" w:lineRule="auto"/>
        <w:jc w:val="both"/>
        <w:rPr/>
      </w:pPr>
      <w:r>
        <w:rPr>
          <w:spacing w:val="-2"/>
        </w:rPr>
        <w:t>企业”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3</w:t>
      </w:r>
      <w:r>
        <w:rPr>
          <w:spacing w:val="-2"/>
        </w:rPr>
        <w:t>，能源央企占据 </w:t>
      </w:r>
      <w:r>
        <w:rPr>
          <w:rFonts w:ascii="Times New Roman" w:hAnsi="Times New Roman" w:eastAsia="Times New Roman" w:cs="Times New Roman"/>
          <w:spacing w:val="-2"/>
        </w:rPr>
        <w:t>6  </w:t>
      </w:r>
      <w:r>
        <w:rPr>
          <w:spacing w:val="-2"/>
        </w:rPr>
        <w:t>席。其中，南网数字集团、南网科研</w:t>
      </w:r>
      <w:r>
        <w:rPr>
          <w:spacing w:val="-4"/>
        </w:rPr>
        <w:t>院、西安热工院分别排名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1</w:t>
      </w:r>
      <w:r>
        <w:rPr>
          <w:rFonts w:ascii="Times New Roman" w:hAnsi="Times New Roman" w:eastAsia="Times New Roman" w:cs="Times New Roman"/>
          <w:spacing w:val="-42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3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5</w:t>
      </w:r>
      <w:r>
        <w:rPr>
          <w:spacing w:val="-4"/>
        </w:rPr>
        <w:t>，是标杆中的优秀代表。下文</w:t>
      </w:r>
      <w:r>
        <w:rPr>
          <w:spacing w:val="3"/>
        </w:rPr>
        <w:t>将重点研究其具体举措和实践，总结标杆企业建设的“</w:t>
      </w:r>
      <w:r>
        <w:rPr>
          <w:spacing w:val="-107"/>
        </w:rPr>
        <w:t xml:space="preserve"> </w:t>
      </w:r>
      <w:r>
        <w:rPr>
          <w:rFonts w:ascii="Times New Roman" w:hAnsi="Times New Roman" w:eastAsia="Times New Roman" w:cs="Times New Roman"/>
          <w:spacing w:val="3"/>
        </w:rPr>
        <w:t>1+1+3</w:t>
      </w:r>
      <w:r>
        <w:rPr>
          <w:rFonts w:ascii="Times New Roman" w:hAnsi="Times New Roman" w:eastAsia="Times New Roman" w:cs="Times New Roman"/>
          <w:spacing w:val="-33"/>
        </w:rPr>
        <w:t xml:space="preserve"> </w:t>
      </w:r>
      <w:r>
        <w:rPr>
          <w:spacing w:val="3"/>
        </w:rPr>
        <w:t>”</w:t>
      </w:r>
      <w:r>
        <w:rPr>
          <w:spacing w:val="-3"/>
        </w:rPr>
        <w:t>五大核心要素，为电信全面提升科技创新能力、做优或</w:t>
      </w:r>
      <w:r>
        <w:rPr>
          <w:spacing w:val="-4"/>
        </w:rPr>
        <w:t>打造标杆</w:t>
      </w:r>
      <w:r>
        <w:rPr>
          <w:spacing w:val="-3"/>
        </w:rPr>
        <w:t>“科改企业”提供有效经验借鉴。</w:t>
      </w:r>
    </w:p>
    <w:p>
      <w:pPr>
        <w:ind w:firstLine="1405"/>
        <w:spacing w:before="228" w:line="423" w:lineRule="exact"/>
        <w:rPr/>
      </w:pPr>
      <w:r>
        <w:rPr>
          <w:position w:val="-8"/>
        </w:rPr>
        <w:pict>
          <v:shape id="_x0000_s64" style="mso-position-vertical-relative:line;mso-position-horizontal-relative:char;width:279.55pt;height:21.2pt;" fillcolor="#6096E6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55"/>
                    <w:spacing w:before="61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spacing w:val="1"/>
                    </w:rPr>
                    <w:t>“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>科改企业</w:t>
                  </w:r>
                  <w:r>
                    <w:rPr>
                      <w:rFonts w:ascii="Arial" w:hAnsi="Arial" w:eastAsia="Arial" w:cs="Arial"/>
                      <w:sz w:val="21"/>
                      <w:szCs w:val="21"/>
                      <w:spacing w:val="1"/>
                    </w:rPr>
                    <w:t>”</w:t>
                  </w: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1"/>
                    </w:rPr>
                    <w:t>标杆打造五大核心要素</w:t>
                  </w:r>
                </w:p>
              </w:txbxContent>
            </v:textbox>
          </v:shape>
        </w:pict>
      </w:r>
    </w:p>
    <w:p>
      <w:pPr>
        <w:spacing w:before="75"/>
        <w:rPr/>
      </w:pPr>
      <w:r/>
    </w:p>
    <w:p>
      <w:pPr>
        <w:sectPr>
          <w:headerReference w:type="default" r:id="rId2"/>
          <w:pgSz w:w="11907" w:h="16839"/>
          <w:pgMar w:top="400" w:right="1650" w:bottom="0" w:left="1785" w:header="0" w:footer="0" w:gutter="0"/>
          <w:cols w:equalWidth="0" w:num="1">
            <w:col w:w="8471" w:space="0"/>
          </w:cols>
        </w:sectPr>
        <w:rPr/>
      </w:pPr>
    </w:p>
    <w:p>
      <w:pPr>
        <w:ind w:left="1461"/>
        <w:spacing w:before="107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顶层设计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465"/>
        <w:spacing w:before="90" w:line="200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改革目标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ind w:left="1461"/>
        <w:spacing w:before="90" w:line="199" w:lineRule="auto"/>
        <w:rPr>
          <w:rFonts w:ascii="Microsoft YaHei" w:hAnsi="Microsoft YaHei" w:eastAsia="Microsoft YaHei" w:cs="Microsoft YaHei"/>
          <w:sz w:val="21"/>
          <w:szCs w:val="21"/>
        </w:rPr>
      </w:pPr>
      <w:r>
        <w:rPr>
          <w:rFonts w:ascii="Microsoft YaHei" w:hAnsi="Microsoft YaHei" w:eastAsia="Microsoft YaHei" w:cs="Microsoft YaHei"/>
          <w:sz w:val="21"/>
          <w:szCs w:val="21"/>
          <w:spacing w:val="-2"/>
        </w:rPr>
        <w:t>基本要素</w:t>
      </w:r>
    </w:p>
    <w:p>
      <w:pPr>
        <w:spacing w:before="31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5" w:line="414" w:lineRule="exact"/>
        <w:rPr/>
      </w:pPr>
      <w:r>
        <w:rPr>
          <w:position w:val="-9"/>
        </w:rPr>
        <w:pict>
          <v:shape id="_x0000_s66" style="mso-position-vertical-relative:line;mso-position-horizontal-relative:char;width:212.9pt;height:21.2pt;" fillcolor="#BFD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1194"/>
                    <w:spacing w:before="68" w:line="202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党建统领，一企一策</w:t>
                  </w:r>
                </w:p>
              </w:txbxContent>
            </v:textbox>
          </v:shape>
        </w:pict>
      </w:r>
    </w:p>
    <w:p>
      <w:pPr>
        <w:ind w:firstLine="1763"/>
        <w:spacing w:line="487" w:lineRule="exact"/>
        <w:rPr/>
      </w:pPr>
      <w:r>
        <w:rPr>
          <w:position w:val="-10"/>
        </w:rPr>
        <w:pict>
          <v:shape id="_x0000_s68" style="mso-position-vertical-relative:line;mso-position-horizontal-relative:char;width:33.8pt;height:25.45pt;" fillcolor="#6096E6" filled="true" stroked="false" coordsize="675,509" coordorigin="0,0" path="m0,254l168,254l168,0l506,0l506,254l675,254l337,508l0,254xe"/>
        </w:pict>
      </w:r>
    </w:p>
    <w:p>
      <w:pPr>
        <w:spacing w:line="412" w:lineRule="exact"/>
        <w:rPr/>
      </w:pPr>
      <w:r>
        <w:pict>
          <v:shape id="_x0000_s70" style="position:absolute;margin-left:89.5467pt;margin-top:20.5665pt;mso-position-vertical-relative:text;mso-position-horizontal-relative:text;width:33.8pt;height:25.45pt;z-index:251673600;" fillcolor="#6096E6" filled="true" stroked="false" coordsize="675,509" coordorigin="0,0" path="m0,254l168,254l168,0l506,0l506,254l675,254l337,508l0,254xe"/>
        </w:pict>
      </w:r>
      <w:r>
        <w:pict>
          <v:shape id="_x0000_s72" style="position:absolute;margin-left:162.882pt;margin-top:20.6598pt;mso-position-vertical-relative:text;mso-position-horizontal-relative:text;width:33.8pt;height:25.45pt;z-index:251674624;" fillcolor="#6096E6" filled="true" stroked="false" coordsize="675,509" coordorigin="0,0" path="m0,254l168,254l168,0l506,0l506,254l675,254l337,508l0,254xe"/>
        </w:pict>
      </w:r>
      <w:r>
        <w:rPr>
          <w:position w:val="-8"/>
        </w:rPr>
        <w:pict>
          <v:shape id="_x0000_s74" style="mso-position-vertical-relative:line;mso-position-horizontal-relative:char;width:212.9pt;height:20.65pt;" fillcolor="#BFD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51"/>
                    <w:spacing w:before="84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打造创新型一流科技企业</w:t>
                  </w:r>
                </w:p>
              </w:txbxContent>
            </v:textbox>
          </v:shape>
        </w:pict>
      </w:r>
    </w:p>
    <w:p>
      <w:pPr>
        <w:ind w:firstLine="388"/>
        <w:spacing w:before="5" w:line="490" w:lineRule="exact"/>
        <w:rPr/>
      </w:pPr>
      <w:r>
        <w:pict>
          <v:shape id="_x0000_s76" style="position:absolute;margin-left:71.8043pt;margin-top:23.832pt;mso-position-vertical-relative:text;mso-position-horizontal-relative:text;width:68.8pt;height:45.85pt;z-index:251672576;" fillcolor="#BFD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73"/>
                    <w:spacing w:before="95" w:line="201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6"/>
                    </w:rPr>
                    <w:t>自主创新</w:t>
                  </w:r>
                </w:p>
              </w:txbxContent>
            </v:textbox>
          </v:shape>
        </w:pict>
      </w:r>
      <w:r>
        <w:pict>
          <v:shape id="_x0000_s78" style="position:absolute;margin-left:144.106pt;margin-top:23.832pt;mso-position-vertical-relative:text;mso-position-horizontal-relative:text;width:68.8pt;height:45.85pt;z-index:251671552;" fillcolor="#BFD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7"/>
                    <w:spacing w:before="96" w:line="199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2"/>
                    </w:rPr>
                    <w:t>人才激励</w:t>
                  </w:r>
                </w:p>
              </w:txbxContent>
            </v:textbox>
          </v:shape>
        </w:pict>
      </w:r>
      <w:r>
        <w:rPr>
          <w:position w:val="-11"/>
        </w:rPr>
        <w:pict>
          <v:shape id="_x0000_s80" style="mso-position-vertical-relative:line;mso-position-horizontal-relative:char;width:33.85pt;height:25.45pt;" fillcolor="#6096E6" filled="true" stroked="false" coordsize="676,509" coordorigin="0,0" path="m0,254l169,254l169,0l507,0l507,254l676,254l338,508l0,254xe"/>
        </w:pict>
      </w:r>
    </w:p>
    <w:p>
      <w:pPr>
        <w:spacing w:line="898" w:lineRule="exact"/>
        <w:rPr/>
      </w:pPr>
      <w:r>
        <w:pict>
          <v:shape id="_x0000_s82" style="position:absolute;margin-left:11.159pt;margin-top:19.1329pt;mso-position-vertical-relative:text;mso-position-horizontal-relative:text;width:16.95pt;height:22.15pt;z-index:25168179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权责</w:t>
                  </w:r>
                </w:p>
                <w:p>
                  <w:pPr>
                    <w:ind w:left="20"/>
                    <w:spacing w:line="200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清单</w:t>
                  </w:r>
                </w:p>
              </w:txbxContent>
            </v:textbox>
          </v:shape>
        </w:pict>
      </w:r>
      <w:r>
        <w:pict>
          <v:shape id="_x0000_s84" style="position:absolute;margin-left:41.0527pt;margin-top:19.3751pt;mso-position-vertical-relative:text;mso-position-horizontal-relative:text;width:17pt;height:22.2pt;z-index:25168076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放权</w:t>
                  </w:r>
                </w:p>
                <w:p>
                  <w:pPr>
                    <w:ind w:left="21"/>
                    <w:spacing w:line="201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赋能</w:t>
                  </w:r>
                </w:p>
              </w:txbxContent>
            </v:textbox>
          </v:shape>
        </w:pict>
      </w:r>
      <w:r>
        <w:pict>
          <v:shape id="_x0000_s86" style="position:absolute;margin-left:81.6872pt;margin-top:19.3751pt;mso-position-vertical-relative:text;mso-position-horizontal-relative:text;width:16.95pt;height:22.15pt;z-index:2516787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研发</w:t>
                  </w:r>
                </w:p>
                <w:p>
                  <w:pPr>
                    <w:ind w:left="20"/>
                    <w:spacing w:line="200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投入</w:t>
                  </w:r>
                </w:p>
              </w:txbxContent>
            </v:textbox>
          </v:shape>
        </w:pict>
      </w:r>
      <w:r>
        <w:pict>
          <v:shape id="_x0000_s88" style="position:absolute;margin-left:107.079pt;margin-top:19.6176pt;mso-position-vertical-relative:text;mso-position-horizontal-relative:text;width:24.5pt;height:22.15pt;z-index:251675648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1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核心技</w:t>
                  </w:r>
                </w:p>
                <w:p>
                  <w:pPr>
                    <w:ind w:left="20"/>
                    <w:spacing w:line="200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术攻关</w:t>
                  </w:r>
                </w:p>
              </w:txbxContent>
            </v:textbox>
          </v:shape>
        </w:pict>
      </w:r>
      <w:r>
        <w:pict>
          <v:shape id="_x0000_s90" style="position:absolute;margin-left:151.036pt;margin-top:19.6269pt;mso-position-vertical-relative:text;mso-position-horizontal-relative:text;width:24.5pt;height:22.15pt;z-index:2516766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差异化</w:t>
                  </w:r>
                </w:p>
                <w:p>
                  <w:pPr>
                    <w:ind w:left="96"/>
                    <w:spacing w:line="200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薪酬</w:t>
                  </w:r>
                </w:p>
              </w:txbxContent>
            </v:textbox>
          </v:shape>
        </w:pict>
      </w:r>
      <w:r>
        <w:pict>
          <v:shape id="_x0000_s92" style="position:absolute;margin-left:183.172pt;margin-top:19.8694pt;mso-position-vertical-relative:text;mso-position-horizontal-relative:text;width:17pt;height:22.1pt;z-index:251677696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75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股权</w:t>
                  </w:r>
                </w:p>
                <w:p>
                  <w:pPr>
                    <w:ind w:left="20"/>
                    <w:spacing w:line="199" w:lineRule="auto"/>
                    <w:rPr>
                      <w:rFonts w:ascii="Microsoft YaHei" w:hAnsi="Microsoft YaHei" w:eastAsia="Microsoft YaHei" w:cs="Microsoft YaHei"/>
                      <w:sz w:val="15"/>
                      <w:szCs w:val="15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15"/>
                      <w:szCs w:val="15"/>
                      <w:spacing w:val="-1"/>
                    </w:rPr>
                    <w:t>激励</w:t>
                  </w:r>
                </w:p>
              </w:txbxContent>
            </v:textbox>
          </v:shape>
        </w:pict>
      </w:r>
      <w:r>
        <w:rPr>
          <w:position w:val="-17"/>
        </w:rPr>
        <w:pict>
          <v:shape id="_x0000_s94" style="mso-position-vertical-relative:line;mso-position-horizontal-relative:char;width:68.8pt;height:44.95pt;" fillcolor="#BFD5F5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45"/>
                    <w:spacing w:before="77" w:line="200" w:lineRule="auto"/>
                    <w:rPr>
                      <w:rFonts w:ascii="Microsoft YaHei" w:hAnsi="Microsoft YaHei" w:eastAsia="Microsoft YaHei" w:cs="Microsoft YaHei"/>
                      <w:sz w:val="21"/>
                      <w:szCs w:val="21"/>
                    </w:rPr>
                  </w:pPr>
                  <w:r>
                    <w:rPr>
                      <w:rFonts w:ascii="Microsoft YaHei" w:hAnsi="Microsoft YaHei" w:eastAsia="Microsoft YaHei" w:cs="Microsoft YaHei"/>
                      <w:sz w:val="21"/>
                      <w:szCs w:val="21"/>
                      <w:spacing w:val="-1"/>
                    </w:rPr>
                    <w:t>公司治理</w:t>
                  </w:r>
                </w:p>
              </w:txbxContent>
            </v:textbox>
          </v:shape>
        </w:pict>
      </w:r>
    </w:p>
    <w:p>
      <w:pPr>
        <w:spacing w:line="898" w:lineRule="exact"/>
        <w:sectPr>
          <w:type w:val="continuous"/>
          <w:pgSz w:w="11907" w:h="16839"/>
          <w:pgMar w:top="400" w:right="1650" w:bottom="0" w:left="1785" w:header="0" w:footer="0" w:gutter="0"/>
          <w:cols w:equalWidth="0" w:num="2">
            <w:col w:w="2638" w:space="100"/>
            <w:col w:w="5733" w:space="0"/>
          </w:cols>
        </w:sectPr>
        <w:rPr/>
      </w:pPr>
    </w:p>
    <w:p>
      <w:pPr>
        <w:ind w:left="801"/>
        <w:spacing w:before="127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3"/>
        </w:rPr>
        <w:t>图</w:t>
      </w:r>
      <w:r>
        <w:rPr>
          <w:rFonts w:ascii="KaiTi" w:hAnsi="KaiTi" w:eastAsia="KaiTi" w:cs="KaiTi"/>
          <w:sz w:val="30"/>
          <w:szCs w:val="30"/>
          <w:spacing w:val="-5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3"/>
        </w:rPr>
        <w:t>2</w:t>
      </w:r>
      <w:r>
        <w:rPr>
          <w:rFonts w:ascii="KaiTi" w:hAnsi="KaiTi" w:eastAsia="KaiTi" w:cs="KaiTi"/>
          <w:sz w:val="30"/>
          <w:szCs w:val="30"/>
          <w:spacing w:val="-3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3"/>
        </w:rPr>
        <w:t>能源央企“科改企业”标杆打造五大核心要素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．党建统领顶层设计，制定“一企一策”改革方案</w:t>
      </w:r>
    </w:p>
    <w:p>
      <w:pPr>
        <w:pStyle w:val="BodyText"/>
        <w:ind w:left="26" w:right="149" w:firstLine="604"/>
        <w:spacing w:before="317" w:line="260" w:lineRule="auto"/>
        <w:jc w:val="both"/>
        <w:rPr/>
      </w:pPr>
      <w:r>
        <w:rPr>
          <w:spacing w:val="-5"/>
        </w:rPr>
        <w:t>坚持党对国企的全面统一领导，在党建统领改革顶层设计指</w:t>
      </w:r>
      <w:r>
        <w:rPr>
          <w:spacing w:val="-4"/>
        </w:rPr>
        <w:t>引下，紧扣国家重大战略需求，根据旗下企业的定位、特点、发</w:t>
      </w:r>
      <w:r>
        <w:rPr>
          <w:spacing w:val="-4"/>
        </w:rPr>
        <w:t>展阶段和竞争水平等实际情况，指导企业“一企一策”制定改革</w:t>
      </w:r>
      <w:r>
        <w:rPr>
          <w:spacing w:val="-4"/>
        </w:rPr>
        <w:t>方案，“量身定做”支持措施和授放权政策，有序推进各项</w:t>
      </w:r>
      <w:r>
        <w:rPr>
          <w:spacing w:val="-5"/>
        </w:rPr>
        <w:t>改革</w:t>
      </w:r>
      <w:r>
        <w:rPr>
          <w:spacing w:val="-7"/>
        </w:rPr>
        <w:t>措施落实落地。</w:t>
      </w:r>
    </w:p>
    <w:p>
      <w:pPr>
        <w:ind w:left="1658"/>
        <w:spacing w:before="256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2"/>
        </w:rPr>
        <w:t>表</w:t>
      </w:r>
      <w:r>
        <w:rPr>
          <w:rFonts w:ascii="KaiTi" w:hAnsi="KaiTi" w:eastAsia="KaiTi" w:cs="KaiTi"/>
          <w:sz w:val="30"/>
          <w:szCs w:val="30"/>
          <w:spacing w:val="-4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2"/>
        </w:rPr>
        <w:t>1</w:t>
      </w:r>
      <w:r>
        <w:rPr>
          <w:rFonts w:ascii="KaiTi" w:hAnsi="KaiTi" w:eastAsia="KaiTi" w:cs="KaiTi"/>
          <w:sz w:val="30"/>
          <w:szCs w:val="30"/>
          <w:spacing w:val="-2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2"/>
        </w:rPr>
        <w:t>能源央企改革顶层设计最佳实践</w:t>
      </w:r>
    </w:p>
    <w:p>
      <w:pPr>
        <w:spacing w:line="121" w:lineRule="exact"/>
        <w:rPr/>
      </w:pPr>
      <w:r/>
    </w:p>
    <w:tbl>
      <w:tblPr>
        <w:tblStyle w:val="TableNormal"/>
        <w:tblW w:w="7906" w:type="dxa"/>
        <w:tblInd w:w="24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8"/>
        <w:gridCol w:w="6288"/>
      </w:tblGrid>
      <w:tr>
        <w:trPr>
          <w:trHeight w:val="493" w:hRule="atLeast"/>
        </w:trPr>
        <w:tc>
          <w:tcPr>
            <w:shd w:val="clear" w:fill="DAE3F3"/>
            <w:tcW w:w="1618" w:type="dxa"/>
            <w:vAlign w:val="top"/>
          </w:tcPr>
          <w:p>
            <w:pPr>
              <w:pStyle w:val="TableText"/>
              <w:ind w:left="145"/>
              <w:spacing w:before="13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南网数字集团</w:t>
            </w:r>
          </w:p>
        </w:tc>
        <w:tc>
          <w:tcPr>
            <w:tcW w:w="6288" w:type="dxa"/>
            <w:vAlign w:val="top"/>
          </w:tcPr>
          <w:p>
            <w:pPr>
              <w:pStyle w:val="TableText"/>
              <w:ind w:left="105"/>
              <w:spacing w:before="151" w:line="226" w:lineRule="auto"/>
              <w:rPr/>
            </w:pPr>
            <w:r>
              <w:rPr>
                <w:spacing w:val="5"/>
              </w:rPr>
              <w:t>打造数字电网原创技术策源地专项行动方案、搭建数字电网创新平台</w:t>
            </w:r>
          </w:p>
        </w:tc>
      </w:tr>
      <w:tr>
        <w:trPr>
          <w:trHeight w:val="1158" w:hRule="atLeast"/>
        </w:trPr>
        <w:tc>
          <w:tcPr>
            <w:shd w:val="clear" w:fill="DAE3F3"/>
            <w:tcW w:w="1618" w:type="dxa"/>
            <w:vAlign w:val="top"/>
          </w:tcPr>
          <w:p>
            <w:pPr>
              <w:spacing w:line="39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7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南网科研院</w:t>
            </w:r>
          </w:p>
        </w:tc>
        <w:tc>
          <w:tcPr>
            <w:tcW w:w="6288" w:type="dxa"/>
            <w:vAlign w:val="top"/>
          </w:tcPr>
          <w:p>
            <w:pPr>
              <w:pStyle w:val="TableText"/>
              <w:ind w:left="103" w:right="95" w:firstLine="2"/>
              <w:spacing w:before="52" w:line="281" w:lineRule="auto"/>
              <w:jc w:val="both"/>
              <w:rPr/>
            </w:pPr>
            <w:r>
              <w:rPr>
                <w:spacing w:val="4"/>
              </w:rPr>
              <w:t>打造南方电网公司科技创新排头兵、全国能源电力行业人才高地、全球电力</w:t>
            </w:r>
            <w:r>
              <w:rPr>
                <w:spacing w:val="1"/>
              </w:rPr>
              <w:t>技术创新高地和创新改革“试验田</w:t>
            </w:r>
            <w:r>
              <w:rPr>
                <w:spacing w:val="-66"/>
              </w:rPr>
              <w:t xml:space="preserve"> </w:t>
            </w:r>
            <w:r>
              <w:rPr>
                <w:spacing w:val="1"/>
              </w:rPr>
              <w:t>”。打造“三中心三平台</w:t>
            </w:r>
            <w:r>
              <w:rPr>
                <w:spacing w:val="-64"/>
              </w:rPr>
              <w:t xml:space="preserve"> </w:t>
            </w:r>
            <w:r>
              <w:rPr>
                <w:spacing w:val="1"/>
              </w:rPr>
              <w:t>”（即</w:t>
            </w:r>
            <w:r>
              <w:rPr/>
              <w:t>科技研发</w:t>
            </w:r>
            <w:r>
              <w:rPr>
                <w:spacing w:val="4"/>
              </w:rPr>
              <w:t>中心、技术支撑中心、价值创造中心、高端人才聚合平台、科技资源共享平</w:t>
            </w:r>
            <w:r>
              <w:rPr>
                <w:spacing w:val="3"/>
              </w:rPr>
              <w:t>台、国际科技合作平台）</w:t>
            </w:r>
          </w:p>
        </w:tc>
      </w:tr>
      <w:tr>
        <w:trPr>
          <w:trHeight w:val="586" w:hRule="atLeast"/>
        </w:trPr>
        <w:tc>
          <w:tcPr>
            <w:shd w:val="clear" w:fill="DAE3F3"/>
            <w:tcW w:w="1618" w:type="dxa"/>
            <w:vAlign w:val="top"/>
          </w:tcPr>
          <w:p>
            <w:pPr>
              <w:pStyle w:val="TableText"/>
              <w:ind w:left="260"/>
              <w:spacing w:before="18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西安热工院</w:t>
            </w:r>
          </w:p>
        </w:tc>
        <w:tc>
          <w:tcPr>
            <w:tcW w:w="6288" w:type="dxa"/>
            <w:vAlign w:val="top"/>
          </w:tcPr>
          <w:p>
            <w:pPr>
              <w:pStyle w:val="TableText"/>
              <w:ind w:left="103" w:right="95" w:hanging="2"/>
              <w:spacing w:before="61" w:line="264" w:lineRule="auto"/>
              <w:rPr/>
            </w:pPr>
            <w:r>
              <w:rPr>
                <w:spacing w:val="4"/>
              </w:rPr>
              <w:t>将国资委给与的改革政策与自身改革需要、改革目标精准对接，学好用足政</w:t>
            </w:r>
            <w:r>
              <w:rPr>
                <w:spacing w:val="-7"/>
              </w:rPr>
              <w:t>策。</w:t>
            </w:r>
          </w:p>
        </w:tc>
      </w:tr>
    </w:tbl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7" w:lineRule="auto"/>
        <w:rPr>
          <w:rFonts w:ascii="Arial"/>
          <w:sz w:val="21"/>
        </w:rPr>
      </w:pPr>
      <w:r>
        <w:pict>
          <v:shape id="_x0000_s96" style="position:absolute;margin-left:0.72599pt;margin-top:7.66684pt;mso-position-vertical-relative:text;mso-position-horizontal-relative:text;width:144.05pt;height:0.5pt;z-index:251679744;" fillcolor="#000000" filled="true" stroked="false" coordsize="2881,10" coordorigin="0,0" path="m0,9l2880,9l2880,0l0,0l0,9xe"/>
        </w:pict>
      </w:r>
      <w:r/>
    </w:p>
    <w:p>
      <w:pPr>
        <w:pStyle w:val="BodyText"/>
        <w:ind w:left="26" w:right="205" w:hanging="5"/>
        <w:spacing w:before="69"/>
        <w:rPr>
          <w:sz w:val="21"/>
          <w:szCs w:val="21"/>
        </w:rPr>
      </w:pPr>
      <w:r>
        <w:rPr>
          <w:sz w:val="11"/>
          <w:szCs w:val="11"/>
          <w:spacing w:val="-1"/>
          <w:position w:val="10"/>
        </w:rPr>
        <w:t>3  </w:t>
      </w:r>
      <w:r>
        <w:rPr>
          <w:sz w:val="21"/>
          <w:szCs w:val="21"/>
          <w:spacing w:val="-1"/>
        </w:rPr>
        <w:t>科改企业：中电信数智科技、天翼云科技、天翼安全科技、天翼物联科技参与</w:t>
      </w:r>
      <w:r>
        <w:rPr>
          <w:sz w:val="21"/>
          <w:szCs w:val="21"/>
          <w:spacing w:val="-26"/>
        </w:rPr>
        <w:t xml:space="preserve"> </w:t>
      </w:r>
      <w:r>
        <w:rPr>
          <w:sz w:val="21"/>
          <w:szCs w:val="21"/>
          <w:spacing w:val="-1"/>
        </w:rPr>
        <w:t>2022</w:t>
      </w:r>
      <w:r>
        <w:rPr>
          <w:sz w:val="21"/>
          <w:szCs w:val="21"/>
          <w:spacing w:val="-44"/>
        </w:rPr>
        <w:t xml:space="preserve"> </w:t>
      </w:r>
      <w:r>
        <w:rPr>
          <w:sz w:val="21"/>
          <w:szCs w:val="21"/>
          <w:spacing w:val="-1"/>
        </w:rPr>
        <w:t>年专</w:t>
      </w:r>
      <w:r>
        <w:rPr>
          <w:sz w:val="21"/>
          <w:szCs w:val="21"/>
          <w:spacing w:val="-1"/>
        </w:rPr>
        <w:t>项考核，中电信数智科技获评标杆，排名</w:t>
      </w:r>
      <w:r>
        <w:rPr>
          <w:sz w:val="21"/>
          <w:szCs w:val="21"/>
          <w:spacing w:val="-40"/>
        </w:rPr>
        <w:t xml:space="preserve"> </w:t>
      </w:r>
      <w:r>
        <w:rPr>
          <w:sz w:val="21"/>
          <w:szCs w:val="21"/>
          <w:spacing w:val="-1"/>
        </w:rPr>
        <w:t>28。</w:t>
      </w:r>
    </w:p>
    <w:p>
      <w:pPr>
        <w:sectPr>
          <w:type w:val="continuous"/>
          <w:pgSz w:w="11907" w:h="16839"/>
          <w:pgMar w:top="400" w:right="1650" w:bottom="0" w:left="1785" w:header="0" w:footer="0" w:gutter="0"/>
          <w:cols w:equalWidth="0" w:num="1">
            <w:col w:w="8471" w:space="0"/>
          </w:cols>
        </w:sectPr>
        <w:rPr>
          <w:sz w:val="21"/>
          <w:szCs w:val="21"/>
        </w:rPr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．明确科技改革目标，建立改革方案任务台账</w:t>
      </w:r>
    </w:p>
    <w:p>
      <w:pPr>
        <w:pStyle w:val="BodyText"/>
        <w:ind w:left="26" w:right="107" w:firstLine="599"/>
        <w:spacing w:before="322" w:line="260" w:lineRule="auto"/>
        <w:jc w:val="both"/>
        <w:rPr/>
      </w:pPr>
      <w:r>
        <w:rPr>
          <w:spacing w:val="-4"/>
        </w:rPr>
        <w:t>根据“科改行动”考核指标要求，明确科技改革</w:t>
      </w:r>
      <w:r>
        <w:rPr>
          <w:spacing w:val="-5"/>
        </w:rPr>
        <w:t>目标，结合</w:t>
      </w:r>
      <w:r>
        <w:rPr>
          <w:spacing w:val="-9"/>
        </w:rPr>
        <w:t>企业自身功能定位、短板弱项等因素， 建立完善公司治理、自主</w:t>
      </w:r>
      <w:r>
        <w:rPr>
          <w:spacing w:val="-8"/>
        </w:rPr>
        <w:t>创新、人才激励等方面的针对性改革方案任务台账，</w:t>
      </w:r>
      <w:r>
        <w:rPr>
          <w:spacing w:val="-33"/>
        </w:rPr>
        <w:t xml:space="preserve"> </w:t>
      </w:r>
      <w:r>
        <w:rPr>
          <w:spacing w:val="-8"/>
        </w:rPr>
        <w:t>实施挂</w:t>
      </w:r>
      <w:r>
        <w:rPr>
          <w:spacing w:val="-9"/>
        </w:rPr>
        <w:t>账监</w:t>
      </w:r>
      <w:r>
        <w:rPr>
          <w:spacing w:val="-5"/>
        </w:rPr>
        <w:t>督，任务落实全过程管理。</w:t>
      </w:r>
    </w:p>
    <w:p>
      <w:pPr>
        <w:ind w:left="1209"/>
        <w:spacing w:before="256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59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2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三大能源央企改革目标和方案最佳实践</w:t>
      </w:r>
    </w:p>
    <w:p>
      <w:pPr>
        <w:spacing w:line="211" w:lineRule="exact"/>
        <w:rPr/>
      </w:pPr>
      <w:r/>
    </w:p>
    <w:tbl>
      <w:tblPr>
        <w:tblStyle w:val="TableNormal"/>
        <w:tblW w:w="7796" w:type="dxa"/>
        <w:tblInd w:w="529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02"/>
        <w:gridCol w:w="6194"/>
      </w:tblGrid>
      <w:tr>
        <w:trPr>
          <w:trHeight w:val="434" w:hRule="atLeast"/>
        </w:trPr>
        <w:tc>
          <w:tcPr>
            <w:shd w:val="clear" w:fill="DAE3F3"/>
            <w:tcW w:w="1602" w:type="dxa"/>
            <w:vAlign w:val="top"/>
          </w:tcPr>
          <w:p>
            <w:pPr>
              <w:pStyle w:val="TableText"/>
              <w:ind w:left="143"/>
              <w:spacing w:before="108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南网数字集团</w:t>
            </w:r>
          </w:p>
        </w:tc>
        <w:tc>
          <w:tcPr>
            <w:tcW w:w="6194" w:type="dxa"/>
            <w:vAlign w:val="top"/>
          </w:tcPr>
          <w:p>
            <w:pPr>
              <w:pStyle w:val="TableText"/>
              <w:ind w:left="106"/>
              <w:spacing w:before="56" w:line="223" w:lineRule="auto"/>
              <w:rPr/>
            </w:pPr>
            <w:r>
              <w:rPr>
                <w:spacing w:val="1"/>
              </w:rPr>
              <w:t>打造具有全球竞争力的世界一流数字电网企业。</w:t>
            </w:r>
          </w:p>
        </w:tc>
      </w:tr>
      <w:tr>
        <w:trPr>
          <w:trHeight w:val="430" w:hRule="atLeast"/>
        </w:trPr>
        <w:tc>
          <w:tcPr>
            <w:shd w:val="clear" w:fill="DAE3F3"/>
            <w:tcW w:w="1602" w:type="dxa"/>
            <w:vAlign w:val="top"/>
          </w:tcPr>
          <w:p>
            <w:pPr>
              <w:pStyle w:val="TableText"/>
              <w:ind w:left="253"/>
              <w:spacing w:before="108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南网科研院</w:t>
            </w:r>
          </w:p>
        </w:tc>
        <w:tc>
          <w:tcPr>
            <w:tcW w:w="6194" w:type="dxa"/>
            <w:vAlign w:val="top"/>
          </w:tcPr>
          <w:p>
            <w:pPr>
              <w:pStyle w:val="TableText"/>
              <w:ind w:left="106"/>
              <w:spacing w:before="57" w:line="222" w:lineRule="auto"/>
              <w:rPr/>
            </w:pPr>
            <w:r>
              <w:rPr>
                <w:spacing w:val="1"/>
              </w:rPr>
              <w:t>打造具有全球竞争力的世界一流能源电力科技创新平台。</w:t>
            </w:r>
          </w:p>
        </w:tc>
      </w:tr>
      <w:tr>
        <w:trPr>
          <w:trHeight w:val="860" w:hRule="atLeast"/>
        </w:trPr>
        <w:tc>
          <w:tcPr>
            <w:shd w:val="clear" w:fill="DAE3F3"/>
            <w:tcW w:w="160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56"/>
              <w:spacing w:before="68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6"/>
              </w:rPr>
              <w:t>西安热工院</w:t>
            </w:r>
          </w:p>
        </w:tc>
        <w:tc>
          <w:tcPr>
            <w:tcW w:w="6194" w:type="dxa"/>
            <w:vAlign w:val="top"/>
          </w:tcPr>
          <w:p>
            <w:pPr>
              <w:pStyle w:val="TableText"/>
              <w:ind w:left="102" w:right="95" w:firstLine="2"/>
              <w:spacing w:before="51" w:line="273" w:lineRule="auto"/>
              <w:jc w:val="both"/>
              <w:rPr/>
            </w:pPr>
            <w:r>
              <w:rPr>
                <w:spacing w:val="1"/>
              </w:rPr>
              <w:t>建设世界一流的发电技术研发机构和强大的高科技企业。明确完善法人治理</w:t>
            </w:r>
            <w:r>
              <w:rPr>
                <w:spacing w:val="1"/>
              </w:rPr>
              <w:t>机构、健全市场化选人用人机制、强化市场化激励约束等改革方案六大重点</w:t>
            </w:r>
            <w:r>
              <w:rPr>
                <w:spacing w:val="2"/>
              </w:rPr>
              <w:t>任务举措，建立改革任务台账并按月更新，动</w:t>
            </w:r>
            <w:r>
              <w:rPr>
                <w:spacing w:val="1"/>
              </w:rPr>
              <w:t>态跟踪改革进展。</w:t>
            </w:r>
          </w:p>
        </w:tc>
      </w:tr>
    </w:tbl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621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．完善组织机制体制，提升公司治理效能</w:t>
      </w:r>
    </w:p>
    <w:p>
      <w:pPr>
        <w:pStyle w:val="BodyText"/>
        <w:ind w:left="27" w:right="107" w:firstLine="598"/>
        <w:spacing w:before="320" w:line="260" w:lineRule="auto"/>
        <w:jc w:val="both"/>
        <w:rPr/>
      </w:pPr>
      <w:r>
        <w:rPr>
          <w:spacing w:val="-4"/>
        </w:rPr>
        <w:t>健全完善公司组织体系和推进机制，成立改革领导小</w:t>
      </w:r>
      <w:r>
        <w:rPr>
          <w:spacing w:val="-5"/>
        </w:rPr>
        <w:t>组和改</w:t>
      </w:r>
      <w:r>
        <w:rPr>
          <w:spacing w:val="-4"/>
        </w:rPr>
        <w:t>革工作小组，建立“一把手”挂帅的改革领导体系、专门设置科</w:t>
      </w:r>
      <w:r>
        <w:rPr>
          <w:spacing w:val="-12"/>
        </w:rPr>
        <w:t>技创新委员会，确保企业“科改行动”工作顺利推进。同时，</w:t>
      </w:r>
      <w:r>
        <w:rPr>
          <w:spacing w:val="76"/>
        </w:rPr>
        <w:t xml:space="preserve"> </w:t>
      </w:r>
      <w:r>
        <w:rPr>
          <w:spacing w:val="-12"/>
        </w:rPr>
        <w:t>还</w:t>
      </w:r>
      <w:r>
        <w:rPr>
          <w:spacing w:val="-8"/>
        </w:rPr>
        <w:t>需着力以下两个方面：</w:t>
      </w:r>
    </w:p>
    <w:p>
      <w:pPr>
        <w:pStyle w:val="BodyText"/>
        <w:ind w:left="5" w:right="21" w:firstLine="619"/>
        <w:spacing w:before="272" w:line="251" w:lineRule="auto"/>
        <w:rPr/>
      </w:pPr>
      <w:r>
        <w:rPr>
          <w:spacing w:val="-1"/>
        </w:rPr>
        <w:t>①明确党委会、董事会、监事会与经理层之间的权责界面，</w:t>
      </w:r>
      <w:r>
        <w:rPr/>
        <w:t>构建董事会重大事项决策职权及经理层经营自主权的权责清单，</w:t>
      </w:r>
      <w:r>
        <w:rPr>
          <w:spacing w:val="7"/>
        </w:rPr>
        <w:t>落实董事会职权和保障经理层经营自主权。如南网科研院推行</w:t>
      </w:r>
      <w:r>
        <w:rPr>
          <w:spacing w:val="-3"/>
        </w:rPr>
        <w:t>“首席研究员负责制”，以预产出核定投入，向首席研究员</w:t>
      </w:r>
      <w:r>
        <w:rPr>
          <w:spacing w:val="-4"/>
        </w:rPr>
        <w:t>充分</w:t>
      </w:r>
      <w:r>
        <w:rPr>
          <w:spacing w:val="-2"/>
        </w:rPr>
        <w:t>赋能授权，实现团队“自组织”发展。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9" w:firstLine="593"/>
        <w:spacing w:before="97" w:line="251" w:lineRule="auto"/>
        <w:rPr/>
      </w:pPr>
      <w:r>
        <w:rPr>
          <w:spacing w:val="-4"/>
        </w:rPr>
        <w:t>②构建“放权赋能”的国有科技型公司治理模式，优化法人</w:t>
      </w:r>
      <w:r>
        <w:rPr>
          <w:spacing w:val="-11"/>
        </w:rPr>
        <w:t>治理体系。如南网科研院，</w:t>
      </w:r>
      <w:r>
        <w:rPr>
          <w:spacing w:val="68"/>
        </w:rPr>
        <w:t xml:space="preserve"> </w:t>
      </w:r>
      <w:r>
        <w:rPr>
          <w:spacing w:val="-11"/>
        </w:rPr>
        <w:t>构建“</w:t>
      </w:r>
      <w:r>
        <w:rPr>
          <w:rFonts w:ascii="Times New Roman" w:hAnsi="Times New Roman" w:eastAsia="Times New Roman" w:cs="Times New Roman"/>
          <w:spacing w:val="-11"/>
        </w:rPr>
        <w:t>1234</w:t>
      </w:r>
      <w:r>
        <w:rPr>
          <w:spacing w:val="-11"/>
        </w:rPr>
        <w:t>”公司治理模式：以章程</w:t>
      </w:r>
      <w:r>
        <w:rPr>
          <w:spacing w:val="-4"/>
        </w:rPr>
        <w:t>为统领的一套制度体系，抓住“党建领航”和“放权赋能”两个</w:t>
      </w:r>
      <w:r>
        <w:rPr/>
        <w:t>关键，科学配置决策权、管理权、监督权三项权力，使决</w:t>
      </w:r>
      <w:r>
        <w:rPr>
          <w:spacing w:val="-1"/>
        </w:rPr>
        <w:t>策层、</w:t>
      </w:r>
      <w:r>
        <w:rPr>
          <w:spacing w:val="-2"/>
        </w:rPr>
        <w:t>管理层、执行层、监督层四类主体高效协同，形成创新合力。</w:t>
      </w:r>
    </w:p>
    <w:p>
      <w:pPr>
        <w:ind w:left="1658"/>
        <w:spacing w:before="328" w:line="21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1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3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三大能源央企公司治理最佳实践</w:t>
      </w:r>
    </w:p>
    <w:p>
      <w:pPr>
        <w:spacing w:line="214" w:lineRule="auto"/>
        <w:sectPr>
          <w:pgSz w:w="11907" w:h="16839"/>
          <w:pgMar w:top="400" w:right="1691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p>
      <w:pPr>
        <w:rPr/>
      </w:pPr>
      <w:r/>
    </w:p>
    <w:tbl>
      <w:tblPr>
        <w:tblStyle w:val="TableNormal"/>
        <w:tblW w:w="7647" w:type="dxa"/>
        <w:tblInd w:w="58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174"/>
        <w:gridCol w:w="2316"/>
        <w:gridCol w:w="1974"/>
        <w:gridCol w:w="2183"/>
      </w:tblGrid>
      <w:tr>
        <w:trPr>
          <w:trHeight w:val="428" w:hRule="atLeast"/>
        </w:trPr>
        <w:tc>
          <w:tcPr>
            <w:shd w:val="clear" w:fill="DAE3F3"/>
            <w:tcW w:w="11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AE3F3"/>
            <w:tcW w:w="2316" w:type="dxa"/>
            <w:vAlign w:val="top"/>
          </w:tcPr>
          <w:p>
            <w:pPr>
              <w:pStyle w:val="TableText"/>
              <w:ind w:left="521"/>
              <w:spacing w:before="106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南网数字集团</w:t>
            </w:r>
          </w:p>
        </w:tc>
        <w:tc>
          <w:tcPr>
            <w:shd w:val="clear" w:fill="DAE3F3"/>
            <w:tcW w:w="1974" w:type="dxa"/>
            <w:vAlign w:val="top"/>
          </w:tcPr>
          <w:p>
            <w:pPr>
              <w:pStyle w:val="TableText"/>
              <w:ind w:left="461"/>
              <w:spacing w:before="106" w:line="22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南网科研院</w:t>
            </w:r>
          </w:p>
        </w:tc>
        <w:tc>
          <w:tcPr>
            <w:shd w:val="clear" w:fill="DAE3F3"/>
            <w:tcW w:w="2183" w:type="dxa"/>
            <w:vAlign w:val="top"/>
          </w:tcPr>
          <w:p>
            <w:pPr>
              <w:pStyle w:val="TableText"/>
              <w:ind w:left="565"/>
              <w:spacing w:before="106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西安热工院</w:t>
            </w:r>
          </w:p>
        </w:tc>
      </w:tr>
      <w:tr>
        <w:trPr>
          <w:trHeight w:val="563" w:hRule="atLeast"/>
        </w:trPr>
        <w:tc>
          <w:tcPr>
            <w:shd w:val="clear" w:fill="DAE3F3"/>
            <w:tcW w:w="1174" w:type="dxa"/>
            <w:vAlign w:val="top"/>
          </w:tcPr>
          <w:p>
            <w:pPr>
              <w:pStyle w:val="TableText"/>
              <w:ind w:left="158"/>
              <w:spacing w:before="177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2"/>
              </w:rPr>
              <w:t>组织保障</w:t>
            </w:r>
          </w:p>
        </w:tc>
        <w:tc>
          <w:tcPr>
            <w:tcW w:w="2316" w:type="dxa"/>
            <w:vAlign w:val="top"/>
          </w:tcPr>
          <w:p>
            <w:pPr>
              <w:pStyle w:val="TableText"/>
              <w:ind w:left="102" w:right="93" w:hanging="6"/>
              <w:spacing w:before="55" w:line="27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4"/>
              </w:rPr>
              <w:t>“一把手</w:t>
            </w:r>
            <w:r>
              <w:rPr>
                <w:sz w:val="17"/>
                <w:szCs w:val="17"/>
                <w:spacing w:val="-53"/>
              </w:rPr>
              <w:t xml:space="preserve"> </w:t>
            </w:r>
            <w:r>
              <w:rPr>
                <w:sz w:val="17"/>
                <w:szCs w:val="17"/>
                <w:spacing w:val="4"/>
              </w:rPr>
              <w:t>”挂帅，并专门设</w:t>
            </w:r>
            <w:r>
              <w:rPr>
                <w:sz w:val="17"/>
                <w:szCs w:val="17"/>
                <w:spacing w:val="8"/>
              </w:rPr>
              <w:t>置科技创新委员会</w:t>
            </w:r>
          </w:p>
        </w:tc>
        <w:tc>
          <w:tcPr>
            <w:tcW w:w="197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13" w:right="98" w:hanging="3"/>
              <w:spacing w:before="55" w:line="27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6"/>
              </w:rPr>
              <w:t>成立“科改行动</w:t>
            </w:r>
            <w:r>
              <w:rPr>
                <w:sz w:val="17"/>
                <w:szCs w:val="17"/>
                <w:spacing w:val="-54"/>
              </w:rPr>
              <w:t xml:space="preserve"> </w:t>
            </w:r>
            <w:r>
              <w:rPr>
                <w:sz w:val="17"/>
                <w:szCs w:val="17"/>
                <w:spacing w:val="6"/>
              </w:rPr>
              <w:t>”改革领</w:t>
            </w:r>
            <w:r>
              <w:rPr>
                <w:sz w:val="17"/>
                <w:szCs w:val="17"/>
                <w:spacing w:val="8"/>
              </w:rPr>
              <w:t>导小组机专项工作小组</w:t>
            </w:r>
          </w:p>
        </w:tc>
      </w:tr>
      <w:tr>
        <w:trPr>
          <w:trHeight w:val="1402" w:hRule="atLeast"/>
        </w:trPr>
        <w:tc>
          <w:tcPr>
            <w:shd w:val="clear" w:fill="DAE3F3"/>
            <w:tcW w:w="117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spacing w:line="26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69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权责清单</w:t>
            </w:r>
          </w:p>
        </w:tc>
        <w:tc>
          <w:tcPr>
            <w:tcW w:w="2316" w:type="dxa"/>
            <w:vAlign w:val="top"/>
          </w:tcPr>
          <w:p>
            <w:pPr>
              <w:pStyle w:val="TableText"/>
              <w:ind w:left="103" w:right="160"/>
              <w:spacing w:before="52" w:line="2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9"/>
              </w:rPr>
              <w:t>全面推广“科学家进董事</w:t>
            </w:r>
            <w:r>
              <w:rPr>
                <w:sz w:val="17"/>
                <w:szCs w:val="17"/>
                <w:spacing w:val="-2"/>
              </w:rPr>
              <w:t>会</w:t>
            </w:r>
            <w:r>
              <w:rPr>
                <w:sz w:val="17"/>
                <w:szCs w:val="17"/>
                <w:spacing w:val="-55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”，构建《治理主体权责</w:t>
            </w:r>
            <w:r>
              <w:rPr>
                <w:sz w:val="17"/>
                <w:szCs w:val="17"/>
                <w:spacing w:val="-1"/>
              </w:rPr>
              <w:t>清单》、法定事项不授权、</w:t>
            </w:r>
            <w:r>
              <w:rPr>
                <w:sz w:val="17"/>
                <w:szCs w:val="17"/>
                <w:spacing w:val="9"/>
              </w:rPr>
              <w:t>对于授权的非法定事项一</w:t>
            </w:r>
            <w:r>
              <w:rPr>
                <w:sz w:val="17"/>
                <w:szCs w:val="17"/>
                <w:spacing w:val="5"/>
              </w:rPr>
              <w:t>般不再前置研究讨论。</w:t>
            </w:r>
          </w:p>
        </w:tc>
        <w:tc>
          <w:tcPr>
            <w:tcW w:w="1974" w:type="dxa"/>
            <w:vAlign w:val="top"/>
          </w:tcPr>
          <w:p>
            <w:pPr>
              <w:pStyle w:val="TableText"/>
              <w:ind w:left="105" w:right="90" w:firstLine="1"/>
              <w:spacing w:before="52" w:line="2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7"/>
              </w:rPr>
              <w:t>制定《各治理主体权责</w:t>
            </w:r>
            <w:r>
              <w:rPr>
                <w:sz w:val="17"/>
                <w:szCs w:val="17"/>
                <w:spacing w:val="-1"/>
              </w:rPr>
              <w:t>清单和授权清单》，党</w:t>
            </w:r>
            <w:r>
              <w:rPr>
                <w:sz w:val="17"/>
                <w:szCs w:val="17"/>
                <w:spacing w:val="8"/>
              </w:rPr>
              <w:t>委前置研究“把关定</w:t>
            </w:r>
            <w:r>
              <w:rPr>
                <w:sz w:val="17"/>
                <w:szCs w:val="17"/>
                <w:spacing w:val="2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向</w:t>
            </w:r>
            <w:r>
              <w:rPr>
                <w:sz w:val="17"/>
                <w:szCs w:val="17"/>
                <w:spacing w:val="-54"/>
              </w:rPr>
              <w:t xml:space="preserve"> </w:t>
            </w:r>
            <w:r>
              <w:rPr>
                <w:sz w:val="17"/>
                <w:szCs w:val="17"/>
                <w:spacing w:val="-4"/>
              </w:rPr>
              <w:t>”，董事会科学决策</w:t>
            </w:r>
            <w:r>
              <w:rPr>
                <w:sz w:val="17"/>
                <w:szCs w:val="17"/>
                <w:spacing w:val="2"/>
              </w:rPr>
              <w:t>规范授权。</w:t>
            </w:r>
          </w:p>
        </w:tc>
        <w:tc>
          <w:tcPr>
            <w:tcW w:w="2183" w:type="dxa"/>
            <w:vAlign w:val="top"/>
          </w:tcPr>
          <w:p>
            <w:pPr>
              <w:pStyle w:val="TableText"/>
              <w:ind w:left="109"/>
              <w:spacing w:before="54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把党的领导融入公司治</w:t>
            </w:r>
          </w:p>
          <w:p>
            <w:pPr>
              <w:pStyle w:val="TableText"/>
              <w:ind w:left="110" w:right="30" w:firstLine="1"/>
              <w:spacing w:before="66" w:line="30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4"/>
              </w:rPr>
              <w:t>理，修订《党委议事规则》，</w:t>
            </w:r>
            <w:r>
              <w:rPr>
                <w:sz w:val="17"/>
                <w:szCs w:val="17"/>
                <w:spacing w:val="-1"/>
              </w:rPr>
              <w:t>夯实党委把方向、管大局、</w:t>
            </w:r>
            <w:r>
              <w:rPr>
                <w:sz w:val="17"/>
                <w:szCs w:val="17"/>
                <w:spacing w:val="5"/>
              </w:rPr>
              <w:t>保落实的领导地位。</w:t>
            </w:r>
          </w:p>
        </w:tc>
      </w:tr>
      <w:tr>
        <w:trPr>
          <w:trHeight w:val="427" w:hRule="atLeast"/>
        </w:trPr>
        <w:tc>
          <w:tcPr>
            <w:shd w:val="clear" w:fill="DAE3F3"/>
            <w:tcW w:w="1174" w:type="dxa"/>
            <w:vAlign w:val="top"/>
          </w:tcPr>
          <w:p>
            <w:pPr>
              <w:pStyle w:val="TableText"/>
              <w:ind w:left="156"/>
              <w:spacing w:before="110" w:line="22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放权赋能</w:t>
            </w:r>
          </w:p>
        </w:tc>
        <w:tc>
          <w:tcPr>
            <w:tcW w:w="23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74" w:type="dxa"/>
            <w:vAlign w:val="top"/>
          </w:tcPr>
          <w:p>
            <w:pPr>
              <w:pStyle w:val="TableText"/>
              <w:ind w:left="109"/>
              <w:spacing w:before="60" w:line="23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8"/>
              </w:rPr>
              <w:t>首席研究员负责制</w:t>
            </w:r>
          </w:p>
        </w:tc>
        <w:tc>
          <w:tcPr>
            <w:tcW w:w="2183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624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．持续加大研发投入，强化技术自主创新</w:t>
      </w:r>
    </w:p>
    <w:p>
      <w:pPr>
        <w:pStyle w:val="BodyText"/>
        <w:ind w:left="25" w:right="13" w:firstLine="612"/>
        <w:spacing w:before="323" w:line="259" w:lineRule="auto"/>
        <w:jc w:val="both"/>
        <w:rPr/>
      </w:pPr>
      <w:r>
        <w:rPr>
          <w:spacing w:val="-5"/>
        </w:rPr>
        <w:t>能源央企需瞄准国家战略需求，持续加大研发投入，加强关</w:t>
      </w:r>
      <w:r>
        <w:rPr>
          <w:spacing w:val="-9"/>
        </w:rPr>
        <w:t>键核心技术攻关，实现科技成果转化。同时， 针对行业领域突出</w:t>
      </w:r>
      <w:r>
        <w:rPr>
          <w:spacing w:val="-4"/>
        </w:rPr>
        <w:t>的共性问题设立创新联合项目，与高校、科研院所、行业头部公</w:t>
      </w:r>
      <w:r>
        <w:rPr>
          <w:spacing w:val="-5"/>
        </w:rPr>
        <w:t>司联合开展攻关研究。</w:t>
      </w:r>
    </w:p>
    <w:p>
      <w:pPr>
        <w:ind w:left="1358"/>
        <w:spacing w:before="259" w:line="217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0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4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三大能源央企自主创新相关指标统计</w:t>
      </w:r>
    </w:p>
    <w:p>
      <w:pPr>
        <w:ind w:right="5"/>
        <w:spacing w:before="99" w:line="218" w:lineRule="auto"/>
        <w:jc w:val="right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注：统计截至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2022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年底，专利数为</w:t>
      </w:r>
      <w:r>
        <w:rPr>
          <w:rFonts w:ascii="FangSong" w:hAnsi="FangSong" w:eastAsia="FangSong" w:cs="FangSong"/>
          <w:sz w:val="24"/>
          <w:szCs w:val="24"/>
          <w:spacing w:val="-4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2020～2022</w:t>
      </w:r>
      <w:r>
        <w:rPr>
          <w:rFonts w:ascii="FangSong" w:hAnsi="FangSong" w:eastAsia="FangSong" w:cs="FangSong"/>
          <w:sz w:val="24"/>
          <w:szCs w:val="24"/>
          <w:spacing w:val="-39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年数据</w:t>
      </w:r>
    </w:p>
    <w:p>
      <w:pPr>
        <w:spacing w:line="169" w:lineRule="exact"/>
        <w:rPr/>
      </w:pPr>
      <w:r/>
    </w:p>
    <w:tbl>
      <w:tblPr>
        <w:tblStyle w:val="TableNormal"/>
        <w:tblW w:w="7387" w:type="dxa"/>
        <w:tblInd w:w="476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516"/>
        <w:gridCol w:w="1684"/>
        <w:gridCol w:w="2165"/>
        <w:gridCol w:w="2022"/>
      </w:tblGrid>
      <w:tr>
        <w:trPr>
          <w:trHeight w:val="413" w:hRule="atLeast"/>
        </w:trPr>
        <w:tc>
          <w:tcPr>
            <w:shd w:val="clear" w:fill="DAE3F3"/>
            <w:tcW w:w="1516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AE3F3"/>
            <w:tcW w:w="1684" w:type="dxa"/>
            <w:vAlign w:val="top"/>
          </w:tcPr>
          <w:p>
            <w:pPr>
              <w:pStyle w:val="TableText"/>
              <w:ind w:left="225"/>
              <w:spacing w:before="102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南网数字集团</w:t>
            </w:r>
          </w:p>
        </w:tc>
        <w:tc>
          <w:tcPr>
            <w:shd w:val="clear" w:fill="DAE3F3"/>
            <w:tcW w:w="2165" w:type="dxa"/>
            <w:vAlign w:val="top"/>
          </w:tcPr>
          <w:p>
            <w:pPr>
              <w:pStyle w:val="TableText"/>
              <w:ind w:left="573"/>
              <w:spacing w:before="101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南网科研院</w:t>
            </w:r>
          </w:p>
        </w:tc>
        <w:tc>
          <w:tcPr>
            <w:shd w:val="clear" w:fill="DAE3F3"/>
            <w:tcW w:w="2022" w:type="dxa"/>
            <w:vAlign w:val="top"/>
          </w:tcPr>
          <w:p>
            <w:pPr>
              <w:pStyle w:val="TableText"/>
              <w:ind w:left="502"/>
              <w:spacing w:before="102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西安热工院</w:t>
            </w:r>
          </w:p>
        </w:tc>
      </w:tr>
      <w:tr>
        <w:trPr>
          <w:trHeight w:val="814" w:hRule="atLeast"/>
        </w:trPr>
        <w:tc>
          <w:tcPr>
            <w:shd w:val="clear" w:fill="DAE3F3"/>
            <w:tcW w:w="1516" w:type="dxa"/>
            <w:vAlign w:val="top"/>
          </w:tcPr>
          <w:p>
            <w:pPr>
              <w:pStyle w:val="TableText"/>
              <w:ind w:left="133"/>
              <w:spacing w:before="300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研发投入占比</w:t>
            </w:r>
          </w:p>
        </w:tc>
        <w:tc>
          <w:tcPr>
            <w:tcW w:w="1684" w:type="dxa"/>
            <w:vAlign w:val="top"/>
          </w:tcPr>
          <w:p>
            <w:pPr>
              <w:pStyle w:val="TableText"/>
              <w:ind w:left="118" w:right="153" w:hanging="16"/>
              <w:spacing w:before="182" w:line="299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2021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年研发投入占</w:t>
            </w:r>
            <w:r>
              <w:rPr>
                <w:sz w:val="17"/>
                <w:szCs w:val="17"/>
                <w:spacing w:val="-5"/>
              </w:rPr>
              <w:t>比</w:t>
            </w:r>
            <w:r>
              <w:rPr>
                <w:sz w:val="17"/>
                <w:szCs w:val="17"/>
                <w:spacing w:val="-19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13.61%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101" w:right="114" w:firstLine="1"/>
              <w:spacing w:before="52" w:line="272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2023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年南方电网科技研发</w:t>
            </w:r>
            <w:r>
              <w:rPr>
                <w:sz w:val="17"/>
                <w:szCs w:val="17"/>
              </w:rPr>
              <w:t>投入超</w:t>
            </w:r>
            <w:r>
              <w:rPr>
                <w:sz w:val="17"/>
                <w:szCs w:val="17"/>
                <w:spacing w:val="-21"/>
              </w:rPr>
              <w:t xml:space="preserve"> </w:t>
            </w:r>
            <w:r>
              <w:rPr>
                <w:sz w:val="17"/>
                <w:szCs w:val="17"/>
              </w:rPr>
              <w:t>110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</w:rPr>
              <w:t>亿元，同比增</w:t>
            </w:r>
            <w:r>
              <w:rPr>
                <w:sz w:val="17"/>
                <w:szCs w:val="17"/>
                <w:spacing w:val="-1"/>
              </w:rPr>
              <w:t>长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6.7%。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105" w:right="86" w:firstLine="2"/>
              <w:spacing w:before="52" w:line="272" w:lineRule="auto"/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2020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年研发投入同比增</w:t>
            </w:r>
            <w:r>
              <w:rPr>
                <w:sz w:val="17"/>
                <w:szCs w:val="17"/>
                <w:spacing w:val="-5"/>
              </w:rPr>
              <w:t>长</w:t>
            </w:r>
            <w:r>
              <w:rPr>
                <w:sz w:val="17"/>
                <w:szCs w:val="17"/>
                <w:spacing w:val="-22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34.5%；2021</w:t>
            </w:r>
            <w:r>
              <w:rPr>
                <w:sz w:val="17"/>
                <w:szCs w:val="17"/>
                <w:spacing w:val="-34"/>
              </w:rPr>
              <w:t xml:space="preserve"> </w:t>
            </w:r>
            <w:r>
              <w:rPr>
                <w:sz w:val="17"/>
                <w:szCs w:val="17"/>
                <w:spacing w:val="-5"/>
              </w:rPr>
              <w:t>年研发投</w:t>
            </w:r>
            <w:r>
              <w:rPr>
                <w:sz w:val="17"/>
                <w:szCs w:val="17"/>
                <w:spacing w:val="1"/>
              </w:rPr>
              <w:t>入预算同比增加</w:t>
            </w:r>
            <w:r>
              <w:rPr>
                <w:sz w:val="17"/>
                <w:szCs w:val="17"/>
                <w:spacing w:val="-25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50.32%</w:t>
            </w:r>
          </w:p>
        </w:tc>
      </w:tr>
      <w:tr>
        <w:trPr>
          <w:trHeight w:val="408" w:hRule="atLeast"/>
        </w:trPr>
        <w:tc>
          <w:tcPr>
            <w:shd w:val="clear" w:fill="DAE3F3"/>
            <w:tcW w:w="1516" w:type="dxa"/>
            <w:vAlign w:val="top"/>
          </w:tcPr>
          <w:p>
            <w:pPr>
              <w:pStyle w:val="TableText"/>
              <w:ind w:left="133"/>
              <w:spacing w:before="96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研发人员占比</w:t>
            </w:r>
          </w:p>
        </w:tc>
        <w:tc>
          <w:tcPr>
            <w:tcW w:w="1684" w:type="dxa"/>
            <w:vAlign w:val="top"/>
          </w:tcPr>
          <w:p>
            <w:pPr>
              <w:pStyle w:val="TableText"/>
              <w:ind w:left="717"/>
              <w:spacing w:before="117" w:line="22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85%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960"/>
              <w:spacing w:before="117" w:line="225" w:lineRule="exact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  <w:position w:val="1"/>
              </w:rPr>
              <w:t>85%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722"/>
              <w:spacing w:before="118" w:line="22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85%以上</w:t>
            </w:r>
          </w:p>
        </w:tc>
      </w:tr>
      <w:tr>
        <w:trPr>
          <w:trHeight w:val="409" w:hRule="atLeast"/>
        </w:trPr>
        <w:tc>
          <w:tcPr>
            <w:shd w:val="clear" w:fill="DAE3F3"/>
            <w:tcW w:w="1516" w:type="dxa"/>
            <w:vAlign w:val="top"/>
          </w:tcPr>
          <w:p>
            <w:pPr>
              <w:pStyle w:val="TableText"/>
              <w:ind w:left="446"/>
              <w:spacing w:before="100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专利数</w:t>
            </w:r>
          </w:p>
        </w:tc>
        <w:tc>
          <w:tcPr>
            <w:tcW w:w="1684" w:type="dxa"/>
            <w:vAlign w:val="top"/>
          </w:tcPr>
          <w:p>
            <w:pPr>
              <w:pStyle w:val="TableText"/>
              <w:ind w:left="499"/>
              <w:spacing w:before="121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超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270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项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698"/>
              <w:spacing w:before="121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超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3400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项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634"/>
              <w:spacing w:before="121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超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6600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项</w:t>
            </w:r>
          </w:p>
        </w:tc>
      </w:tr>
      <w:tr>
        <w:trPr>
          <w:trHeight w:val="544" w:hRule="atLeast"/>
        </w:trPr>
        <w:tc>
          <w:tcPr>
            <w:shd w:val="clear" w:fill="DAE3F3"/>
            <w:tcW w:w="1516" w:type="dxa"/>
            <w:vAlign w:val="top"/>
          </w:tcPr>
          <w:p>
            <w:pPr>
              <w:pStyle w:val="TableText"/>
              <w:ind w:left="446"/>
              <w:spacing w:before="171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5"/>
              </w:rPr>
              <w:t>标准数</w:t>
            </w:r>
          </w:p>
        </w:tc>
        <w:tc>
          <w:tcPr>
            <w:tcW w:w="1684" w:type="dxa"/>
            <w:vAlign w:val="top"/>
          </w:tcPr>
          <w:p>
            <w:pPr>
              <w:pStyle w:val="TableText"/>
              <w:ind w:left="283" w:right="83" w:hanging="182"/>
              <w:spacing w:before="53" w:line="26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5"/>
              </w:rPr>
              <w:t>主导、参与国际、国</w:t>
            </w:r>
            <w:r>
              <w:rPr>
                <w:sz w:val="17"/>
                <w:szCs w:val="17"/>
                <w:spacing w:val="-1"/>
              </w:rPr>
              <w:t>家标准超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30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项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564"/>
              <w:spacing w:before="54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18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项国际标准</w:t>
            </w:r>
          </w:p>
          <w:p>
            <w:pPr>
              <w:pStyle w:val="TableText"/>
              <w:ind w:left="521"/>
              <w:spacing w:before="6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117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项国家标准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521"/>
              <w:spacing w:before="184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3"/>
              </w:rPr>
              <w:t>国际标准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6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3"/>
              </w:rPr>
              <w:t>项</w:t>
            </w:r>
          </w:p>
        </w:tc>
      </w:tr>
      <w:tr>
        <w:trPr>
          <w:trHeight w:val="1354" w:hRule="atLeast"/>
        </w:trPr>
        <w:tc>
          <w:tcPr>
            <w:shd w:val="clear" w:fill="DAE3F3"/>
            <w:tcW w:w="1516" w:type="dxa"/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spacing w:line="25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1"/>
              <w:spacing w:before="65" w:line="227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科技奖励</w:t>
            </w:r>
          </w:p>
        </w:tc>
        <w:tc>
          <w:tcPr>
            <w:tcW w:w="1684" w:type="dxa"/>
            <w:vAlign w:val="top"/>
          </w:tcPr>
          <w:p>
            <w:pPr>
              <w:spacing w:line="26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89" w:right="119" w:hanging="441"/>
              <w:spacing w:before="56" w:line="30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16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项省部级、行业</w:t>
            </w:r>
            <w:r>
              <w:rPr>
                <w:sz w:val="17"/>
                <w:szCs w:val="17"/>
              </w:rPr>
              <w:t>级奖励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174"/>
              <w:spacing w:before="51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</w:rPr>
              <w:t>项国家科技进步特等奖</w:t>
            </w:r>
          </w:p>
          <w:p>
            <w:pPr>
              <w:pStyle w:val="TableText"/>
              <w:ind w:left="174"/>
              <w:spacing w:before="63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</w:rPr>
              <w:t>项国家科技进步一等奖</w:t>
            </w:r>
          </w:p>
          <w:p>
            <w:pPr>
              <w:pStyle w:val="TableText"/>
              <w:ind w:left="174"/>
              <w:spacing w:before="72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  <w:spacing w:val="-26"/>
              </w:rPr>
              <w:t xml:space="preserve"> </w:t>
            </w:r>
            <w:r>
              <w:rPr>
                <w:sz w:val="17"/>
                <w:szCs w:val="17"/>
              </w:rPr>
              <w:t>项国家科技进步二等奖</w:t>
            </w:r>
          </w:p>
          <w:p>
            <w:pPr>
              <w:pStyle w:val="TableText"/>
              <w:ind w:left="434"/>
              <w:spacing w:before="6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</w:t>
            </w:r>
            <w:r>
              <w:rPr>
                <w:sz w:val="17"/>
                <w:szCs w:val="17"/>
                <w:spacing w:val="-28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项中国专利金奖</w:t>
            </w:r>
          </w:p>
          <w:p>
            <w:pPr>
              <w:pStyle w:val="TableText"/>
              <w:ind w:left="423"/>
              <w:spacing w:before="6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2</w:t>
            </w:r>
            <w:r>
              <w:rPr>
                <w:sz w:val="17"/>
                <w:szCs w:val="17"/>
                <w:spacing w:val="-32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项中国专利银奖</w:t>
            </w:r>
          </w:p>
        </w:tc>
        <w:tc>
          <w:tcPr>
            <w:tcW w:w="2022" w:type="dxa"/>
            <w:vAlign w:val="top"/>
          </w:tcPr>
          <w:p>
            <w:pPr>
              <w:spacing w:line="40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2"/>
              <w:spacing w:before="55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80</w:t>
            </w:r>
            <w:r>
              <w:rPr>
                <w:sz w:val="17"/>
                <w:szCs w:val="17"/>
                <w:spacing w:val="-27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余项国家级科研成果</w:t>
            </w:r>
          </w:p>
          <w:p>
            <w:pPr>
              <w:pStyle w:val="TableText"/>
              <w:ind w:left="940"/>
              <w:spacing w:before="63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奖</w:t>
            </w:r>
          </w:p>
        </w:tc>
      </w:tr>
      <w:tr>
        <w:trPr>
          <w:trHeight w:val="818" w:hRule="atLeast"/>
        </w:trPr>
        <w:tc>
          <w:tcPr>
            <w:shd w:val="clear" w:fill="DAE3F3"/>
            <w:tcW w:w="1516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1"/>
              <w:spacing w:before="65" w:line="228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  <w:spacing w:val="6"/>
              </w:rPr>
              <w:t>创新平台</w:t>
            </w:r>
          </w:p>
        </w:tc>
        <w:tc>
          <w:tcPr>
            <w:tcW w:w="1684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78"/>
              <w:spacing w:before="55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1"/>
              </w:rPr>
              <w:t>1</w:t>
            </w:r>
            <w:r>
              <w:rPr>
                <w:sz w:val="17"/>
                <w:szCs w:val="17"/>
                <w:spacing w:val="-33"/>
              </w:rPr>
              <w:t xml:space="preserve"> </w:t>
            </w:r>
            <w:r>
              <w:rPr>
                <w:sz w:val="17"/>
                <w:szCs w:val="17"/>
                <w:spacing w:val="-1"/>
              </w:rPr>
              <w:t>个省级实验室</w:t>
            </w:r>
          </w:p>
        </w:tc>
        <w:tc>
          <w:tcPr>
            <w:tcW w:w="2165" w:type="dxa"/>
            <w:vAlign w:val="top"/>
          </w:tcPr>
          <w:p>
            <w:pPr>
              <w:pStyle w:val="TableText"/>
              <w:ind w:left="250"/>
              <w:spacing w:before="54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2</w:t>
            </w:r>
            <w:r>
              <w:rPr>
                <w:sz w:val="17"/>
                <w:szCs w:val="17"/>
                <w:spacing w:val="-29"/>
              </w:rPr>
              <w:t xml:space="preserve"> </w:t>
            </w:r>
            <w:r>
              <w:rPr>
                <w:sz w:val="17"/>
                <w:szCs w:val="17"/>
                <w:spacing w:val="1"/>
              </w:rPr>
              <w:t>个国家科技创新基地</w:t>
            </w:r>
          </w:p>
          <w:p>
            <w:pPr>
              <w:pStyle w:val="TableText"/>
              <w:ind w:left="260"/>
              <w:spacing w:before="63" w:line="22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</w:rPr>
              <w:t>个国家能源科技平台</w:t>
            </w:r>
          </w:p>
          <w:p>
            <w:pPr>
              <w:pStyle w:val="TableText"/>
              <w:ind w:left="512"/>
              <w:spacing w:before="72" w:line="22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7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</w:rPr>
              <w:t>个省级实验室</w:t>
            </w:r>
          </w:p>
        </w:tc>
        <w:tc>
          <w:tcPr>
            <w:tcW w:w="2022" w:type="dxa"/>
            <w:vAlign w:val="top"/>
          </w:tcPr>
          <w:p>
            <w:pPr>
              <w:pStyle w:val="TableText"/>
              <w:ind w:left="534" w:right="416" w:hanging="96"/>
              <w:spacing w:before="193" w:line="293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3</w:t>
            </w:r>
            <w:r>
              <w:rPr>
                <w:sz w:val="17"/>
                <w:szCs w:val="17"/>
                <w:spacing w:val="-30"/>
              </w:rPr>
              <w:t xml:space="preserve"> </w:t>
            </w:r>
            <w:r>
              <w:rPr>
                <w:sz w:val="17"/>
                <w:szCs w:val="17"/>
              </w:rPr>
              <w:t>个国家级平台</w:t>
            </w:r>
            <w:r>
              <w:rPr>
                <w:sz w:val="17"/>
                <w:szCs w:val="17"/>
                <w:spacing w:val="-2"/>
              </w:rPr>
              <w:t>1</w:t>
            </w:r>
            <w:r>
              <w:rPr>
                <w:sz w:val="17"/>
                <w:szCs w:val="17"/>
                <w:spacing w:val="-31"/>
              </w:rPr>
              <w:t xml:space="preserve"> </w:t>
            </w:r>
            <w:r>
              <w:rPr>
                <w:sz w:val="17"/>
                <w:szCs w:val="17"/>
                <w:spacing w:val="-2"/>
              </w:rPr>
              <w:t>个省级平台</w:t>
            </w:r>
          </w:p>
        </w:tc>
      </w:tr>
    </w:tbl>
    <w:p>
      <w:pPr>
        <w:spacing w:line="348" w:lineRule="auto"/>
        <w:rPr>
          <w:rFonts w:ascii="Arial"/>
          <w:sz w:val="21"/>
        </w:rPr>
      </w:pPr>
      <w:r/>
    </w:p>
    <w:p>
      <w:pPr>
        <w:pStyle w:val="BodyText"/>
        <w:ind w:left="5" w:right="13" w:firstLine="619"/>
        <w:spacing w:before="98" w:line="260" w:lineRule="auto"/>
        <w:rPr/>
      </w:pPr>
      <w:r>
        <w:rPr>
          <w:spacing w:val="-10"/>
        </w:rPr>
        <w:t>①坚持自主可控，持续投入基础性、前瞻性技术研究， 打通</w:t>
      </w:r>
      <w:r>
        <w:rPr>
          <w:spacing w:val="-3"/>
        </w:rPr>
        <w:t>“产研融合”内循环，加速打造原创技术策源地。如南网数</w:t>
      </w:r>
      <w:r>
        <w:rPr>
          <w:spacing w:val="-4"/>
        </w:rPr>
        <w:t>字集</w:t>
      </w:r>
      <w:r>
        <w:rPr>
          <w:spacing w:val="-13"/>
        </w:rPr>
        <w:t>团研制成功研制“伏羲”系列电力专用主控芯</w:t>
      </w:r>
      <w:r>
        <w:rPr>
          <w:spacing w:val="-14"/>
        </w:rPr>
        <w:t>片，在芯片指令集、</w:t>
      </w:r>
      <w:r>
        <w:rPr/>
        <w:t xml:space="preserve"> </w:t>
      </w:r>
      <w:r>
        <w:rPr>
          <w:rFonts w:ascii="Times New Roman" w:hAnsi="Times New Roman" w:eastAsia="Times New Roman" w:cs="Times New Roman"/>
          <w:spacing w:val="-2"/>
        </w:rPr>
        <w:t>CPU </w:t>
      </w:r>
      <w:r>
        <w:rPr>
          <w:spacing w:val="-2"/>
        </w:rPr>
        <w:t>核等多环节首次实现国产自主可控。</w:t>
      </w:r>
    </w:p>
    <w:p>
      <w:pPr>
        <w:spacing w:line="260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left="5" w:right="13" w:firstLine="618"/>
        <w:spacing w:before="98" w:line="260" w:lineRule="auto"/>
        <w:jc w:val="both"/>
        <w:rPr/>
      </w:pPr>
      <w:r>
        <w:rPr>
          <w:spacing w:val="-4"/>
        </w:rPr>
        <w:t>②以技术装备等产业链建设为抓手，积聚创新链与产业链的</w:t>
      </w:r>
      <w:r>
        <w:rPr>
          <w:spacing w:val="-3"/>
        </w:rPr>
        <w:t>核心要素，建设联合研究院、产业创新中心、成果孵化中心</w:t>
      </w:r>
      <w:r>
        <w:rPr>
          <w:spacing w:val="-4"/>
        </w:rPr>
        <w:t>等技</w:t>
      </w:r>
      <w:r>
        <w:rPr>
          <w:spacing w:val="-3"/>
        </w:rPr>
        <w:t>术创新联合体，打造产业链协同平台，加速核心装备国产化</w:t>
      </w:r>
      <w:r>
        <w:rPr>
          <w:spacing w:val="-4"/>
        </w:rPr>
        <w:t>。如</w:t>
      </w:r>
      <w:r>
        <w:rPr>
          <w:spacing w:val="-3"/>
        </w:rPr>
        <w:t>南网数字集团联合研究机构打造产业链协同平台，加速数字</w:t>
      </w:r>
      <w:r>
        <w:rPr>
          <w:spacing w:val="-4"/>
        </w:rPr>
        <w:t>电网</w:t>
      </w:r>
      <w:r>
        <w:rPr>
          <w:spacing w:val="-2"/>
        </w:rPr>
        <w:t>“云、智、传奇”系列核心装备国产化。</w:t>
      </w:r>
    </w:p>
    <w:p>
      <w:pPr>
        <w:pStyle w:val="BodyText"/>
        <w:ind w:left="627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5</w:t>
      </w:r>
      <w:r>
        <w:rPr>
          <w:b/>
          <w:bCs/>
          <w:spacing w:val="-3"/>
        </w:rPr>
        <w:t>．健全人才激励机制，激发科技创新活力</w:t>
      </w:r>
    </w:p>
    <w:p>
      <w:pPr>
        <w:pStyle w:val="BodyText"/>
        <w:ind w:left="27" w:right="15" w:firstLine="598"/>
        <w:spacing w:before="322" w:line="260" w:lineRule="auto"/>
        <w:jc w:val="both"/>
        <w:rPr/>
      </w:pPr>
      <w:r>
        <w:rPr>
          <w:spacing w:val="-5"/>
        </w:rPr>
        <w:t>推行重大科技创新项目立项方式，开展“揭榜挂帅”，重点</w:t>
      </w:r>
      <w:r>
        <w:rPr>
          <w:spacing w:val="-8"/>
        </w:rPr>
        <w:t>突出差异化薪酬激励、股权激励等多样化正向激励，</w:t>
      </w:r>
      <w:r>
        <w:rPr>
          <w:spacing w:val="-36"/>
        </w:rPr>
        <w:t xml:space="preserve"> </w:t>
      </w:r>
      <w:r>
        <w:rPr>
          <w:spacing w:val="-8"/>
        </w:rPr>
        <w:t>激发科技创</w:t>
      </w:r>
      <w:r>
        <w:rPr>
          <w:spacing w:val="-11"/>
        </w:rPr>
        <w:t>新活力。</w:t>
      </w:r>
    </w:p>
    <w:p>
      <w:pPr>
        <w:ind w:left="1658"/>
        <w:spacing w:before="256" w:line="214" w:lineRule="auto"/>
        <w:outlineLvl w:val="3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-1"/>
        </w:rPr>
        <w:t>表</w:t>
      </w:r>
      <w:r>
        <w:rPr>
          <w:rFonts w:ascii="KaiTi" w:hAnsi="KaiTi" w:eastAsia="KaiTi" w:cs="KaiTi"/>
          <w:sz w:val="30"/>
          <w:szCs w:val="30"/>
          <w:spacing w:val="-62"/>
        </w:rPr>
        <w:t xml:space="preserve"> </w:t>
      </w:r>
      <w:r>
        <w:rPr>
          <w:rFonts w:ascii="KaiTi" w:hAnsi="KaiTi" w:eastAsia="KaiTi" w:cs="KaiTi"/>
          <w:sz w:val="30"/>
          <w:szCs w:val="30"/>
          <w:spacing w:val="-1"/>
        </w:rPr>
        <w:t>5</w:t>
      </w:r>
      <w:r>
        <w:rPr>
          <w:rFonts w:ascii="KaiTi" w:hAnsi="KaiTi" w:eastAsia="KaiTi" w:cs="KaiTi"/>
          <w:sz w:val="30"/>
          <w:szCs w:val="30"/>
          <w:spacing w:val="-1"/>
        </w:rPr>
        <w:t xml:space="preserve">  </w:t>
      </w:r>
      <w:r>
        <w:rPr>
          <w:rFonts w:ascii="KaiTi" w:hAnsi="KaiTi" w:eastAsia="KaiTi" w:cs="KaiTi"/>
          <w:sz w:val="30"/>
          <w:szCs w:val="30"/>
          <w:spacing w:val="-1"/>
        </w:rPr>
        <w:t>三大能源央企人才激励最佳实践</w:t>
      </w:r>
    </w:p>
    <w:p>
      <w:pPr>
        <w:spacing w:before="7"/>
        <w:rPr/>
      </w:pPr>
      <w:r/>
    </w:p>
    <w:tbl>
      <w:tblPr>
        <w:tblStyle w:val="TableNormal"/>
        <w:tblW w:w="7719" w:type="dxa"/>
        <w:tblInd w:w="375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255"/>
        <w:gridCol w:w="1834"/>
        <w:gridCol w:w="2491"/>
        <w:gridCol w:w="2139"/>
      </w:tblGrid>
      <w:tr>
        <w:trPr>
          <w:trHeight w:val="432" w:hRule="atLeast"/>
        </w:trPr>
        <w:tc>
          <w:tcPr>
            <w:shd w:val="clear" w:fill="DAE3F3"/>
            <w:tcW w:w="125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AE3F3"/>
            <w:tcW w:w="1834" w:type="dxa"/>
            <w:vAlign w:val="top"/>
          </w:tcPr>
          <w:p>
            <w:pPr>
              <w:pStyle w:val="TableText"/>
              <w:ind w:left="274"/>
              <w:spacing w:before="107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南网数字集团</w:t>
            </w:r>
          </w:p>
        </w:tc>
        <w:tc>
          <w:tcPr>
            <w:shd w:val="clear" w:fill="DAE3F3"/>
            <w:tcW w:w="2491" w:type="dxa"/>
            <w:vAlign w:val="top"/>
          </w:tcPr>
          <w:p>
            <w:pPr>
              <w:pStyle w:val="TableText"/>
              <w:ind w:left="708"/>
              <w:spacing w:before="106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南网科研院</w:t>
            </w:r>
          </w:p>
        </w:tc>
        <w:tc>
          <w:tcPr>
            <w:shd w:val="clear" w:fill="DAE3F3"/>
            <w:tcW w:w="2139" w:type="dxa"/>
            <w:vAlign w:val="top"/>
          </w:tcPr>
          <w:p>
            <w:pPr>
              <w:pStyle w:val="TableText"/>
              <w:ind w:left="542"/>
              <w:spacing w:before="107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西安热工院</w:t>
            </w:r>
          </w:p>
        </w:tc>
      </w:tr>
      <w:tr>
        <w:trPr>
          <w:trHeight w:val="427" w:hRule="atLeast"/>
        </w:trPr>
        <w:tc>
          <w:tcPr>
            <w:shd w:val="clear" w:fill="DAE3F3"/>
            <w:tcW w:w="1255" w:type="dxa"/>
            <w:vAlign w:val="top"/>
          </w:tcPr>
          <w:p>
            <w:pPr>
              <w:pStyle w:val="TableText"/>
              <w:ind w:left="192"/>
              <w:spacing w:before="105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揭榜挂帅</w:t>
            </w:r>
          </w:p>
        </w:tc>
        <w:tc>
          <w:tcPr>
            <w:tcW w:w="1834" w:type="dxa"/>
            <w:vAlign w:val="top"/>
          </w:tcPr>
          <w:p>
            <w:pPr>
              <w:pStyle w:val="TableText"/>
              <w:ind w:left="836"/>
              <w:spacing w:before="118" w:line="225" w:lineRule="auto"/>
              <w:rPr/>
            </w:pPr>
            <w:r>
              <w:rPr/>
              <w:t>是</w:t>
            </w:r>
          </w:p>
        </w:tc>
        <w:tc>
          <w:tcPr>
            <w:tcW w:w="2491" w:type="dxa"/>
            <w:vAlign w:val="top"/>
          </w:tcPr>
          <w:p>
            <w:pPr>
              <w:pStyle w:val="TableText"/>
              <w:ind w:left="1170"/>
              <w:spacing w:before="118" w:line="225" w:lineRule="auto"/>
              <w:rPr/>
            </w:pPr>
            <w:r>
              <w:rPr/>
              <w:t>是</w:t>
            </w:r>
          </w:p>
        </w:tc>
        <w:tc>
          <w:tcPr>
            <w:tcW w:w="2139" w:type="dxa"/>
            <w:vAlign w:val="top"/>
          </w:tcPr>
          <w:p>
            <w:pPr>
              <w:pStyle w:val="TableText"/>
              <w:ind w:left="992"/>
              <w:spacing w:before="118" w:line="225" w:lineRule="auto"/>
              <w:rPr/>
            </w:pPr>
            <w:r>
              <w:rPr/>
              <w:t>是</w:t>
            </w:r>
          </w:p>
        </w:tc>
      </w:tr>
      <w:tr>
        <w:trPr>
          <w:trHeight w:val="851" w:hRule="atLeast"/>
        </w:trPr>
        <w:tc>
          <w:tcPr>
            <w:shd w:val="clear" w:fill="DAE3F3"/>
            <w:tcW w:w="1255" w:type="dxa"/>
            <w:vAlign w:val="top"/>
          </w:tcPr>
          <w:p>
            <w:pPr>
              <w:pStyle w:val="TableText"/>
              <w:ind w:left="412" w:right="194" w:hanging="219"/>
              <w:spacing w:before="108" w:line="3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科技领军</w:t>
            </w:r>
            <w:r>
              <w:rPr>
                <w:sz w:val="21"/>
                <w:szCs w:val="21"/>
                <w:spacing w:val="2"/>
              </w:rPr>
              <w:t>人才</w:t>
            </w:r>
          </w:p>
        </w:tc>
        <w:tc>
          <w:tcPr>
            <w:tcW w:w="1834" w:type="dxa"/>
            <w:vAlign w:val="top"/>
          </w:tcPr>
          <w:p>
            <w:pPr>
              <w:pStyle w:val="TableText"/>
              <w:ind w:left="99" w:right="96"/>
              <w:spacing w:before="48" w:line="271" w:lineRule="auto"/>
              <w:jc w:val="both"/>
              <w:rPr/>
            </w:pPr>
            <w:r>
              <w:rPr>
                <w:spacing w:val="-2"/>
              </w:rPr>
              <w:t>柔性引进</w:t>
            </w:r>
            <w:r>
              <w:rPr>
                <w:spacing w:val="-31"/>
              </w:rPr>
              <w:t xml:space="preserve"> </w:t>
            </w:r>
            <w:r>
              <w:rPr>
                <w:spacing w:val="-2"/>
              </w:rPr>
              <w:t>2</w:t>
            </w:r>
            <w:r>
              <w:rPr>
                <w:spacing w:val="-38"/>
              </w:rPr>
              <w:t xml:space="preserve"> </w:t>
            </w:r>
            <w:r>
              <w:rPr>
                <w:spacing w:val="-2"/>
              </w:rPr>
              <w:t>个院士团</w:t>
            </w:r>
            <w:r>
              <w:rPr>
                <w:spacing w:val="-5"/>
              </w:rPr>
              <w:t>队，14</w:t>
            </w:r>
            <w:r>
              <w:rPr>
                <w:spacing w:val="-29"/>
              </w:rPr>
              <w:t xml:space="preserve"> </w:t>
            </w:r>
            <w:r>
              <w:rPr>
                <w:spacing w:val="-5"/>
              </w:rPr>
              <w:t>名海内外领军</w:t>
            </w:r>
            <w:r>
              <w:rPr>
                <w:spacing w:val="-2"/>
              </w:rPr>
              <w:t>人才</w:t>
            </w:r>
          </w:p>
        </w:tc>
        <w:tc>
          <w:tcPr>
            <w:tcW w:w="2491" w:type="dxa"/>
            <w:vAlign w:val="top"/>
          </w:tcPr>
          <w:p>
            <w:pPr>
              <w:pStyle w:val="TableText"/>
              <w:ind w:left="105" w:right="92" w:firstLine="2"/>
              <w:spacing w:before="48" w:line="271" w:lineRule="auto"/>
              <w:jc w:val="both"/>
              <w:rPr/>
            </w:pPr>
            <w:r>
              <w:rPr>
                <w:spacing w:val="-1"/>
              </w:rPr>
              <w:t>2</w:t>
            </w:r>
            <w:r>
              <w:rPr>
                <w:spacing w:val="-34"/>
              </w:rPr>
              <w:t xml:space="preserve"> </w:t>
            </w:r>
            <w:r>
              <w:rPr>
                <w:spacing w:val="-1"/>
              </w:rPr>
              <w:t>名中国工程院院士，3</w:t>
            </w:r>
            <w:r>
              <w:rPr>
                <w:spacing w:val="-36"/>
              </w:rPr>
              <w:t xml:space="preserve"> </w:t>
            </w:r>
            <w:r>
              <w:rPr>
                <w:spacing w:val="-1"/>
              </w:rPr>
              <w:t>名国</w:t>
            </w:r>
            <w:r>
              <w:rPr>
                <w:spacing w:val="-2"/>
              </w:rPr>
              <w:t>家级人才、6</w:t>
            </w:r>
            <w:r>
              <w:rPr>
                <w:spacing w:val="-28"/>
              </w:rPr>
              <w:t xml:space="preserve"> </w:t>
            </w:r>
            <w:r>
              <w:rPr>
                <w:spacing w:val="-2"/>
              </w:rPr>
              <w:t>人享受国务院政</w:t>
            </w:r>
            <w:r>
              <w:rPr>
                <w:spacing w:val="-2"/>
              </w:rPr>
              <w:t>府特殊津贴、3</w:t>
            </w:r>
            <w:r>
              <w:rPr>
                <w:spacing w:val="-27"/>
              </w:rPr>
              <w:t xml:space="preserve"> </w:t>
            </w:r>
            <w:r>
              <w:rPr>
                <w:spacing w:val="-2"/>
              </w:rPr>
              <w:t>名省部级人才</w:t>
            </w:r>
          </w:p>
        </w:tc>
        <w:tc>
          <w:tcPr>
            <w:tcW w:w="2139" w:type="dxa"/>
            <w:vAlign w:val="top"/>
          </w:tcPr>
          <w:p>
            <w:pPr>
              <w:pStyle w:val="TableText"/>
              <w:ind w:left="110" w:right="171" w:firstLine="13"/>
              <w:spacing w:before="194" w:line="289" w:lineRule="auto"/>
              <w:rPr/>
            </w:pPr>
            <w:r>
              <w:rPr>
                <w:spacing w:val="-4"/>
              </w:rPr>
              <w:t>16</w:t>
            </w:r>
            <w:r>
              <w:rPr>
                <w:spacing w:val="-33"/>
              </w:rPr>
              <w:t xml:space="preserve"> </w:t>
            </w:r>
            <w:r>
              <w:rPr>
                <w:spacing w:val="-4"/>
              </w:rPr>
              <w:t>名“高精尖</w:t>
            </w:r>
            <w:r>
              <w:rPr>
                <w:spacing w:val="-66"/>
              </w:rPr>
              <w:t xml:space="preserve"> </w:t>
            </w:r>
            <w:r>
              <w:rPr>
                <w:spacing w:val="-4"/>
              </w:rPr>
              <w:t>”领域紧</w:t>
            </w:r>
            <w:r>
              <w:rPr>
                <w:spacing w:val="-1"/>
              </w:rPr>
              <w:t>缺人才</w:t>
            </w:r>
          </w:p>
        </w:tc>
      </w:tr>
      <w:tr>
        <w:trPr>
          <w:trHeight w:val="1133" w:hRule="atLeast"/>
        </w:trPr>
        <w:tc>
          <w:tcPr>
            <w:shd w:val="clear" w:fill="DAE3F3"/>
            <w:tcW w:w="1255" w:type="dxa"/>
            <w:vAlign w:val="top"/>
          </w:tcPr>
          <w:p>
            <w:pPr>
              <w:pStyle w:val="TableText"/>
              <w:ind w:left="415" w:right="302" w:hanging="110"/>
              <w:spacing w:before="248" w:line="3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3"/>
              </w:rPr>
              <w:t>差异化</w:t>
            </w:r>
            <w:r>
              <w:rPr>
                <w:sz w:val="21"/>
                <w:szCs w:val="21"/>
                <w:spacing w:val="1"/>
              </w:rPr>
              <w:t>薪酬</w:t>
            </w:r>
          </w:p>
        </w:tc>
        <w:tc>
          <w:tcPr>
            <w:tcW w:w="1834" w:type="dxa"/>
            <w:vAlign w:val="top"/>
          </w:tcPr>
          <w:p>
            <w:pPr>
              <w:spacing w:line="27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8" w:right="105" w:firstLine="2"/>
              <w:spacing w:before="59" w:line="289" w:lineRule="auto"/>
              <w:rPr/>
            </w:pPr>
            <w:r>
              <w:rPr/>
              <w:t>构建协议制薪酬分配</w:t>
            </w:r>
            <w:r>
              <w:rPr>
                <w:spacing w:val="-7"/>
              </w:rPr>
              <w:t>机制。</w:t>
            </w:r>
          </w:p>
        </w:tc>
        <w:tc>
          <w:tcPr>
            <w:tcW w:w="2491" w:type="dxa"/>
            <w:vAlign w:val="top"/>
          </w:tcPr>
          <w:p>
            <w:pPr>
              <w:pStyle w:val="TableText"/>
              <w:ind w:left="105" w:right="119" w:firstLine="2"/>
              <w:spacing w:before="197" w:line="290" w:lineRule="auto"/>
              <w:jc w:val="both"/>
              <w:rPr/>
            </w:pPr>
            <w:r>
              <w:rPr>
                <w:spacing w:val="-2"/>
              </w:rPr>
              <w:t>构建“</w:t>
            </w:r>
            <w:r>
              <w:rPr>
                <w:spacing w:val="-57"/>
              </w:rPr>
              <w:t xml:space="preserve"> </w:t>
            </w:r>
            <w:r>
              <w:rPr>
                <w:spacing w:val="-2"/>
              </w:rPr>
              <w:t>岗位绩效工资+贡献奖</w:t>
            </w:r>
            <w:r>
              <w:rPr>
                <w:spacing w:val="-2"/>
              </w:rPr>
              <w:t>励奖金+中长期激励</w:t>
            </w:r>
            <w:r>
              <w:rPr>
                <w:spacing w:val="-54"/>
              </w:rPr>
              <w:t xml:space="preserve"> </w:t>
            </w:r>
            <w:r>
              <w:rPr>
                <w:spacing w:val="-2"/>
              </w:rPr>
              <w:t>”全面薪</w:t>
            </w:r>
            <w:r>
              <w:rPr>
                <w:spacing w:val="-4"/>
              </w:rPr>
              <w:t>酬激励体系。</w:t>
            </w:r>
          </w:p>
        </w:tc>
        <w:tc>
          <w:tcPr>
            <w:tcW w:w="2139" w:type="dxa"/>
            <w:vAlign w:val="top"/>
          </w:tcPr>
          <w:p>
            <w:pPr>
              <w:pStyle w:val="TableText"/>
              <w:ind w:left="112" w:right="90" w:hanging="2"/>
              <w:spacing w:before="54" w:line="274" w:lineRule="auto"/>
              <w:jc w:val="both"/>
              <w:rPr/>
            </w:pPr>
            <w:r>
              <w:rPr>
                <w:spacing w:val="-5"/>
              </w:rPr>
              <w:t>根据功能定位，将专业部</w:t>
            </w:r>
            <w:r>
              <w:rPr>
                <w:spacing w:val="-5"/>
              </w:rPr>
              <w:t>门分为研发类、服务类和</w:t>
            </w:r>
            <w:r>
              <w:rPr>
                <w:spacing w:val="-5"/>
              </w:rPr>
              <w:t>综合类，分层分类核定工</w:t>
            </w:r>
            <w:r>
              <w:rPr>
                <w:spacing w:val="-3"/>
              </w:rPr>
              <w:t>资总额和薪酬水平。</w:t>
            </w:r>
          </w:p>
        </w:tc>
      </w:tr>
      <w:tr>
        <w:trPr>
          <w:trHeight w:val="2266" w:hRule="atLeast"/>
        </w:trPr>
        <w:tc>
          <w:tcPr>
            <w:shd w:val="clear" w:fill="DAE3F3"/>
            <w:tcW w:w="1255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3"/>
              <w:spacing w:before="68" w:line="22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5"/>
              </w:rPr>
              <w:t>股权激励</w:t>
            </w:r>
          </w:p>
        </w:tc>
        <w:tc>
          <w:tcPr>
            <w:tcW w:w="1834" w:type="dxa"/>
            <w:vAlign w:val="top"/>
          </w:tcPr>
          <w:p>
            <w:pPr>
              <w:pStyle w:val="TableText"/>
              <w:ind w:left="98" w:right="95"/>
              <w:spacing w:before="56" w:line="282" w:lineRule="auto"/>
              <w:jc w:val="both"/>
              <w:rPr/>
            </w:pPr>
            <w:r>
              <w:rPr/>
              <w:t>面向核心技术骨干的</w:t>
            </w:r>
            <w:r>
              <w:rPr/>
              <w:t>职务科技成果转化分</w:t>
            </w:r>
            <w:r>
              <w:rPr/>
              <w:t>红，知识产权作价入</w:t>
            </w:r>
            <w:r>
              <w:rPr/>
              <w:t>股，在科技项目公司</w:t>
            </w:r>
            <w:r>
              <w:rPr/>
              <w:t>实施跟投，激励兑现</w:t>
            </w:r>
            <w:r>
              <w:rPr>
                <w:spacing w:val="-9"/>
              </w:rPr>
              <w:t>金额超</w:t>
            </w:r>
            <w:r>
              <w:rPr>
                <w:spacing w:val="-34"/>
              </w:rPr>
              <w:t xml:space="preserve"> </w:t>
            </w:r>
            <w:r>
              <w:rPr>
                <w:spacing w:val="-9"/>
              </w:rPr>
              <w:t>3500</w:t>
            </w:r>
            <w:r>
              <w:rPr>
                <w:spacing w:val="-33"/>
              </w:rPr>
              <w:t xml:space="preserve"> </w:t>
            </w:r>
            <w:r>
              <w:rPr>
                <w:spacing w:val="-9"/>
              </w:rPr>
              <w:t>万元，应</w:t>
            </w:r>
            <w:r>
              <w:rPr>
                <w:spacing w:val="-2"/>
              </w:rPr>
              <w:t>用至</w:t>
            </w:r>
            <w:r>
              <w:rPr>
                <w:spacing w:val="-29"/>
              </w:rPr>
              <w:t xml:space="preserve"> </w:t>
            </w:r>
            <w:r>
              <w:rPr>
                <w:spacing w:val="-2"/>
              </w:rPr>
              <w:t>600</w:t>
            </w:r>
            <w:r>
              <w:rPr>
                <w:spacing w:val="-37"/>
              </w:rPr>
              <w:t xml:space="preserve"> </w:t>
            </w:r>
            <w:r>
              <w:rPr>
                <w:spacing w:val="-2"/>
              </w:rPr>
              <w:t>余名核心技</w:t>
            </w:r>
            <w:r>
              <w:rPr>
                <w:spacing w:val="-6"/>
              </w:rPr>
              <w:t>术骨干。</w:t>
            </w:r>
          </w:p>
        </w:tc>
        <w:tc>
          <w:tcPr>
            <w:tcW w:w="2491" w:type="dxa"/>
            <w:vAlign w:val="top"/>
          </w:tcPr>
          <w:p>
            <w:pPr>
              <w:pStyle w:val="TableText"/>
              <w:ind w:left="105" w:right="91" w:firstLine="5"/>
              <w:spacing w:before="192" w:line="292" w:lineRule="auto"/>
              <w:rPr/>
            </w:pPr>
            <w:r>
              <w:rPr>
                <w:spacing w:val="-11"/>
              </w:rPr>
              <w:t>实施“</w:t>
            </w:r>
            <w:r>
              <w:rPr>
                <w:spacing w:val="-64"/>
              </w:rPr>
              <w:t xml:space="preserve"> </w:t>
            </w:r>
            <w:r>
              <w:rPr>
                <w:spacing w:val="-11"/>
              </w:rPr>
              <w:t>岗位分红</w:t>
            </w:r>
            <w:r>
              <w:rPr>
                <w:spacing w:val="-66"/>
              </w:rPr>
              <w:t xml:space="preserve"> </w:t>
            </w:r>
            <w:r>
              <w:rPr>
                <w:spacing w:val="-11"/>
              </w:rPr>
              <w:t>”，以不超过</w:t>
            </w:r>
            <w:r>
              <w:rPr>
                <w:spacing w:val="-2"/>
              </w:rPr>
              <w:t>成果转化收益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30%的额度，激</w:t>
            </w:r>
            <w:r>
              <w:rPr>
                <w:spacing w:val="-2"/>
              </w:rPr>
              <w:t>励不超过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30%的科研人员，将</w:t>
            </w:r>
            <w:r>
              <w:rPr>
                <w:spacing w:val="-4"/>
              </w:rPr>
              <w:t>科研人员贡献的技术创新、成</w:t>
            </w:r>
            <w:r>
              <w:rPr>
                <w:spacing w:val="-5"/>
              </w:rPr>
              <w:t>果价值、经营管理都将纳入分</w:t>
            </w:r>
            <w:r>
              <w:rPr/>
              <w:t>配。累计激励核心科研人员</w:t>
            </w:r>
            <w:r>
              <w:rPr>
                <w:spacing w:val="4"/>
              </w:rPr>
              <w:t xml:space="preserve"> </w:t>
            </w:r>
            <w:r>
              <w:rPr>
                <w:spacing w:val="-5"/>
              </w:rPr>
              <w:t>465</w:t>
            </w:r>
            <w:r>
              <w:rPr>
                <w:spacing w:val="-33"/>
              </w:rPr>
              <w:t xml:space="preserve"> </w:t>
            </w:r>
            <w:r>
              <w:rPr>
                <w:spacing w:val="-5"/>
              </w:rPr>
              <w:t>人次。</w:t>
            </w:r>
          </w:p>
        </w:tc>
        <w:tc>
          <w:tcPr>
            <w:tcW w:w="2139" w:type="dxa"/>
            <w:vAlign w:val="top"/>
          </w:tcPr>
          <w:p>
            <w:pPr>
              <w:pStyle w:val="TableText"/>
              <w:ind w:left="109" w:right="89" w:firstLine="2"/>
              <w:spacing w:before="192" w:line="292" w:lineRule="auto"/>
              <w:rPr/>
            </w:pPr>
            <w:r>
              <w:rPr/>
              <w:t>建立科技成果收益分红</w:t>
            </w:r>
            <w:r>
              <w:rPr>
                <w:spacing w:val="-5"/>
              </w:rPr>
              <w:t>机制。将重要的专利成果</w:t>
            </w:r>
            <w:r>
              <w:rPr>
                <w:spacing w:val="-5"/>
              </w:rPr>
              <w:t>评估作价入股，并将其中</w:t>
            </w:r>
            <w:r>
              <w:rPr/>
              <w:t>20%的股权奖励给核心科</w:t>
            </w:r>
            <w:r>
              <w:rPr>
                <w:spacing w:val="-5"/>
              </w:rPr>
              <w:t>技人员，与科创基金等组</w:t>
            </w:r>
            <w:r>
              <w:rPr>
                <w:spacing w:val="-5"/>
              </w:rPr>
              <w:t>建混合所有制企业，按照</w:t>
            </w:r>
            <w:r>
              <w:rPr>
                <w:spacing w:val="-3"/>
              </w:rPr>
              <w:t>30%分享超额利润。</w:t>
            </w:r>
          </w:p>
        </w:tc>
      </w:tr>
    </w:tbl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26" w:right="12" w:firstLine="598"/>
        <w:spacing w:before="97" w:line="260" w:lineRule="auto"/>
        <w:jc w:val="both"/>
        <w:rPr/>
      </w:pPr>
      <w:r>
        <w:rPr>
          <w:spacing w:val="-4"/>
        </w:rPr>
        <w:t>①实施差异化薪酬激励。如南网数字集团构建协议制薪</w:t>
      </w:r>
      <w:r>
        <w:rPr>
          <w:spacing w:val="-5"/>
        </w:rPr>
        <w:t>酬分</w:t>
      </w:r>
      <w:r>
        <w:rPr>
          <w:spacing w:val="-8"/>
        </w:rPr>
        <w:t>配机制。即按业绩贡献决定薪酬的分配机制，</w:t>
      </w:r>
      <w:r>
        <w:rPr>
          <w:spacing w:val="-35"/>
        </w:rPr>
        <w:t xml:space="preserve"> </w:t>
      </w:r>
      <w:r>
        <w:rPr>
          <w:spacing w:val="-8"/>
        </w:rPr>
        <w:t>薪酬中绩效部分占</w:t>
      </w:r>
      <w:r>
        <w:rPr>
          <w:spacing w:val="-3"/>
        </w:rPr>
        <w:t>比</w:t>
      </w:r>
      <w:r>
        <w:rPr>
          <w:spacing w:val="-4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80%</w:t>
      </w:r>
      <w:r>
        <w:rPr>
          <w:spacing w:val="-3"/>
        </w:rPr>
        <w:t>，实现管理层收入差距倍数超</w:t>
      </w:r>
      <w:r>
        <w:rPr>
          <w:spacing w:val="-6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2.5 </w:t>
      </w:r>
      <w:r>
        <w:rPr>
          <w:spacing w:val="-3"/>
        </w:rPr>
        <w:t>倍、技术岗收入差距倍</w:t>
      </w:r>
      <w:r>
        <w:rPr>
          <w:spacing w:val="-2"/>
        </w:rPr>
        <w:t>数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2.1 </w:t>
      </w:r>
      <w:r>
        <w:rPr>
          <w:spacing w:val="-2"/>
        </w:rPr>
        <w:t>倍。南网科研院构建“岗位绩效</w:t>
      </w:r>
      <w:r>
        <w:rPr>
          <w:spacing w:val="-3"/>
        </w:rPr>
        <w:t>工资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贡献奖励奖金</w:t>
      </w:r>
      <w:r>
        <w:rPr>
          <w:rFonts w:ascii="Times New Roman" w:hAnsi="Times New Roman" w:eastAsia="Times New Roman" w:cs="Times New Roman"/>
          <w:spacing w:val="-3"/>
        </w:rPr>
        <w:t>+</w:t>
      </w:r>
      <w:r>
        <w:rPr>
          <w:spacing w:val="-3"/>
        </w:rPr>
        <w:t>中长</w:t>
      </w:r>
      <w:r>
        <w:rPr>
          <w:spacing w:val="-9"/>
        </w:rPr>
        <w:t>期激励”全面薪酬激励体系。创新使用人才九宫格评价机制， 以</w:t>
      </w:r>
      <w:r>
        <w:rPr>
          <w:spacing w:val="-1"/>
        </w:rPr>
        <w:t>贡献为尺度强制排序划分</w:t>
      </w:r>
      <w:r>
        <w:rPr>
          <w:spacing w:val="-5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ABC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1"/>
        </w:rPr>
        <w:t>三级七档，激励一线核心技术人</w:t>
      </w:r>
      <w:r>
        <w:rPr>
          <w:spacing w:val="-3"/>
        </w:rPr>
        <w:t>员，同层级贡献奖励差距超过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 </w:t>
      </w:r>
      <w:r>
        <w:rPr>
          <w:spacing w:val="-3"/>
        </w:rPr>
        <w:t>倍。</w:t>
      </w:r>
    </w:p>
    <w:p>
      <w:pPr>
        <w:spacing w:line="260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pStyle w:val="BodyText"/>
        <w:ind w:left="25" w:right="13" w:firstLine="598"/>
        <w:spacing w:before="97" w:line="258" w:lineRule="auto"/>
        <w:jc w:val="both"/>
        <w:rPr/>
      </w:pPr>
      <w:r>
        <w:rPr>
          <w:spacing w:val="-4"/>
        </w:rPr>
        <w:t>②创新开展股权激励。如西安热工院与华能科创基金等组建</w:t>
      </w:r>
      <w:r>
        <w:rPr>
          <w:spacing w:val="-4"/>
        </w:rPr>
        <w:t>西热利华公司，西安热工院以化学仪表相关科技成果评估作价入</w:t>
      </w:r>
      <w:r>
        <w:rPr>
          <w:spacing w:val="-5"/>
        </w:rPr>
        <w:t>股，并将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20%</w:t>
      </w:r>
      <w:r>
        <w:rPr>
          <w:spacing w:val="-5"/>
        </w:rPr>
        <w:t>的股权奖励核心科技人员，受奖励人员进入转化企</w:t>
      </w:r>
      <w:r>
        <w:rPr>
          <w:spacing w:val="-3"/>
        </w:rPr>
        <w:t>业，并按照</w:t>
      </w:r>
      <w:r>
        <w:rPr>
          <w:spacing w:val="-2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1:1 </w:t>
      </w:r>
      <w:r>
        <w:rPr>
          <w:spacing w:val="-3"/>
        </w:rPr>
        <w:t>现金出资方式跟投，使科研人员完成了从“技术</w:t>
      </w:r>
      <w:r>
        <w:rPr>
          <w:spacing w:val="-4"/>
        </w:rPr>
        <w:t>民工”向“科技老板”的身份转换。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ind w:left="676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三、中国电信“科改行动”打造标杆的建议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5" w:right="13" w:firstLine="622"/>
        <w:spacing w:before="98" w:line="260" w:lineRule="auto"/>
        <w:jc w:val="both"/>
        <w:rPr/>
      </w:pPr>
      <w:r>
        <w:rPr>
          <w:spacing w:val="-4"/>
        </w:rPr>
        <w:t>新一轮的“科改行动”已经开启，中国电信集团要</w:t>
      </w:r>
      <w:r>
        <w:rPr>
          <w:spacing w:val="-5"/>
        </w:rPr>
        <w:t>统筹推进</w:t>
      </w:r>
      <w:r>
        <w:rPr>
          <w:spacing w:val="-3"/>
        </w:rPr>
        <w:t>“科改行动”标杆企业打造，体现“国家队”的责任与</w:t>
      </w:r>
      <w:r>
        <w:rPr>
          <w:spacing w:val="-4"/>
        </w:rPr>
        <w:t>担当。建</w:t>
      </w:r>
      <w:r>
        <w:rPr>
          <w:spacing w:val="-6"/>
        </w:rPr>
        <w:t>议在以下方面着力：</w:t>
      </w:r>
    </w:p>
    <w:p>
      <w:pPr>
        <w:pStyle w:val="BodyText"/>
        <w:ind w:left="636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</w:t>
      </w:r>
      <w:r>
        <w:rPr>
          <w:b/>
          <w:bCs/>
          <w:spacing w:val="-3"/>
        </w:rPr>
        <w:t>．进一步健全公司治理体系，充分授权放权</w:t>
      </w:r>
    </w:p>
    <w:p>
      <w:pPr>
        <w:pStyle w:val="BodyText"/>
        <w:ind w:left="25" w:right="15" w:firstLine="605"/>
        <w:spacing w:before="318" w:line="260" w:lineRule="auto"/>
        <w:jc w:val="both"/>
        <w:rPr/>
      </w:pPr>
      <w:r>
        <w:rPr>
          <w:spacing w:val="-9"/>
        </w:rPr>
        <w:t>一是引进院士、首席科学家高端专家，</w:t>
      </w:r>
      <w:r>
        <w:rPr>
          <w:spacing w:val="-30"/>
        </w:rPr>
        <w:t xml:space="preserve"> </w:t>
      </w:r>
      <w:r>
        <w:rPr>
          <w:spacing w:val="-9"/>
        </w:rPr>
        <w:t>结合国家战略及公司</w:t>
      </w:r>
      <w:r>
        <w:rPr>
          <w:spacing w:val="-4"/>
        </w:rPr>
        <w:t>发展需求，制定公司技术创新顶层规划；二是梳理企业各层级治</w:t>
      </w:r>
      <w:r>
        <w:rPr>
          <w:spacing w:val="-8"/>
        </w:rPr>
        <w:t>理主体权责清单、前置事项清单，</w:t>
      </w:r>
      <w:r>
        <w:rPr>
          <w:spacing w:val="-34"/>
        </w:rPr>
        <w:t xml:space="preserve"> </w:t>
      </w:r>
      <w:r>
        <w:rPr>
          <w:spacing w:val="-8"/>
        </w:rPr>
        <w:t>落实董事会重大事项决策职权</w:t>
      </w:r>
      <w:r>
        <w:rPr>
          <w:spacing w:val="-5"/>
        </w:rPr>
        <w:t>及经理层经营自主权。</w:t>
      </w:r>
    </w:p>
    <w:p>
      <w:pPr>
        <w:pStyle w:val="BodyText"/>
        <w:ind w:left="624"/>
        <w:spacing w:before="27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．持续加强核心技术攻关，推进成果转化</w:t>
      </w:r>
    </w:p>
    <w:p>
      <w:pPr>
        <w:pStyle w:val="BodyText"/>
        <w:ind w:left="29" w:right="13" w:firstLine="601"/>
        <w:spacing w:before="319" w:line="260" w:lineRule="auto"/>
        <w:jc w:val="both"/>
        <w:rPr/>
      </w:pPr>
      <w:r>
        <w:rPr>
          <w:spacing w:val="-5"/>
        </w:rPr>
        <w:t>一是以“科改行动”为契机，持续强化基础前瞻研究布局和</w:t>
      </w:r>
      <w:r>
        <w:rPr>
          <w:spacing w:val="-4"/>
        </w:rPr>
        <w:t>原创能力建设，加大研发投入力度，统筹内外部创新资源，推动</w:t>
      </w:r>
      <w:r>
        <w:rPr>
          <w:spacing w:val="-4"/>
        </w:rPr>
        <w:t>核心技术攻关，打造原创技术策源地和高质量科技创新平台。二</w:t>
      </w:r>
      <w:r>
        <w:rPr>
          <w:spacing w:val="-3"/>
        </w:rPr>
        <w:t>是建立科技成果作价入股机制，加速科技成果转化。</w:t>
      </w:r>
    </w:p>
    <w:p>
      <w:pPr>
        <w:pStyle w:val="BodyText"/>
        <w:ind w:left="621"/>
        <w:spacing w:before="273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．完善人才激励机制，激发人才活力</w:t>
      </w:r>
    </w:p>
    <w:p>
      <w:pPr>
        <w:pStyle w:val="BodyText"/>
        <w:ind w:left="28" w:right="15" w:firstLine="602"/>
        <w:spacing w:before="319" w:line="260" w:lineRule="auto"/>
        <w:jc w:val="both"/>
        <w:rPr/>
      </w:pPr>
      <w:r>
        <w:rPr>
          <w:spacing w:val="-5"/>
        </w:rPr>
        <w:t>一是变革人才使用机制，构建“重大项目经理负责制”，实</w:t>
      </w:r>
      <w:r>
        <w:rPr>
          <w:spacing w:val="-4"/>
        </w:rPr>
        <w:t>现科研团队“自组织”发展，以机制创新推动科技创新。二是完</w:t>
      </w:r>
      <w:r>
        <w:rPr>
          <w:spacing w:val="-4"/>
        </w:rPr>
        <w:t>善人才激励机制，通过差异化薪酬、股权激励等中长期激励机制</w:t>
      </w:r>
      <w:r>
        <w:rPr>
          <w:spacing w:val="-5"/>
        </w:rPr>
        <w:t>充分激发科技创新活力。</w:t>
      </w:r>
    </w:p>
    <w:p>
      <w:pPr>
        <w:spacing w:line="260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ind w:right="12"/>
        <w:spacing w:before="100" w:line="224" w:lineRule="auto"/>
        <w:outlineLvl w:val="1"/>
        <w:jc w:val="right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</w:rPr>
        <w:t>附录：能源央企所属“科改企业”2022</w:t>
      </w:r>
      <w:r>
        <w:rPr>
          <w:rFonts w:ascii="SimHei" w:hAnsi="SimHei" w:eastAsia="SimHei" w:cs="SimHei"/>
          <w:sz w:val="31"/>
          <w:szCs w:val="31"/>
          <w:spacing w:val="-47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</w:rPr>
        <w:t>年度专项考核结</w:t>
      </w:r>
    </w:p>
    <w:p>
      <w:pPr>
        <w:ind w:left="34"/>
        <w:spacing w:before="46" w:line="226" w:lineRule="auto"/>
        <w:rPr>
          <w:rFonts w:ascii="DengXian" w:hAnsi="DengXian" w:eastAsia="DengXian" w:cs="DengXian"/>
          <w:sz w:val="24"/>
          <w:szCs w:val="24"/>
        </w:rPr>
      </w:pPr>
      <w:r>
        <w:rPr>
          <w:rFonts w:ascii="SimHei" w:hAnsi="SimHei" w:eastAsia="SimHei" w:cs="SimHei"/>
          <w:sz w:val="31"/>
          <w:szCs w:val="31"/>
          <w:b/>
          <w:bCs/>
          <w:spacing w:val="-1"/>
        </w:rPr>
        <w:t>果标杆企业清单</w:t>
      </w:r>
      <w:r>
        <w:rPr>
          <w:rFonts w:ascii="DengXian" w:hAnsi="DengXian" w:eastAsia="DengXian" w:cs="DengXian"/>
          <w:sz w:val="24"/>
          <w:szCs w:val="24"/>
          <w:spacing w:val="-1"/>
        </w:rPr>
        <w:t>（注：企业排序不分先后）</w:t>
      </w:r>
    </w:p>
    <w:p>
      <w:pPr>
        <w:spacing w:before="53"/>
        <w:rPr/>
      </w:pPr>
      <w:r/>
    </w:p>
    <w:p>
      <w:pPr>
        <w:spacing w:before="53"/>
        <w:rPr/>
      </w:pPr>
      <w:r/>
    </w:p>
    <w:tbl>
      <w:tblPr>
        <w:tblStyle w:val="TableNormal"/>
        <w:tblW w:w="5929" w:type="dxa"/>
        <w:tblInd w:w="1283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336"/>
        <w:gridCol w:w="2667"/>
        <w:gridCol w:w="955"/>
        <w:gridCol w:w="675"/>
        <w:gridCol w:w="590"/>
        <w:gridCol w:w="706"/>
      </w:tblGrid>
      <w:tr>
        <w:trPr>
          <w:trHeight w:val="488" w:hRule="atLeast"/>
        </w:trPr>
        <w:tc>
          <w:tcPr>
            <w:shd w:val="clear" w:fill="8EAADB"/>
            <w:tcW w:w="336" w:type="dxa"/>
            <w:vAlign w:val="top"/>
            <w:textDirection w:val="tbRlV"/>
          </w:tcPr>
          <w:p>
            <w:pPr>
              <w:ind w:left="60"/>
              <w:spacing w:before="102" w:line="214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8"/>
              </w:rPr>
              <w:t>序</w:t>
            </w:r>
            <w:r>
              <w:rPr>
                <w:rFonts w:ascii="DengXian" w:hAnsi="DengXian" w:eastAsia="DengXian" w:cs="DengXian"/>
                <w:sz w:val="12"/>
                <w:szCs w:val="12"/>
                <w:spacing w:val="4"/>
              </w:rPr>
              <w:t xml:space="preserve">   </w:t>
            </w:r>
            <w:r>
              <w:rPr>
                <w:rFonts w:ascii="DengXian" w:hAnsi="DengXian" w:eastAsia="DengXian" w:cs="DengXian"/>
                <w:sz w:val="12"/>
                <w:szCs w:val="12"/>
                <w:spacing w:val="8"/>
              </w:rPr>
              <w:t>号</w:t>
            </w:r>
          </w:p>
        </w:tc>
        <w:tc>
          <w:tcPr>
            <w:shd w:val="clear" w:fill="8EAADB"/>
            <w:tcW w:w="2667" w:type="dxa"/>
            <w:vAlign w:val="top"/>
          </w:tcPr>
          <w:p>
            <w:pPr>
              <w:ind w:left="962"/>
              <w:spacing w:before="176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科改企业名称</w:t>
            </w:r>
          </w:p>
        </w:tc>
        <w:tc>
          <w:tcPr>
            <w:shd w:val="clear" w:fill="8EAADB"/>
            <w:tcW w:w="955" w:type="dxa"/>
            <w:vAlign w:val="top"/>
          </w:tcPr>
          <w:p>
            <w:pPr>
              <w:ind w:left="111"/>
              <w:spacing w:before="176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所属央企集团</w:t>
            </w:r>
          </w:p>
        </w:tc>
        <w:tc>
          <w:tcPr>
            <w:shd w:val="clear" w:fill="8EAADB"/>
            <w:tcW w:w="675" w:type="dxa"/>
            <w:vAlign w:val="top"/>
          </w:tcPr>
          <w:p>
            <w:pPr>
              <w:ind w:left="99"/>
              <w:spacing w:before="176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标杆排名</w:t>
            </w:r>
          </w:p>
        </w:tc>
        <w:tc>
          <w:tcPr>
            <w:shd w:val="clear" w:fill="8EAADB"/>
            <w:tcW w:w="590" w:type="dxa"/>
            <w:vAlign w:val="top"/>
          </w:tcPr>
          <w:p>
            <w:pPr>
              <w:ind w:left="119"/>
              <w:spacing w:before="176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标杆率</w:t>
            </w:r>
          </w:p>
        </w:tc>
        <w:tc>
          <w:tcPr>
            <w:shd w:val="clear" w:fill="8EAADB"/>
            <w:tcW w:w="706" w:type="dxa"/>
            <w:vAlign w:val="top"/>
          </w:tcPr>
          <w:p>
            <w:pPr>
              <w:ind w:left="126" w:right="94" w:firstLine="23"/>
              <w:spacing w:before="60" w:line="308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2023 扩</w:t>
            </w:r>
            <w:r>
              <w:rPr>
                <w:rFonts w:ascii="DengXian" w:hAnsi="DengXian" w:eastAsia="DengXian" w:cs="DengXian"/>
                <w:sz w:val="12"/>
                <w:szCs w:val="12"/>
              </w:rPr>
              <w:t>围新增数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ind w:left="137"/>
              <w:spacing w:before="54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53" w:line="232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南方电网数字电网集团有限公司</w:t>
            </w:r>
          </w:p>
        </w:tc>
        <w:tc>
          <w:tcPr>
            <w:tcW w:w="955" w:type="dxa"/>
            <w:vAlign w:val="top"/>
          </w:tcPr>
          <w:p>
            <w:pPr>
              <w:ind w:left="238"/>
              <w:spacing w:before="53" w:line="235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南方电网</w:t>
            </w:r>
          </w:p>
        </w:tc>
        <w:tc>
          <w:tcPr>
            <w:tcW w:w="675" w:type="dxa"/>
            <w:vAlign w:val="top"/>
          </w:tcPr>
          <w:p>
            <w:pPr>
              <w:ind w:left="312"/>
              <w:spacing w:before="54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214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83%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ind w:left="338"/>
              <w:spacing w:before="41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ind w:left="134"/>
              <w:spacing w:before="53" w:line="171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2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53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南方电网科学研究院有限责任公司</w:t>
            </w:r>
          </w:p>
        </w:tc>
        <w:tc>
          <w:tcPr>
            <w:tcW w:w="955" w:type="dxa"/>
            <w:vAlign w:val="top"/>
          </w:tcPr>
          <w:p>
            <w:pPr>
              <w:ind w:left="238"/>
              <w:spacing w:before="53" w:line="235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南方电网</w:t>
            </w:r>
          </w:p>
        </w:tc>
        <w:tc>
          <w:tcPr>
            <w:tcW w:w="675" w:type="dxa"/>
            <w:vAlign w:val="top"/>
          </w:tcPr>
          <w:p>
            <w:pPr>
              <w:ind w:left="308"/>
              <w:spacing w:before="53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3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ind w:left="133"/>
              <w:spacing w:before="60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3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60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南方电网电力科技股份有限公司</w:t>
            </w:r>
          </w:p>
        </w:tc>
        <w:tc>
          <w:tcPr>
            <w:tcW w:w="955" w:type="dxa"/>
            <w:vAlign w:val="top"/>
          </w:tcPr>
          <w:p>
            <w:pPr>
              <w:ind w:left="238"/>
              <w:spacing w:before="60" w:line="235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南方电网</w:t>
            </w:r>
          </w:p>
        </w:tc>
        <w:tc>
          <w:tcPr>
            <w:tcW w:w="675" w:type="dxa"/>
            <w:vAlign w:val="top"/>
          </w:tcPr>
          <w:p>
            <w:pPr>
              <w:ind w:left="309"/>
              <w:spacing w:before="60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9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40"/>
              <w:spacing w:before="60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4</w:t>
            </w:r>
          </w:p>
        </w:tc>
        <w:tc>
          <w:tcPr>
            <w:tcW w:w="2667" w:type="dxa"/>
            <w:vAlign w:val="top"/>
          </w:tcPr>
          <w:p>
            <w:pPr>
              <w:ind w:left="86"/>
              <w:spacing w:before="58" w:line="228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云南电力试验研究院（集团）有限公司</w:t>
            </w:r>
          </w:p>
        </w:tc>
        <w:tc>
          <w:tcPr>
            <w:tcW w:w="955" w:type="dxa"/>
            <w:vAlign w:val="top"/>
          </w:tcPr>
          <w:p>
            <w:pPr>
              <w:ind w:left="238"/>
              <w:spacing w:before="58" w:line="235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南方电网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28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43"/>
              <w:spacing w:before="59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5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58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南方电网储能股份有限公司</w:t>
            </w:r>
          </w:p>
        </w:tc>
        <w:tc>
          <w:tcPr>
            <w:tcW w:w="955" w:type="dxa"/>
            <w:vAlign w:val="top"/>
          </w:tcPr>
          <w:p>
            <w:pPr>
              <w:ind w:left="238"/>
              <w:spacing w:before="57" w:line="235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南方电网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28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41"/>
              <w:spacing w:before="57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6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56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中核第七研究设计院有限公司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55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中核集团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26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ind w:left="213"/>
              <w:spacing w:before="179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33%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ind w:left="338"/>
              <w:spacing w:before="179" w:line="171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43"/>
              <w:spacing w:before="64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7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54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中国核电工程有限公司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54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中核集团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25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41"/>
              <w:spacing w:before="63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8</w:t>
            </w:r>
          </w:p>
        </w:tc>
        <w:tc>
          <w:tcPr>
            <w:tcW w:w="2667" w:type="dxa"/>
            <w:vAlign w:val="top"/>
          </w:tcPr>
          <w:p>
            <w:pPr>
              <w:ind w:left="81"/>
              <w:spacing w:before="62" w:line="230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北京石油机械有限公司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2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中国石油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2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215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57%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389" w:lineRule="auto"/>
              <w:rPr>
                <w:rFonts w:ascii="Arial"/>
                <w:sz w:val="21"/>
              </w:rPr>
            </w:pPr>
            <w:r/>
          </w:p>
          <w:p>
            <w:pPr>
              <w:ind w:left="334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41"/>
              <w:spacing w:before="62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position w:val="1"/>
              </w:rPr>
              <w:t>9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1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中国石油集团工程材料研究院有限公司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1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中国石油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1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1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10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0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中联煤层气国家工程研究中心有限责任公司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0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中国石油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0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1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11</w:t>
            </w:r>
          </w:p>
        </w:tc>
        <w:tc>
          <w:tcPr>
            <w:tcW w:w="2667" w:type="dxa"/>
            <w:vAlign w:val="top"/>
          </w:tcPr>
          <w:p>
            <w:pPr>
              <w:ind w:left="97"/>
              <w:spacing w:before="59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昆仑数智科技有限责任公司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59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中国石油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0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ind w:left="106"/>
              <w:spacing w:before="57" w:line="171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  <w:position w:val="1"/>
              </w:rPr>
              <w:t>12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57" w:line="228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中石化（北京）化工研究院有限公司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57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中国石化</w:t>
            </w:r>
          </w:p>
        </w:tc>
        <w:tc>
          <w:tcPr>
            <w:tcW w:w="675" w:type="dxa"/>
            <w:vAlign w:val="top"/>
          </w:tcPr>
          <w:p>
            <w:pPr>
              <w:ind w:left="309"/>
              <w:spacing w:before="57" w:line="171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7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178"/>
              <w:spacing w:before="40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100%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270" w:lineRule="auto"/>
              <w:rPr>
                <w:rFonts w:ascii="Arial"/>
                <w:sz w:val="21"/>
              </w:rPr>
            </w:pPr>
            <w:r/>
          </w:p>
          <w:p>
            <w:pPr>
              <w:ind w:left="338"/>
              <w:spacing w:before="40" w:line="171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ind w:left="106"/>
              <w:spacing w:before="64" w:line="168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  <w:position w:val="1"/>
              </w:rPr>
              <w:t>13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4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中国石化催化剂有限公司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4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中国石化</w:t>
            </w:r>
          </w:p>
        </w:tc>
        <w:tc>
          <w:tcPr>
            <w:tcW w:w="675" w:type="dxa"/>
            <w:vAlign w:val="top"/>
          </w:tcPr>
          <w:p>
            <w:pPr>
              <w:ind w:left="309"/>
              <w:spacing w:before="64" w:line="168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8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5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14</w:t>
            </w:r>
          </w:p>
        </w:tc>
        <w:tc>
          <w:tcPr>
            <w:tcW w:w="2667" w:type="dxa"/>
            <w:vAlign w:val="top"/>
          </w:tcPr>
          <w:p>
            <w:pPr>
              <w:ind w:left="83"/>
              <w:spacing w:before="63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德州大陆架石油工程技术有限公司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3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中国石化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4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4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15</w:t>
            </w:r>
          </w:p>
        </w:tc>
        <w:tc>
          <w:tcPr>
            <w:tcW w:w="2667" w:type="dxa"/>
            <w:vAlign w:val="top"/>
          </w:tcPr>
          <w:p>
            <w:pPr>
              <w:ind w:left="84"/>
              <w:spacing w:before="63" w:line="228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新源智储能源发展（北京）有限公司</w:t>
            </w:r>
          </w:p>
        </w:tc>
        <w:tc>
          <w:tcPr>
            <w:tcW w:w="955" w:type="dxa"/>
            <w:vAlign w:val="top"/>
          </w:tcPr>
          <w:p>
            <w:pPr>
              <w:ind w:left="245"/>
              <w:spacing w:before="62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国家电投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3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214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75%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ind w:left="334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3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3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16</w:t>
            </w:r>
          </w:p>
        </w:tc>
        <w:tc>
          <w:tcPr>
            <w:tcW w:w="2667" w:type="dxa"/>
            <w:vAlign w:val="top"/>
          </w:tcPr>
          <w:p>
            <w:pPr>
              <w:ind w:left="92"/>
              <w:spacing w:before="61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国家电投集团氢能科技发展有限公司</w:t>
            </w:r>
          </w:p>
        </w:tc>
        <w:tc>
          <w:tcPr>
            <w:tcW w:w="955" w:type="dxa"/>
            <w:vAlign w:val="top"/>
          </w:tcPr>
          <w:p>
            <w:pPr>
              <w:ind w:left="245"/>
              <w:spacing w:before="61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国家电投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2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70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17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1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中能融合智慧科技有限公司</w:t>
            </w:r>
          </w:p>
        </w:tc>
        <w:tc>
          <w:tcPr>
            <w:tcW w:w="955" w:type="dxa"/>
            <w:vAlign w:val="top"/>
          </w:tcPr>
          <w:p>
            <w:pPr>
              <w:ind w:left="245"/>
              <w:spacing w:before="61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国家电投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2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8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18</w:t>
            </w:r>
          </w:p>
        </w:tc>
        <w:tc>
          <w:tcPr>
            <w:tcW w:w="2667" w:type="dxa"/>
            <w:vAlign w:val="top"/>
          </w:tcPr>
          <w:p>
            <w:pPr>
              <w:ind w:left="82"/>
              <w:spacing w:before="67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昊华化工科技集团股份有限公司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7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中国中化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7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214"/>
              <w:spacing w:before="40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75%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ind w:left="334"/>
              <w:spacing w:before="40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8"/>
              <w:spacing w:before="67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  <w:position w:val="1"/>
              </w:rPr>
              <w:t>19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5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中化环境控股有限公司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5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中国中化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5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66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20</w:t>
            </w:r>
          </w:p>
        </w:tc>
        <w:tc>
          <w:tcPr>
            <w:tcW w:w="2667" w:type="dxa"/>
            <w:vAlign w:val="top"/>
          </w:tcPr>
          <w:p>
            <w:pPr>
              <w:ind w:left="83"/>
              <w:spacing w:before="64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沈阳化工研究院有限公司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4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中国中化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5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64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21</w:t>
            </w:r>
          </w:p>
        </w:tc>
        <w:tc>
          <w:tcPr>
            <w:tcW w:w="2667" w:type="dxa"/>
            <w:vAlign w:val="top"/>
          </w:tcPr>
          <w:p>
            <w:pPr>
              <w:ind w:left="92"/>
              <w:spacing w:before="63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国能信控互联技术有限公司</w:t>
            </w:r>
          </w:p>
        </w:tc>
        <w:tc>
          <w:tcPr>
            <w:tcW w:w="955" w:type="dxa"/>
            <w:vAlign w:val="top"/>
          </w:tcPr>
          <w:p>
            <w:pPr>
              <w:ind w:left="121"/>
              <w:spacing w:before="62" w:line="232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国家能源集团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3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</w:tcPr>
          <w:p>
            <w:pPr>
              <w:ind w:left="215"/>
              <w:spacing w:before="62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50%</w:t>
            </w:r>
          </w:p>
        </w:tc>
        <w:tc>
          <w:tcPr>
            <w:tcW w:w="706" w:type="dxa"/>
            <w:vAlign w:val="top"/>
          </w:tcPr>
          <w:p>
            <w:pPr>
              <w:ind w:left="334"/>
              <w:spacing w:before="62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3</w:t>
            </w:r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71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22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62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苏州热工研究院有限公司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1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中国广核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2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</w:tcPr>
          <w:p>
            <w:pPr>
              <w:ind w:left="213"/>
              <w:spacing w:before="61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33%</w:t>
            </w:r>
          </w:p>
        </w:tc>
        <w:tc>
          <w:tcPr>
            <w:tcW w:w="706" w:type="dxa"/>
            <w:vAlign w:val="top"/>
          </w:tcPr>
          <w:p>
            <w:pPr>
              <w:ind w:left="334"/>
              <w:spacing w:before="61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69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23</w:t>
            </w:r>
          </w:p>
        </w:tc>
        <w:tc>
          <w:tcPr>
            <w:tcW w:w="2667" w:type="dxa"/>
            <w:vAlign w:val="top"/>
          </w:tcPr>
          <w:p>
            <w:pPr>
              <w:ind w:left="92"/>
              <w:spacing w:before="68" w:line="230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国电南京自动化股份有限公司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8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中国华电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8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</w:tcPr>
          <w:p>
            <w:pPr>
              <w:ind w:left="178"/>
              <w:spacing w:before="68" w:line="164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100%</w:t>
            </w:r>
          </w:p>
        </w:tc>
        <w:tc>
          <w:tcPr>
            <w:tcW w:w="706" w:type="dxa"/>
            <w:vAlign w:val="top"/>
          </w:tcPr>
          <w:p>
            <w:pPr>
              <w:ind w:left="338"/>
              <w:spacing w:before="68" w:line="164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ind w:left="103"/>
              <w:spacing w:before="66" w:line="168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24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67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西安热工研究院有限公司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7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中国华能</w:t>
            </w:r>
          </w:p>
        </w:tc>
        <w:tc>
          <w:tcPr>
            <w:tcW w:w="675" w:type="dxa"/>
            <w:vAlign w:val="top"/>
          </w:tcPr>
          <w:p>
            <w:pPr>
              <w:ind w:left="310"/>
              <w:spacing w:before="66" w:line="168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5</w:t>
            </w:r>
          </w:p>
        </w:tc>
        <w:tc>
          <w:tcPr>
            <w:tcW w:w="590" w:type="dxa"/>
            <w:vAlign w:val="top"/>
          </w:tcPr>
          <w:p>
            <w:pPr>
              <w:ind w:left="178"/>
              <w:spacing w:before="66" w:line="168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100%</w:t>
            </w:r>
          </w:p>
        </w:tc>
        <w:tc>
          <w:tcPr>
            <w:tcW w:w="706" w:type="dxa"/>
            <w:vAlign w:val="top"/>
          </w:tcPr>
          <w:p>
            <w:pPr>
              <w:ind w:left="334"/>
              <w:spacing w:before="66" w:line="168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66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25</w:t>
            </w:r>
          </w:p>
        </w:tc>
        <w:tc>
          <w:tcPr>
            <w:tcW w:w="2667" w:type="dxa"/>
            <w:vAlign w:val="top"/>
          </w:tcPr>
          <w:p>
            <w:pPr>
              <w:ind w:left="85"/>
              <w:spacing w:before="65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哈电发电设备国家工程研究中心有限公司</w:t>
            </w:r>
          </w:p>
        </w:tc>
        <w:tc>
          <w:tcPr>
            <w:tcW w:w="955" w:type="dxa"/>
            <w:vAlign w:val="top"/>
          </w:tcPr>
          <w:p>
            <w:pPr>
              <w:ind w:left="238"/>
              <w:spacing w:before="65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哈电集团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5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</w:tcPr>
          <w:p>
            <w:pPr>
              <w:ind w:left="215"/>
              <w:spacing w:before="65" w:line="167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50%</w:t>
            </w:r>
          </w:p>
        </w:tc>
        <w:tc>
          <w:tcPr>
            <w:tcW w:w="706" w:type="dxa"/>
            <w:vAlign w:val="top"/>
          </w:tcPr>
          <w:p>
            <w:pPr>
              <w:ind w:left="334"/>
              <w:spacing w:before="65" w:line="167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0</w:t>
            </w:r>
          </w:p>
        </w:tc>
      </w:tr>
      <w:tr>
        <w:trPr>
          <w:trHeight w:val="243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66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26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4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中国电力科学研究院有限公司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5"/>
              <w:spacing w:before="63" w:line="232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国家电网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4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210"/>
              <w:spacing w:before="40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  <w:position w:val="1"/>
              </w:rPr>
              <w:t>43%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ind w:left="334"/>
              <w:spacing w:before="40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3</w:t>
            </w:r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72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27</w:t>
            </w:r>
          </w:p>
        </w:tc>
        <w:tc>
          <w:tcPr>
            <w:tcW w:w="2667" w:type="dxa"/>
            <w:vAlign w:val="top"/>
          </w:tcPr>
          <w:p>
            <w:pPr>
              <w:ind w:left="92"/>
              <w:spacing w:before="63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国网智能科技股份有限公司</w:t>
            </w:r>
          </w:p>
        </w:tc>
        <w:tc>
          <w:tcPr>
            <w:tcW w:w="955" w:type="dxa"/>
            <w:vAlign w:val="top"/>
          </w:tcPr>
          <w:p>
            <w:pPr>
              <w:ind w:left="245"/>
              <w:spacing w:before="63" w:line="232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国家电网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4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71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28</w:t>
            </w:r>
          </w:p>
        </w:tc>
        <w:tc>
          <w:tcPr>
            <w:tcW w:w="2667" w:type="dxa"/>
            <w:vAlign w:val="top"/>
          </w:tcPr>
          <w:p>
            <w:pPr>
              <w:ind w:left="92"/>
              <w:spacing w:before="69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国网智能电网研究院有限公司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5"/>
              <w:spacing w:before="69" w:line="232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国家电网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40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1"/>
              <w:spacing w:before="69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29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7" w:line="230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中国电子工程设计院有限公司</w:t>
            </w:r>
          </w:p>
        </w:tc>
        <w:tc>
          <w:tcPr>
            <w:tcW w:w="955" w:type="dxa"/>
            <w:vAlign w:val="top"/>
          </w:tcPr>
          <w:p>
            <w:pPr>
              <w:ind w:left="368"/>
              <w:spacing w:before="67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</w:rPr>
              <w:t>国投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8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ind w:left="215"/>
              <w:spacing w:before="19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67%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ind w:left="338"/>
              <w:spacing w:before="191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2"/>
              <w:spacing w:before="67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30</w:t>
            </w:r>
          </w:p>
        </w:tc>
        <w:tc>
          <w:tcPr>
            <w:tcW w:w="2667" w:type="dxa"/>
            <w:vAlign w:val="top"/>
          </w:tcPr>
          <w:p>
            <w:pPr>
              <w:ind w:left="81"/>
              <w:spacing w:before="66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3"/>
              </w:rPr>
              <w:t>厦门市美亚柏科信息股份有限公司</w:t>
            </w:r>
          </w:p>
        </w:tc>
        <w:tc>
          <w:tcPr>
            <w:tcW w:w="955" w:type="dxa"/>
            <w:vAlign w:val="top"/>
          </w:tcPr>
          <w:p>
            <w:pPr>
              <w:ind w:left="368"/>
              <w:spacing w:before="65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</w:rPr>
              <w:t>国投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6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2"/>
              <w:spacing w:before="65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31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4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1"/>
              </w:rPr>
              <w:t>中国天辰工程有限公司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3" w:line="231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中国化学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4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</w:tcPr>
          <w:p>
            <w:pPr>
              <w:ind w:left="215"/>
              <w:spacing w:before="64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50%</w:t>
            </w:r>
          </w:p>
        </w:tc>
        <w:tc>
          <w:tcPr>
            <w:tcW w:w="706" w:type="dxa"/>
            <w:vAlign w:val="top"/>
          </w:tcPr>
          <w:p>
            <w:pPr>
              <w:ind w:left="338"/>
              <w:spacing w:before="64" w:line="170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1</w:t>
            </w:r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2"/>
              <w:spacing w:before="71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32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2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中国电建集团贵阳勘测设计研究院有限公司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2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中国电建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2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restart"/>
            <w:tcBorders>
              <w:bottom w:val="nil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ind w:left="215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2"/>
                <w:position w:val="1"/>
              </w:rPr>
              <w:t>50%</w:t>
            </w:r>
          </w:p>
        </w:tc>
        <w:tc>
          <w:tcPr>
            <w:tcW w:w="706" w:type="dxa"/>
            <w:vAlign w:val="top"/>
            <w:vMerge w:val="restart"/>
            <w:tcBorders>
              <w:bottom w:val="nil"/>
            </w:tcBorders>
          </w:tcPr>
          <w:p>
            <w:pPr>
              <w:spacing w:line="397" w:lineRule="auto"/>
              <w:rPr>
                <w:rFonts w:ascii="Arial"/>
                <w:sz w:val="21"/>
              </w:rPr>
            </w:pPr>
            <w:r/>
          </w:p>
          <w:p>
            <w:pPr>
              <w:ind w:left="334"/>
              <w:spacing w:before="41" w:line="169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position w:val="1"/>
              </w:rPr>
              <w:t>0</w:t>
            </w:r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2"/>
              <w:spacing w:before="69"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33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8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中国电建集团西北勘测设计研究院有限公司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8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中国电建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8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4" w:hRule="atLeast"/>
        </w:trPr>
        <w:tc>
          <w:tcPr>
            <w:tcW w:w="336" w:type="dxa"/>
            <w:vAlign w:val="top"/>
          </w:tcPr>
          <w:p>
            <w:pPr>
              <w:pStyle w:val="TableText"/>
              <w:ind w:left="112"/>
              <w:spacing w:before="68" w:line="159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  <w:position w:val="1"/>
              </w:rPr>
              <w:t>34</w:t>
            </w:r>
          </w:p>
        </w:tc>
        <w:tc>
          <w:tcPr>
            <w:tcW w:w="2667" w:type="dxa"/>
            <w:vAlign w:val="top"/>
          </w:tcPr>
          <w:p>
            <w:pPr>
              <w:ind w:left="95"/>
              <w:spacing w:before="66" w:line="229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中国电建集团成都勘测设计研究院有限公司</w:t>
            </w:r>
          </w:p>
        </w:tc>
        <w:tc>
          <w:tcPr>
            <w:tcW w:w="955" w:type="dxa"/>
            <w:vAlign w:val="top"/>
          </w:tcPr>
          <w:p>
            <w:pPr>
              <w:ind w:left="247"/>
              <w:spacing w:before="66" w:line="233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中国电建</w:t>
            </w:r>
          </w:p>
        </w:tc>
        <w:tc>
          <w:tcPr>
            <w:tcW w:w="675" w:type="dxa"/>
            <w:vAlign w:val="top"/>
          </w:tcPr>
          <w:p>
            <w:pPr>
              <w:ind w:left="324"/>
              <w:spacing w:before="137" w:line="75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30" w:hRule="atLeast"/>
        </w:trPr>
        <w:tc>
          <w:tcPr>
            <w:tcW w:w="336" w:type="dxa"/>
            <w:vAlign w:val="top"/>
            <w:tcBorders>
              <w:bottom w:val="nil"/>
            </w:tcBorders>
          </w:tcPr>
          <w:p>
            <w:pPr>
              <w:pStyle w:val="TableText"/>
              <w:ind w:left="112"/>
              <w:spacing w:before="65" w:line="237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35</w:t>
            </w:r>
          </w:p>
        </w:tc>
        <w:tc>
          <w:tcPr>
            <w:tcW w:w="2667" w:type="dxa"/>
            <w:vAlign w:val="top"/>
            <w:tcBorders>
              <w:bottom w:val="nil"/>
            </w:tcBorders>
          </w:tcPr>
          <w:p>
            <w:pPr>
              <w:ind w:left="95"/>
              <w:spacing w:before="64" w:line="230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2"/>
              </w:rPr>
              <w:t>中国电建集团山东电力建设第一工程有限公司</w:t>
            </w:r>
          </w:p>
        </w:tc>
        <w:tc>
          <w:tcPr>
            <w:tcW w:w="955" w:type="dxa"/>
            <w:vAlign w:val="top"/>
            <w:tcBorders>
              <w:bottom w:val="nil"/>
            </w:tcBorders>
          </w:tcPr>
          <w:p>
            <w:pPr>
              <w:ind w:left="247"/>
              <w:spacing w:before="64" w:line="230" w:lineRule="auto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  <w:spacing w:val="-1"/>
              </w:rPr>
              <w:t>中国电建</w:t>
            </w:r>
          </w:p>
        </w:tc>
        <w:tc>
          <w:tcPr>
            <w:tcW w:w="675" w:type="dxa"/>
            <w:vAlign w:val="top"/>
            <w:tcBorders>
              <w:bottom w:val="nil"/>
            </w:tcBorders>
          </w:tcPr>
          <w:p>
            <w:pPr>
              <w:ind w:left="324"/>
              <w:spacing w:before="134" w:line="76" w:lineRule="exact"/>
              <w:rPr>
                <w:rFonts w:ascii="DengXian" w:hAnsi="DengXian" w:eastAsia="DengXian" w:cs="DengXian"/>
                <w:sz w:val="12"/>
                <w:szCs w:val="12"/>
              </w:rPr>
            </w:pPr>
            <w:r>
              <w:rPr>
                <w:rFonts w:ascii="DengXian" w:hAnsi="DengXian" w:eastAsia="DengXian" w:cs="DengXian"/>
                <w:sz w:val="12"/>
                <w:szCs w:val="12"/>
              </w:rPr>
              <w:t>-</w:t>
            </w:r>
          </w:p>
        </w:tc>
        <w:tc>
          <w:tcPr>
            <w:tcW w:w="590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pgSz w:w="11907" w:h="16839"/>
          <w:pgMar w:top="400" w:right="1785" w:bottom="0" w:left="1785" w:header="0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>
        <w:drawing>
          <wp:anchor distT="0" distB="0" distL="0" distR="0" simplePos="0" relativeHeight="251739136" behindDoc="0" locked="0" layoutInCell="1" allowOverlap="1">
            <wp:simplePos x="0" y="0"/>
            <wp:positionH relativeFrom="column">
              <wp:posOffset>77495</wp:posOffset>
            </wp:positionH>
            <wp:positionV relativeFrom="paragraph">
              <wp:posOffset>25186</wp:posOffset>
            </wp:positionV>
            <wp:extent cx="1010411" cy="3861816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10411" cy="386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2161"/>
        <w:spacing w:before="91" w:line="21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邓丽华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【18918006673】</w:t>
      </w:r>
    </w:p>
    <w:p>
      <w:pPr>
        <w:ind w:left="2147" w:right="311" w:firstLine="296"/>
        <w:spacing w:before="119" w:line="22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长期从事价值评估、行业洞察等，近年来专注</w:t>
      </w:r>
      <w:r>
        <w:rPr>
          <w:rFonts w:ascii="KaiTi" w:hAnsi="KaiTi" w:eastAsia="KaiTi" w:cs="KaiTi"/>
          <w:sz w:val="28"/>
          <w:szCs w:val="28"/>
          <w:spacing w:val="-1"/>
        </w:rPr>
        <w:t>产业数字化、数字政府领域。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spacing w:line="319" w:lineRule="auto"/>
        <w:rPr>
          <w:rFonts w:ascii="Arial"/>
          <w:sz w:val="21"/>
        </w:rPr>
      </w:pPr>
      <w:r/>
    </w:p>
    <w:p>
      <w:pPr>
        <w:ind w:left="2177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2"/>
        </w:rPr>
        <w:t>田盼</w:t>
      </w:r>
    </w:p>
    <w:p>
      <w:pPr>
        <w:ind w:left="2174" w:right="311" w:firstLine="269"/>
        <w:spacing w:before="105" w:line="22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2"/>
        </w:rPr>
        <w:t>长期从事行业数字化政策、需求和发展趋势研</w:t>
      </w:r>
      <w:r>
        <w:rPr>
          <w:rFonts w:ascii="KaiTi" w:hAnsi="KaiTi" w:eastAsia="KaiTi" w:cs="KaiTi"/>
          <w:sz w:val="28"/>
          <w:szCs w:val="28"/>
          <w:spacing w:val="-2"/>
        </w:rPr>
        <w:t>究，擅长通过定性和定量结合的方式进行行业研</w:t>
      </w:r>
      <w:r>
        <w:rPr>
          <w:rFonts w:ascii="KaiTi" w:hAnsi="KaiTi" w:eastAsia="KaiTi" w:cs="KaiTi"/>
          <w:sz w:val="28"/>
          <w:szCs w:val="28"/>
          <w:spacing w:val="-17"/>
        </w:rPr>
        <w:t>究。</w:t>
      </w:r>
    </w:p>
    <w:p>
      <w:pPr>
        <w:spacing w:line="443" w:lineRule="auto"/>
        <w:rPr>
          <w:rFonts w:ascii="Arial"/>
          <w:sz w:val="21"/>
        </w:rPr>
      </w:pPr>
      <w:r/>
    </w:p>
    <w:p>
      <w:pPr>
        <w:ind w:left="2170"/>
        <w:spacing w:before="91" w:line="21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9"/>
        </w:rPr>
        <w:t>张云霞</w:t>
      </w:r>
    </w:p>
    <w:p>
      <w:pPr>
        <w:ind w:left="2156" w:right="592" w:firstLine="280"/>
        <w:spacing w:before="116" w:line="229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一级分析师，主要从事数字城市、数字化转</w:t>
      </w:r>
      <w:r>
        <w:rPr>
          <w:rFonts w:ascii="KaiTi" w:hAnsi="KaiTi" w:eastAsia="KaiTi" w:cs="KaiTi"/>
          <w:sz w:val="28"/>
          <w:szCs w:val="28"/>
          <w:spacing w:val="-1"/>
        </w:rPr>
        <w:t>型、数字政府、智慧城市、物联网等领域的研</w:t>
      </w:r>
      <w:r>
        <w:rPr>
          <w:rFonts w:ascii="KaiTi" w:hAnsi="KaiTi" w:eastAsia="KaiTi" w:cs="KaiTi"/>
          <w:sz w:val="28"/>
          <w:szCs w:val="28"/>
          <w:spacing w:val="-13"/>
        </w:rPr>
        <w:t>究。</w:t>
      </w:r>
    </w:p>
    <w:sectPr>
      <w:pgSz w:w="11907" w:h="16839"/>
      <w:pgMar w:top="400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dcterms:created xsi:type="dcterms:W3CDTF">2023-07-24T16:25:12Z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2025-11-04T15:54:53</vt:filetime>
  </property>
</Properties>
</file>