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81"/>
        <w:spacing w:before="212" w:line="192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腾讯产数市场进入模式(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GTM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)研究及启示</w:t>
      </w:r>
    </w:p>
    <w:p>
      <w:pPr>
        <w:ind w:left="2406"/>
        <w:spacing w:before="345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9"/>
        </w:rPr>
        <w:t>文/  孙丽娟   方义松</w:t>
      </w:r>
      <w:r>
        <w:rPr>
          <w:rFonts w:ascii="STKaiti" w:hAnsi="STKaiti" w:eastAsia="STKaiti" w:cs="STKaiti"/>
          <w:sz w:val="30"/>
          <w:szCs w:val="30"/>
          <w:spacing w:val="1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李一明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25" w:firstLine="599"/>
        <w:spacing w:before="98" w:line="260" w:lineRule="auto"/>
        <w:jc w:val="both"/>
        <w:rPr/>
      </w:pPr>
      <w:r>
        <w:rPr>
          <w:spacing w:val="-4"/>
        </w:rPr>
        <w:t>腾讯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2018 </w:t>
      </w:r>
      <w:r>
        <w:rPr>
          <w:spacing w:val="-4"/>
        </w:rPr>
        <w:t>年成立云与智慧产业事业群（</w:t>
      </w:r>
      <w:r>
        <w:rPr>
          <w:rFonts w:ascii="Times New Roman" w:hAnsi="Times New Roman" w:eastAsia="Times New Roman" w:cs="Times New Roman"/>
          <w:spacing w:val="-4"/>
        </w:rPr>
        <w:t>CSIG</w:t>
      </w:r>
      <w:r>
        <w:rPr>
          <w:spacing w:val="-67"/>
          <w:w w:val="85"/>
        </w:rPr>
        <w:t>），</w:t>
      </w:r>
      <w:r>
        <w:rPr>
          <w:spacing w:val="-5"/>
        </w:rPr>
        <w:t>正式入局产</w:t>
      </w:r>
      <w:r>
        <w:rPr>
          <w:spacing w:val="-8"/>
        </w:rPr>
        <w:t>数市场。最初两年以规模为导向，</w:t>
      </w:r>
      <w:r>
        <w:rPr>
          <w:spacing w:val="-33"/>
        </w:rPr>
        <w:t xml:space="preserve"> </w:t>
      </w:r>
      <w:r>
        <w:rPr>
          <w:spacing w:val="-8"/>
        </w:rPr>
        <w:t>催生了部分不计成本的投标和</w:t>
      </w:r>
      <w:r>
        <w:rPr>
          <w:spacing w:val="-4"/>
        </w:rPr>
        <w:t>低毛利率的集成业务，到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2020~2021 </w:t>
      </w:r>
      <w:r>
        <w:rPr>
          <w:spacing w:val="-5"/>
        </w:rPr>
        <w:t>年，开始寻求盈利性的健康</w:t>
      </w:r>
      <w:r>
        <w:rPr>
          <w:spacing w:val="-9"/>
        </w:rPr>
        <w:t>成长，期间疫情扰动，音视频、协同办公等产品需求爆发， 加之</w:t>
      </w:r>
      <w:r>
        <w:rPr>
          <w:spacing w:val="1"/>
        </w:rPr>
        <w:t>微软云“</w:t>
      </w:r>
      <w:r>
        <w:rPr>
          <w:rFonts w:ascii="Times New Roman" w:hAnsi="Times New Roman" w:eastAsia="Times New Roman" w:cs="Times New Roman"/>
        </w:rPr>
        <w:t>PaaS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rFonts w:ascii="Times New Roman" w:hAnsi="Times New Roman" w:eastAsia="Times New Roman" w:cs="Times New Roman"/>
        </w:rPr>
        <w:t>SaaS</w:t>
      </w:r>
      <w:r>
        <w:rPr>
          <w:spacing w:val="1"/>
        </w:rPr>
        <w:t>”高利润模式的成功，均为其产数发展提供</w:t>
      </w:r>
      <w:r>
        <w:rPr>
          <w:spacing w:val="-5"/>
        </w:rPr>
        <w:t>了新的指向。</w:t>
      </w:r>
      <w:r>
        <w:rPr>
          <w:rFonts w:ascii="Times New Roman" w:hAnsi="Times New Roman" w:eastAsia="Times New Roman" w:cs="Times New Roman"/>
          <w:spacing w:val="-5"/>
        </w:rPr>
        <w:t>2022 </w:t>
      </w:r>
      <w:r>
        <w:rPr>
          <w:spacing w:val="-5"/>
        </w:rPr>
        <w:t>年初腾讯明确了“回归产品力，选择被集成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position w:val="10"/>
        </w:rPr>
        <w:t>1 </w:t>
      </w:r>
      <w:r>
        <w:rPr>
          <w:spacing w:val="-5"/>
        </w:rPr>
        <w:t>”</w:t>
      </w:r>
      <w:r>
        <w:rPr>
          <w:spacing w:val="-4"/>
        </w:rPr>
        <w:t>的定位，即自身将专注于关键产品赛道和打造技术壁垒，协助伙</w:t>
      </w:r>
      <w:r>
        <w:rPr/>
        <w:t>伴完成集成与交付。随着产数战略的转变，腾讯围绕收入结构、</w:t>
      </w:r>
      <w:r>
        <w:rPr>
          <w:spacing w:val="-1"/>
        </w:rPr>
        <w:t>组织架构等方面进行了一系列适应性的调整和优化，新的 </w:t>
      </w:r>
      <w:r>
        <w:rPr>
          <w:rFonts w:ascii="Times New Roman" w:hAnsi="Times New Roman" w:eastAsia="Times New Roman" w:cs="Times New Roman"/>
          <w:spacing w:val="-1"/>
        </w:rPr>
        <w:t>GTM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-7"/>
        </w:rPr>
        <w:t>（</w:t>
      </w:r>
      <w:r>
        <w:rPr>
          <w:rFonts w:ascii="Times New Roman" w:hAnsi="Times New Roman" w:eastAsia="Times New Roman" w:cs="Times New Roman"/>
          <w:spacing w:val="-7"/>
        </w:rPr>
        <w:t>Go To Market</w:t>
      </w:r>
      <w:r>
        <w:rPr>
          <w:spacing w:val="-7"/>
        </w:rPr>
        <w:t>，意为“市场进入策略”）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10"/>
        </w:rPr>
        <w:t>2</w:t>
      </w:r>
      <w:r>
        <w:rPr>
          <w:spacing w:val="-7"/>
        </w:rPr>
        <w:t>模式逐渐成型。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一、腾讯聚焦新战略的调整举措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．考核与销售政策全面向自研产品倾斜</w:t>
      </w:r>
    </w:p>
    <w:p>
      <w:pPr>
        <w:pStyle w:val="BodyText"/>
        <w:ind w:left="25" w:right="153" w:firstLine="601"/>
        <w:spacing w:before="319" w:line="261" w:lineRule="auto"/>
        <w:jc w:val="both"/>
        <w:rPr/>
      </w:pPr>
      <w:r>
        <w:rPr>
          <w:spacing w:val="-4"/>
        </w:rPr>
        <w:t>例如，转售收入不再计入总收入、新签项目自研</w:t>
      </w:r>
      <w:r>
        <w:rPr>
          <w:spacing w:val="-5"/>
        </w:rPr>
        <w:t>产品占比不</w:t>
      </w:r>
      <w:r>
        <w:rPr>
          <w:spacing w:val="-2"/>
        </w:rPr>
        <w:t>低于 </w:t>
      </w:r>
      <w:r>
        <w:rPr>
          <w:rFonts w:ascii="Times New Roman" w:hAnsi="Times New Roman" w:eastAsia="Times New Roman" w:cs="Times New Roman"/>
          <w:spacing w:val="-2"/>
        </w:rPr>
        <w:t>50~80%</w:t>
      </w:r>
      <w:r>
        <w:rPr>
          <w:spacing w:val="-2"/>
        </w:rPr>
        <w:t>（不同业务线有差别）、生态</w:t>
      </w:r>
      <w:r>
        <w:rPr>
          <w:spacing w:val="-3"/>
        </w:rPr>
        <w:t>产品销售提成比例由</w:t>
      </w:r>
      <w:r>
        <w:rPr>
          <w:rFonts w:ascii="Times New Roman" w:hAnsi="Times New Roman" w:eastAsia="Times New Roman" w:cs="Times New Roman"/>
          <w:spacing w:val="-5"/>
        </w:rPr>
        <w:t>6~8%</w:t>
      </w:r>
      <w:r>
        <w:rPr>
          <w:spacing w:val="-5"/>
        </w:rPr>
        <w:t>降至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3%</w:t>
      </w:r>
      <w:r>
        <w:rPr>
          <w:spacing w:val="-5"/>
        </w:rPr>
        <w:t>等。</w:t>
      </w:r>
    </w:p>
    <w:p>
      <w:pPr>
        <w:ind w:firstLine="26"/>
        <w:spacing w:before="133" w:line="2981" w:lineRule="exact"/>
        <w:rPr/>
      </w:pPr>
      <w:r>
        <w:rPr>
          <w:position w:val="-59"/>
        </w:rPr>
        <w:drawing>
          <wp:inline distT="0" distB="0" distL="0" distR="0">
            <wp:extent cx="5248655" cy="189280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8655" cy="189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>
        <w:pict>
          <v:shape id="_x0000_s2" style="position:absolute;margin-left:0.72599pt;margin-top:9.8122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2"/>
        <w:spacing w:before="69" w:line="235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1</w:t>
      </w:r>
      <w:r>
        <w:rPr>
          <w:rFonts w:ascii="DengXian" w:hAnsi="DengXian" w:eastAsia="DengXian" w:cs="DengXian"/>
          <w:sz w:val="11"/>
          <w:szCs w:val="11"/>
          <w:spacing w:val="9"/>
          <w:w w:val="101"/>
          <w:position w:val="10"/>
        </w:rPr>
        <w:t xml:space="preserve">   </w:t>
      </w:r>
      <w:r>
        <w:rPr>
          <w:rFonts w:ascii="FangSong" w:hAnsi="FangSong" w:eastAsia="FangSong" w:cs="FangSong"/>
          <w:sz w:val="21"/>
          <w:szCs w:val="21"/>
          <w:spacing w:val="-1"/>
        </w:rPr>
        <w:t>腾讯“被集成</w:t>
      </w:r>
      <w:r>
        <w:rPr>
          <w:rFonts w:ascii="FangSong" w:hAnsi="FangSong" w:eastAsia="FangSong" w:cs="FangSong"/>
          <w:sz w:val="21"/>
          <w:szCs w:val="21"/>
          <w:spacing w:val="-79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"/>
        </w:rPr>
        <w:t>”战略侧重政府、中腰部和长尾客户，其他头部客户仍以自主</w:t>
      </w:r>
      <w:r>
        <w:rPr>
          <w:rFonts w:ascii="FangSong" w:hAnsi="FangSong" w:eastAsia="FangSong" w:cs="FangSong"/>
          <w:sz w:val="21"/>
          <w:szCs w:val="21"/>
          <w:spacing w:val="-2"/>
        </w:rPr>
        <w:t>集成为主。</w:t>
      </w:r>
    </w:p>
    <w:p>
      <w:pPr>
        <w:ind w:left="27" w:right="189" w:hanging="8"/>
        <w:spacing w:before="19" w:line="239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11"/>
          <w:szCs w:val="11"/>
          <w:spacing w:val="-2"/>
          <w:position w:val="10"/>
        </w:rPr>
        <w:t>2</w:t>
      </w:r>
      <w:r>
        <w:rPr>
          <w:rFonts w:ascii="FangSong" w:hAnsi="FangSong" w:eastAsia="FangSong" w:cs="FangSong"/>
          <w:sz w:val="11"/>
          <w:szCs w:val="11"/>
          <w:spacing w:val="-2"/>
          <w:position w:val="10"/>
        </w:rPr>
        <w:t xml:space="preserve">  </w:t>
      </w:r>
      <w:r>
        <w:rPr>
          <w:rFonts w:ascii="FangSong" w:hAnsi="FangSong" w:eastAsia="FangSong" w:cs="FangSong"/>
          <w:sz w:val="21"/>
          <w:szCs w:val="21"/>
          <w:spacing w:val="-2"/>
        </w:rPr>
        <w:t>GTM</w:t>
      </w:r>
      <w:r>
        <w:rPr>
          <w:rFonts w:ascii="FangSong" w:hAnsi="FangSong" w:eastAsia="FangSong" w:cs="FangSong"/>
          <w:sz w:val="21"/>
          <w:szCs w:val="21"/>
          <w:spacing w:val="-25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"/>
        </w:rPr>
        <w:t>是</w:t>
      </w:r>
      <w:r>
        <w:rPr>
          <w:rFonts w:ascii="FangSong" w:hAnsi="FangSong" w:eastAsia="FangSong" w:cs="FangSong"/>
          <w:sz w:val="21"/>
          <w:szCs w:val="21"/>
          <w:spacing w:val="-48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"/>
        </w:rPr>
        <w:t>ToB</w:t>
      </w:r>
      <w:r>
        <w:rPr>
          <w:rFonts w:ascii="FangSong" w:hAnsi="FangSong" w:eastAsia="FangSong" w:cs="FangSong"/>
          <w:sz w:val="21"/>
          <w:szCs w:val="21"/>
          <w:spacing w:val="-37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"/>
        </w:rPr>
        <w:t>软件公司延续已久的产品商业化方法论，是一个由产品、客户、营销、渠道、</w:t>
      </w:r>
      <w:r>
        <w:rPr>
          <w:rFonts w:ascii="FangSong" w:hAnsi="FangSong" w:eastAsia="FangSong" w:cs="FangSong"/>
          <w:sz w:val="21"/>
          <w:szCs w:val="21"/>
        </w:rPr>
        <w:t>服务等多个部分构成的有机整体系统，判断其是否成功的唯一标准是</w:t>
      </w:r>
      <w:r>
        <w:rPr>
          <w:rFonts w:ascii="FangSong" w:hAnsi="FangSong" w:eastAsia="FangSong" w:cs="FangSong"/>
          <w:sz w:val="21"/>
          <w:szCs w:val="21"/>
          <w:spacing w:val="-1"/>
        </w:rPr>
        <w:t>产品的商业成功。</w:t>
      </w:r>
    </w:p>
    <w:p>
      <w:pPr>
        <w:spacing w:line="239" w:lineRule="auto"/>
        <w:sectPr>
          <w:pgSz w:w="11907" w:h="16839"/>
          <w:pgMar w:top="1431" w:right="1648" w:bottom="0" w:left="1785" w:header="0" w:footer="0" w:gutter="0"/>
        </w:sectPr>
        <w:rPr>
          <w:rFonts w:ascii="FangSong" w:hAnsi="FangSong" w:eastAsia="FangSong" w:cs="FangSong"/>
          <w:sz w:val="21"/>
          <w:szCs w:val="21"/>
        </w:rPr>
      </w:pPr>
    </w:p>
    <w:p>
      <w:pPr>
        <w:pStyle w:val="BodyText"/>
        <w:ind w:left="624"/>
        <w:spacing w:before="85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1"/>
        </w:rPr>
        <w:t>2</w:t>
      </w:r>
      <w:r>
        <w:rPr>
          <w:b/>
          <w:bCs/>
          <w:spacing w:val="-1"/>
        </w:rPr>
        <w:t>．</w:t>
      </w:r>
      <w:r>
        <w:rPr>
          <w:rFonts w:ascii="Times New Roman" w:hAnsi="Times New Roman" w:eastAsia="Times New Roman" w:cs="Times New Roman"/>
          <w:b/>
          <w:bCs/>
          <w:spacing w:val="-1"/>
        </w:rPr>
        <w:t>CSIG </w:t>
      </w:r>
      <w:r>
        <w:rPr>
          <w:b/>
          <w:bCs/>
          <w:spacing w:val="-1"/>
        </w:rPr>
        <w:t>架构向行业、区域、技术三线协同联动优化</w:t>
      </w:r>
    </w:p>
    <w:p>
      <w:pPr>
        <w:pStyle w:val="BodyText"/>
        <w:ind w:left="25" w:firstLine="595"/>
        <w:spacing w:before="323" w:line="259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22</w:t>
      </w:r>
      <w:r>
        <w:rPr>
          <w:rFonts w:ascii="Times New Roman" w:hAnsi="Times New Roman" w:eastAsia="Times New Roman" w:cs="Times New Roman"/>
          <w:spacing w:val="67"/>
        </w:rPr>
        <w:t xml:space="preserve"> </w:t>
      </w:r>
      <w:r>
        <w:rPr>
          <w:spacing w:val="-3"/>
        </w:rPr>
        <w:t>年 </w:t>
      </w:r>
      <w:r>
        <w:rPr>
          <w:rFonts w:ascii="Times New Roman" w:hAnsi="Times New Roman" w:eastAsia="Times New Roman" w:cs="Times New Roman"/>
          <w:spacing w:val="-3"/>
        </w:rPr>
        <w:t>7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spacing w:val="-3"/>
        </w:rPr>
        <w:t>月成立政企业务线，原来平行独立的行业部全部划</w:t>
      </w:r>
      <w:r>
        <w:rPr>
          <w:spacing w:val="-7"/>
        </w:rPr>
        <w:t>入，腾讯副总裁李强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10"/>
        </w:rPr>
        <w:t>3</w:t>
      </w:r>
      <w:r>
        <w:rPr>
          <w:spacing w:val="-7"/>
        </w:rPr>
        <w:t>兼管行业团队和区域业务拓展，同时成立云</w:t>
      </w:r>
      <w:r>
        <w:rPr>
          <w:spacing w:val="-10"/>
        </w:rPr>
        <w:t>产品技术支持部，与业务线配合完善产品体</w:t>
      </w:r>
      <w:r>
        <w:rPr>
          <w:spacing w:val="-11"/>
        </w:rPr>
        <w:t>系，负责人双线汇报。</w:t>
      </w:r>
      <w:r>
        <w:rPr>
          <w:spacing w:val="-5"/>
        </w:rPr>
        <w:t>新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GSIG </w:t>
      </w:r>
      <w:r>
        <w:rPr>
          <w:spacing w:val="-5"/>
        </w:rPr>
        <w:t>架构概况如图。</w:t>
      </w:r>
    </w:p>
    <w:p>
      <w:pPr>
        <w:ind w:firstLine="93"/>
        <w:spacing w:before="85" w:line="5221" w:lineRule="exact"/>
        <w:rPr/>
      </w:pPr>
      <w:r>
        <w:rPr>
          <w:position w:val="-104"/>
        </w:rPr>
        <w:drawing>
          <wp:inline distT="0" distB="0" distL="0" distR="0">
            <wp:extent cx="5199990" cy="331543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9990" cy="331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．强化区域直销队伍建设和生态交付能力认证</w:t>
      </w:r>
    </w:p>
    <w:p>
      <w:pPr>
        <w:pStyle w:val="BodyText"/>
        <w:ind w:left="26" w:right="105" w:firstLine="597"/>
        <w:spacing w:before="318" w:line="261" w:lineRule="auto"/>
        <w:jc w:val="both"/>
        <w:rPr/>
      </w:pPr>
      <w:r>
        <w:rPr>
          <w:spacing w:val="-4"/>
        </w:rPr>
        <w:t>将以往负责战略客户定制化的部分团队调至一线销售，成立</w:t>
      </w:r>
      <w:r>
        <w:rPr>
          <w:spacing w:val="-9"/>
        </w:rPr>
        <w:t>销售管理中心，完善集成类伙伴的准入、考核、奖惩等机制， 建</w:t>
      </w:r>
      <w:r>
        <w:rPr>
          <w:spacing w:val="-1"/>
        </w:rPr>
        <w:t>立交付认证体系，在品质保障基础上，承诺伙伴优先接单。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二、腾讯产数</w:t>
      </w:r>
      <w:r>
        <w:rPr>
          <w:rFonts w:ascii="SimHei" w:hAnsi="SimHei" w:eastAsia="SimHei" w:cs="SimHei"/>
          <w:sz w:val="31"/>
          <w:szCs w:val="31"/>
          <w:spacing w:val="-5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GTM</w:t>
      </w: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（</w:t>
      </w:r>
      <w:r>
        <w:rPr>
          <w:rFonts w:ascii="SimHei" w:hAnsi="SimHei" w:eastAsia="SimHei" w:cs="SimHei"/>
          <w:sz w:val="31"/>
          <w:szCs w:val="31"/>
          <w:b/>
          <w:bCs/>
        </w:rPr>
        <w:t>Go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To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Market</w:t>
      </w: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）模式解析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4" style="position:absolute;margin-left:0.72599pt;margin-top:8.38373pt;mso-position-vertical-relative:text;mso-position-horizontal-relative:text;width:144.05pt;height:0.5pt;z-index:251659264;" fillcolor="#000000" filled="true" stroked="false" coordsize="2881,10" coordorigin="0,0" path="m0,9l2880,9l2880,0l0,0l0,9xe"/>
        </w:pict>
      </w:r>
      <w:r/>
    </w:p>
    <w:p>
      <w:pPr>
        <w:ind w:left="52" w:right="262" w:hanging="33"/>
        <w:spacing w:before="68" w:line="246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0"/>
        </w:rPr>
        <w:t>3    </w:t>
      </w:r>
      <w:r>
        <w:rPr>
          <w:rFonts w:ascii="FangSong" w:hAnsi="FangSong" w:eastAsia="FangSong" w:cs="FangSong"/>
          <w:sz w:val="21"/>
          <w:szCs w:val="21"/>
          <w:spacing w:val="-2"/>
        </w:rPr>
        <w:t>李强,原</w:t>
      </w:r>
      <w:r>
        <w:rPr>
          <w:rFonts w:ascii="FangSong" w:hAnsi="FangSong" w:eastAsia="FangSong" w:cs="FangSong"/>
          <w:sz w:val="21"/>
          <w:szCs w:val="21"/>
          <w:spacing w:val="-44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"/>
        </w:rPr>
        <w:t>SAP</w:t>
      </w:r>
      <w:r>
        <w:rPr>
          <w:rFonts w:ascii="FangSong" w:hAnsi="FangSong" w:eastAsia="FangSong" w:cs="FangSong"/>
          <w:sz w:val="21"/>
          <w:szCs w:val="21"/>
          <w:spacing w:val="-3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"/>
        </w:rPr>
        <w:t>全球副总裁、中国区总经理，有</w:t>
      </w:r>
      <w:r>
        <w:rPr>
          <w:rFonts w:ascii="FangSong" w:hAnsi="FangSong" w:eastAsia="FangSong" w:cs="FangSong"/>
          <w:sz w:val="21"/>
          <w:szCs w:val="21"/>
          <w:spacing w:val="-4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2"/>
        </w:rPr>
        <w:t>2</w:t>
      </w:r>
      <w:r>
        <w:rPr>
          <w:rFonts w:ascii="FangSong" w:hAnsi="FangSong" w:eastAsia="FangSong" w:cs="FangSong"/>
          <w:sz w:val="21"/>
          <w:szCs w:val="21"/>
          <w:spacing w:val="-3"/>
        </w:rPr>
        <w:t>0</w:t>
      </w:r>
      <w:r>
        <w:rPr>
          <w:rFonts w:ascii="FangSong" w:hAnsi="FangSong" w:eastAsia="FangSong" w:cs="FangSong"/>
          <w:sz w:val="21"/>
          <w:szCs w:val="21"/>
          <w:spacing w:val="-27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</w:rPr>
        <w:t>多年的</w:t>
      </w:r>
      <w:r>
        <w:rPr>
          <w:rFonts w:ascii="FangSong" w:hAnsi="FangSong" w:eastAsia="FangSong" w:cs="FangSong"/>
          <w:sz w:val="21"/>
          <w:szCs w:val="21"/>
          <w:spacing w:val="-34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</w:rPr>
        <w:t>IT</w:t>
      </w:r>
      <w:r>
        <w:rPr>
          <w:rFonts w:ascii="FangSong" w:hAnsi="FangSong" w:eastAsia="FangSong" w:cs="FangSong"/>
          <w:sz w:val="21"/>
          <w:szCs w:val="21"/>
          <w:spacing w:val="-38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</w:rPr>
        <w:t>从业经验,是国内最早推动德</w:t>
      </w:r>
      <w:r>
        <w:rPr>
          <w:rFonts w:ascii="FangSong" w:hAnsi="FangSong" w:eastAsia="FangSong" w:cs="FangSong"/>
          <w:sz w:val="21"/>
          <w:szCs w:val="21"/>
          <w:spacing w:val="-4"/>
        </w:rPr>
        <w:t>国「工业</w:t>
      </w:r>
      <w:r>
        <w:rPr>
          <w:rFonts w:ascii="FangSong" w:hAnsi="FangSong" w:eastAsia="FangSong" w:cs="FangSong"/>
          <w:sz w:val="21"/>
          <w:szCs w:val="21"/>
          <w:spacing w:val="-30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4"/>
        </w:rPr>
        <w:t>4.0」落地的实践者,</w:t>
      </w:r>
      <w:r>
        <w:rPr>
          <w:rFonts w:ascii="FangSong" w:hAnsi="FangSong" w:eastAsia="FangSong" w:cs="FangSong"/>
          <w:sz w:val="21"/>
          <w:szCs w:val="21"/>
          <w:spacing w:val="-4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4"/>
        </w:rPr>
        <w:t>2021</w:t>
      </w:r>
      <w:r>
        <w:rPr>
          <w:rFonts w:ascii="FangSong" w:hAnsi="FangSong" w:eastAsia="FangSong" w:cs="FangSong"/>
          <w:sz w:val="21"/>
          <w:szCs w:val="21"/>
          <w:spacing w:val="-34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4"/>
        </w:rPr>
        <w:t>年</w:t>
      </w:r>
      <w:r>
        <w:rPr>
          <w:rFonts w:ascii="FangSong" w:hAnsi="FangSong" w:eastAsia="FangSong" w:cs="FangSong"/>
          <w:sz w:val="21"/>
          <w:szCs w:val="21"/>
          <w:spacing w:val="-4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4"/>
        </w:rPr>
        <w:t>5</w:t>
      </w:r>
      <w:r>
        <w:rPr>
          <w:rFonts w:ascii="FangSong" w:hAnsi="FangSong" w:eastAsia="FangSong" w:cs="FangSong"/>
          <w:sz w:val="21"/>
          <w:szCs w:val="21"/>
          <w:spacing w:val="-29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4"/>
        </w:rPr>
        <w:t>月加入腾讯。</w:t>
      </w:r>
    </w:p>
    <w:p>
      <w:pPr>
        <w:spacing w:line="246" w:lineRule="auto"/>
        <w:sectPr>
          <w:pgSz w:w="11907" w:h="16839"/>
          <w:pgMar w:top="1431" w:right="1694" w:bottom="0" w:left="1785" w:header="0" w:footer="0" w:gutter="0"/>
        </w:sectPr>
        <w:rPr>
          <w:rFonts w:ascii="FangSong" w:hAnsi="FangSong" w:eastAsia="FangSong" w:cs="FangSong"/>
          <w:sz w:val="21"/>
          <w:szCs w:val="21"/>
        </w:rPr>
      </w:pPr>
    </w:p>
    <w:p>
      <w:pPr>
        <w:ind w:firstLine="720"/>
        <w:spacing w:before="116" w:line="2959" w:lineRule="exact"/>
        <w:rPr/>
      </w:pPr>
      <w:r>
        <w:rPr>
          <w:position w:val="-59"/>
        </w:rPr>
        <w:drawing>
          <wp:inline distT="0" distB="0" distL="0" distR="0">
            <wp:extent cx="4375944" cy="187853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5944" cy="187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23" w:right="10" w:firstLine="601"/>
        <w:spacing w:before="98" w:line="255" w:lineRule="auto"/>
        <w:jc w:val="both"/>
        <w:rPr/>
      </w:pPr>
      <w:r>
        <w:rPr>
          <w:spacing w:val="-4"/>
        </w:rPr>
        <w:t>腾讯围绕云业务，已经形成以自研和盈利为主线的</w:t>
      </w:r>
      <w:r>
        <w:rPr>
          <w:spacing w:val="-5"/>
        </w:rPr>
        <w:t>产数“赛</w:t>
      </w:r>
      <w:r>
        <w:rPr>
          <w:spacing w:val="-1"/>
        </w:rPr>
        <w:t>道布局与产品研发</w:t>
      </w:r>
      <w:r>
        <w:rPr>
          <w:spacing w:val="-101"/>
        </w:rPr>
        <w:t xml:space="preserve"> </w:t>
      </w:r>
      <w:r>
        <w:rPr>
          <w:rFonts w:ascii="Segoe UI Emoji" w:hAnsi="Segoe UI Emoji" w:eastAsia="Segoe UI Emoji" w:cs="Segoe UI Emoji"/>
          <w:spacing w:val="-1"/>
        </w:rPr>
        <w:t>→</w:t>
      </w:r>
      <w:r>
        <w:rPr>
          <w:rFonts w:ascii="Segoe UI Emoji" w:hAnsi="Segoe UI Emoji" w:eastAsia="Segoe UI Emoji" w:cs="Segoe UI Emoji"/>
          <w:spacing w:val="-58"/>
        </w:rPr>
        <w:t xml:space="preserve"> </w:t>
      </w:r>
      <w:r>
        <w:rPr>
          <w:spacing w:val="-1"/>
        </w:rPr>
        <w:t>行业适配与标杆验证</w:t>
      </w:r>
      <w:r>
        <w:rPr>
          <w:rFonts w:ascii="Segoe UI Emoji" w:hAnsi="Segoe UI Emoji" w:eastAsia="Segoe UI Emoji" w:cs="Segoe UI Emoji"/>
          <w:spacing w:val="-1"/>
        </w:rPr>
        <w:t>→</w:t>
      </w:r>
      <w:r>
        <w:rPr>
          <w:rFonts w:ascii="Segoe UI Emoji" w:hAnsi="Segoe UI Emoji" w:eastAsia="Segoe UI Emoji" w:cs="Segoe UI Emoji"/>
          <w:spacing w:val="-62"/>
        </w:rPr>
        <w:t xml:space="preserve"> </w:t>
      </w:r>
      <w:r>
        <w:rPr>
          <w:spacing w:val="-1"/>
        </w:rPr>
        <w:t>规模化推广”的 </w:t>
      </w:r>
      <w:r>
        <w:rPr>
          <w:rFonts w:ascii="Times New Roman" w:hAnsi="Times New Roman" w:eastAsia="Times New Roman" w:cs="Times New Roman"/>
          <w:spacing w:val="-1"/>
        </w:rPr>
        <w:t>Go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To</w:t>
      </w:r>
      <w:r>
        <w:rPr>
          <w:rFonts w:ascii="Times New Roman" w:hAnsi="Times New Roman" w:eastAsia="Times New Roman" w:cs="Times New Roman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Market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-2"/>
        </w:rPr>
        <w:t>路径，产品逻辑、研发模式、客户策略、销售模式是</w:t>
      </w:r>
      <w:r>
        <w:rPr>
          <w:rFonts w:ascii="Times New Roman" w:hAnsi="Times New Roman" w:eastAsia="Times New Roman" w:cs="Times New Roman"/>
          <w:spacing w:val="-4"/>
        </w:rPr>
        <w:t>GTM </w:t>
      </w:r>
      <w:r>
        <w:rPr>
          <w:spacing w:val="-4"/>
        </w:rPr>
        <w:t>落地的四个核心要素。</w:t>
      </w:r>
    </w:p>
    <w:p>
      <w:pPr>
        <w:pStyle w:val="BodyText"/>
        <w:ind w:left="31" w:right="14" w:firstLine="605"/>
        <w:spacing w:before="281" w:line="239" w:lineRule="auto"/>
        <w:outlineLvl w:val="3"/>
        <w:rPr/>
      </w:pPr>
      <w:r>
        <w:rPr>
          <w:b/>
          <w:bCs/>
          <w:spacing w:val="-8"/>
        </w:rPr>
        <w:t>（一）产品逻辑：主要体现为边界思维、体系思维、连接思</w:t>
      </w:r>
      <w:r>
        <w:rPr>
          <w:b/>
          <w:bCs/>
          <w:spacing w:val="-5"/>
        </w:rPr>
        <w:t>维和竞品思维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6"/>
        </w:rPr>
        <w:t>1</w:t>
      </w:r>
      <w:r>
        <w:rPr>
          <w:b/>
          <w:bCs/>
          <w:spacing w:val="-6"/>
        </w:rPr>
        <w:t>．边界思维</w:t>
      </w:r>
    </w:p>
    <w:p>
      <w:pPr>
        <w:pStyle w:val="BodyText"/>
        <w:ind w:left="25" w:right="12" w:firstLine="599"/>
        <w:spacing w:before="321" w:line="260" w:lineRule="auto"/>
        <w:jc w:val="both"/>
        <w:rPr/>
      </w:pPr>
      <w:r>
        <w:rPr>
          <w:spacing w:val="-2"/>
        </w:rPr>
        <w:t>腾讯建立起覆盖服务器、</w:t>
      </w:r>
      <w:r>
        <w:rPr>
          <w:rFonts w:ascii="Times New Roman" w:hAnsi="Times New Roman" w:eastAsia="Times New Roman" w:cs="Times New Roman"/>
          <w:spacing w:val="-2"/>
        </w:rPr>
        <w:t>OS</w:t>
      </w:r>
      <w:r>
        <w:rPr>
          <w:spacing w:val="-2"/>
        </w:rPr>
        <w:t>、芯片、</w:t>
      </w:r>
      <w:r>
        <w:rPr>
          <w:rFonts w:ascii="Times New Roman" w:hAnsi="Times New Roman" w:eastAsia="Times New Roman" w:cs="Times New Roman"/>
          <w:spacing w:val="-2"/>
        </w:rPr>
        <w:t>PaaS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SaaS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spacing w:val="-2"/>
        </w:rPr>
        <w:t>等在内的</w:t>
      </w:r>
      <w:r>
        <w:rPr>
          <w:spacing w:val="-4"/>
        </w:rPr>
        <w:t>完整自研体系，并明确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PaaS </w:t>
      </w:r>
      <w:r>
        <w:rPr>
          <w:spacing w:val="-4"/>
        </w:rPr>
        <w:t>和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SaaS </w:t>
      </w:r>
      <w:r>
        <w:rPr>
          <w:spacing w:val="-4"/>
        </w:rPr>
        <w:t>产品将以标准化、通用类的</w:t>
      </w:r>
      <w:r>
        <w:rPr>
          <w:spacing w:val="-4"/>
        </w:rPr>
        <w:t>平台型服务为主，同时选定音视频等八个重点赛道，这些赛道产</w:t>
      </w:r>
      <w:r>
        <w:rPr/>
        <w:t>品大多成长于腾讯自身业务系统，是经过 </w:t>
      </w:r>
      <w:r>
        <w:rPr>
          <w:rFonts w:ascii="Times New Roman" w:hAnsi="Times New Roman" w:eastAsia="Times New Roman" w:cs="Times New Roman"/>
        </w:rPr>
        <w:t>C  </w:t>
      </w:r>
      <w:r>
        <w:rPr/>
        <w:t>端反复</w:t>
      </w:r>
      <w:r>
        <w:rPr>
          <w:spacing w:val="-1"/>
        </w:rPr>
        <w:t>打磨和规模</w:t>
      </w:r>
      <w:r>
        <w:rPr>
          <w:spacing w:val="-4"/>
        </w:rPr>
        <w:t>验证后的重新封装，成为腾讯构筑产品边界的差异化优势。目前</w:t>
      </w:r>
      <w:r>
        <w:rPr>
          <w:spacing w:val="-1"/>
        </w:rPr>
        <w:t>企业级自研产品达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400+</w:t>
      </w:r>
      <w:r>
        <w:rPr>
          <w:spacing w:val="-1"/>
        </w:rPr>
        <w:t>款，亿级产品超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 </w:t>
      </w:r>
      <w:r>
        <w:rPr>
          <w:spacing w:val="-1"/>
        </w:rPr>
        <w:t>款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4</w:t>
      </w:r>
      <w:r>
        <w:rPr>
          <w:spacing w:val="-1"/>
        </w:rPr>
        <w:t>。</w:t>
      </w:r>
    </w:p>
    <w:p>
      <w:pPr>
        <w:ind w:firstLine="1074"/>
        <w:spacing w:line="2967" w:lineRule="exact"/>
        <w:rPr/>
      </w:pPr>
      <w:r>
        <w:rPr>
          <w:position w:val="-59"/>
        </w:rPr>
        <w:drawing>
          <wp:inline distT="0" distB="0" distL="0" distR="0">
            <wp:extent cx="3927348" cy="188448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7348" cy="188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>
        <w:pict>
          <v:shape id="_x0000_s6" style="position:absolute;margin-left:0.72599pt;margin-top:10.5194pt;mso-position-vertical-relative:text;mso-position-horizontal-relative:text;width:144.05pt;height:0.5pt;z-index:251660288;" fillcolor="#000000" filled="true" stroked="false" coordsize="2881,10" coordorigin="0,0" path="m0,9l2880,9l2880,0l0,0l0,9xe"/>
        </w:pict>
      </w:r>
      <w:r/>
    </w:p>
    <w:p>
      <w:pPr>
        <w:ind w:left="35" w:right="170" w:hanging="19"/>
        <w:spacing w:before="68" w:line="246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4</w:t>
      </w:r>
      <w:r>
        <w:rPr>
          <w:rFonts w:ascii="DengXian" w:hAnsi="DengXian" w:eastAsia="DengXian" w:cs="DengXian"/>
          <w:sz w:val="11"/>
          <w:szCs w:val="11"/>
          <w:spacing w:val="9"/>
          <w:w w:val="102"/>
          <w:position w:val="10"/>
        </w:rPr>
        <w:t xml:space="preserve">   </w:t>
      </w:r>
      <w:r>
        <w:rPr>
          <w:rFonts w:ascii="FangSong" w:hAnsi="FangSong" w:eastAsia="FangSong" w:cs="FangSong"/>
          <w:sz w:val="21"/>
          <w:szCs w:val="21"/>
        </w:rPr>
        <w:t>数据来源：腾讯专家访谈。产品范围覆盖云基础产品到行业应</w:t>
      </w:r>
      <w:r>
        <w:rPr>
          <w:rFonts w:ascii="FangSong" w:hAnsi="FangSong" w:eastAsia="FangSong" w:cs="FangSong"/>
          <w:sz w:val="21"/>
          <w:szCs w:val="21"/>
          <w:spacing w:val="-1"/>
        </w:rPr>
        <w:t>用各层，年收入过亿产品</w:t>
      </w:r>
      <w:r>
        <w:rPr>
          <w:rFonts w:ascii="FangSong" w:hAnsi="FangSong" w:eastAsia="FangSong" w:cs="FangSong"/>
          <w:sz w:val="21"/>
          <w:szCs w:val="21"/>
          <w:spacing w:val="-1"/>
        </w:rPr>
        <w:t>包括智慧城市平台、工业互联网平台、医疗大健康数字平台等。</w:t>
      </w:r>
    </w:p>
    <w:p>
      <w:pPr>
        <w:spacing w:line="246" w:lineRule="auto"/>
        <w:sectPr>
          <w:pgSz w:w="11907" w:h="16839"/>
          <w:pgMar w:top="1431" w:right="1785" w:bottom="0" w:left="1785" w:header="0" w:footer="0" w:gutter="0"/>
        </w:sectPr>
        <w:rPr>
          <w:rFonts w:ascii="FangSong" w:hAnsi="FangSong" w:eastAsia="FangSong" w:cs="FangSong"/>
          <w:sz w:val="21"/>
          <w:szCs w:val="21"/>
        </w:rPr>
      </w:pPr>
    </w:p>
    <w:p>
      <w:pPr>
        <w:pStyle w:val="BodyText"/>
        <w:ind w:left="624"/>
        <w:spacing w:before="85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．体系思维</w:t>
      </w:r>
    </w:p>
    <w:p>
      <w:pPr>
        <w:pStyle w:val="BodyText"/>
        <w:ind w:left="33" w:right="24" w:firstLine="592"/>
        <w:spacing w:before="318" w:line="261" w:lineRule="auto"/>
        <w:jc w:val="both"/>
        <w:rPr/>
      </w:pPr>
      <w:r>
        <w:rPr>
          <w:spacing w:val="-4"/>
        </w:rPr>
        <w:t>每个赛道自成体系，有对应的产品矩阵、场景组合、</w:t>
      </w:r>
      <w:r>
        <w:rPr>
          <w:spacing w:val="-5"/>
        </w:rPr>
        <w:t>生态系</w:t>
      </w:r>
      <w:r>
        <w:rPr>
          <w:spacing w:val="-3"/>
        </w:rPr>
        <w:t>统和商业模式。例如 </w:t>
      </w:r>
      <w:r>
        <w:rPr>
          <w:rFonts w:ascii="Times New Roman" w:hAnsi="Times New Roman" w:eastAsia="Times New Roman" w:cs="Times New Roman"/>
          <w:spacing w:val="-3"/>
        </w:rPr>
        <w:t>CRM  </w:t>
      </w:r>
      <w:r>
        <w:rPr>
          <w:spacing w:val="-3"/>
        </w:rPr>
        <w:t>产品体系，过去只是单点</w:t>
      </w:r>
      <w:r>
        <w:rPr>
          <w:spacing w:val="-4"/>
        </w:rPr>
        <w:t>销售管理，</w:t>
      </w:r>
      <w:r>
        <w:rPr>
          <w:spacing w:val="-3"/>
        </w:rPr>
        <w:t>目前已转变为营销、服务、交易的客户全旅程覆盖。</w:t>
      </w:r>
    </w:p>
    <w:p>
      <w:pPr>
        <w:pStyle w:val="BodyText"/>
        <w:ind w:left="621"/>
        <w:spacing w:before="270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．连接思维</w:t>
      </w:r>
    </w:p>
    <w:p>
      <w:pPr>
        <w:pStyle w:val="BodyText"/>
        <w:ind w:left="26" w:firstLine="598"/>
        <w:spacing w:before="318" w:line="260" w:lineRule="auto"/>
        <w:jc w:val="both"/>
        <w:rPr/>
      </w:pPr>
      <w:r>
        <w:rPr>
          <w:spacing w:val="-2"/>
        </w:rPr>
        <w:t>腾讯将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2"/>
        </w:rPr>
        <w:t>端的连接能力和内涵延伸至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2"/>
        </w:rPr>
        <w:t>端，并进行多维扩</w:t>
      </w:r>
      <w:r>
        <w:rPr/>
        <w:t>展，试图构建个人与企业、个人与公共服务机构、伙伴与伙伴、</w:t>
      </w:r>
      <w:r>
        <w:rPr/>
        <w:t>企业与企业、政府与企业、应用与应用之间全连接的产品网络。</w:t>
      </w:r>
      <w:r>
        <w:rPr>
          <w:spacing w:val="-3"/>
        </w:rPr>
        <w:t>例如，打造千帆应用连接器，打通三大协作工具等。</w:t>
      </w:r>
    </w:p>
    <w:p>
      <w:pPr>
        <w:ind w:firstLine="14"/>
        <w:spacing w:before="238" w:line="4301" w:lineRule="exact"/>
        <w:rPr/>
      </w:pPr>
      <w:r>
        <w:rPr>
          <w:position w:val="-86"/>
        </w:rPr>
        <w:drawing>
          <wp:inline distT="0" distB="0" distL="0" distR="0">
            <wp:extent cx="5020055" cy="273164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0055" cy="273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．竞品思维</w:t>
      </w:r>
    </w:p>
    <w:p>
      <w:pPr>
        <w:pStyle w:val="BodyText"/>
        <w:ind w:left="25" w:right="106" w:firstLine="601"/>
        <w:spacing w:before="320" w:line="259" w:lineRule="auto"/>
        <w:jc w:val="both"/>
        <w:rPr/>
      </w:pPr>
      <w:r>
        <w:rPr>
          <w:spacing w:val="-1"/>
        </w:rPr>
        <w:t>考验一个公司对产品的投入度和持久性。以腾讯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</w:t>
      </w:r>
      <w:r>
        <w:rPr>
          <w:rFonts w:ascii="Times New Roman" w:hAnsi="Times New Roman" w:eastAsia="Times New Roman" w:cs="Times New Roman"/>
          <w:spacing w:val="-2"/>
        </w:rPr>
        <w:t>DSQL </w:t>
      </w:r>
      <w:r>
        <w:rPr>
          <w:spacing w:val="-2"/>
        </w:rPr>
        <w:t>数</w:t>
      </w:r>
      <w:r>
        <w:rPr>
          <w:spacing w:val="-7"/>
        </w:rPr>
        <w:t>据库为例，底层研发团队有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600+</w:t>
      </w:r>
      <w:r>
        <w:rPr>
          <w:spacing w:val="-7"/>
        </w:rPr>
        <w:t>人，孵化一款引擎产品通常</w:t>
      </w:r>
      <w:r>
        <w:rPr>
          <w:spacing w:val="-8"/>
        </w:rPr>
        <w:t>要三</w:t>
      </w:r>
      <w:r>
        <w:rPr>
          <w:spacing w:val="-3"/>
        </w:rPr>
        <w:t>年内部试用后才商用，每年升级迭代超千次。</w:t>
      </w:r>
      <w:r>
        <w:rPr>
          <w:rFonts w:ascii="Times New Roman" w:hAnsi="Times New Roman" w:eastAsia="Times New Roman" w:cs="Times New Roman"/>
          <w:spacing w:val="-3"/>
        </w:rPr>
        <w:t>20</w:t>
      </w:r>
      <w:r>
        <w:rPr>
          <w:rFonts w:ascii="Times New Roman" w:hAnsi="Times New Roman" w:eastAsia="Times New Roman" w:cs="Times New Roman"/>
          <w:spacing w:val="-4"/>
        </w:rPr>
        <w:t>22 </w:t>
      </w:r>
      <w:r>
        <w:rPr>
          <w:spacing w:val="-4"/>
        </w:rPr>
        <w:t>年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Q2 </w:t>
      </w:r>
      <w:r>
        <w:rPr>
          <w:spacing w:val="-4"/>
        </w:rPr>
        <w:t>腾讯数</w:t>
      </w:r>
      <w:r>
        <w:rPr>
          <w:spacing w:val="-2"/>
        </w:rPr>
        <w:t>据库产品占云收入比例超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5%</w:t>
      </w:r>
      <w:r>
        <w:rPr>
          <w:spacing w:val="-2"/>
        </w:rPr>
        <w:t>。</w:t>
      </w:r>
    </w:p>
    <w:p>
      <w:pPr>
        <w:pStyle w:val="BodyText"/>
        <w:ind w:left="25" w:right="124" w:firstLine="611"/>
        <w:spacing w:before="274" w:line="241" w:lineRule="auto"/>
        <w:outlineLvl w:val="3"/>
        <w:rPr/>
      </w:pPr>
      <w:r>
        <w:rPr>
          <w:b/>
          <w:bCs/>
          <w:spacing w:val="-9"/>
        </w:rPr>
        <w:t>（二）研发模式：基础云产品研发与行业适配研发联动、对</w:t>
      </w:r>
      <w:r>
        <w:rPr>
          <w:b/>
          <w:bCs/>
          <w:spacing w:val="-6"/>
        </w:rPr>
        <w:t>接生态</w:t>
      </w:r>
    </w:p>
    <w:p>
      <w:pPr>
        <w:pStyle w:val="BodyText"/>
        <w:ind w:left="626"/>
        <w:spacing w:before="339" w:line="220" w:lineRule="auto"/>
        <w:rPr/>
      </w:pPr>
      <w:r>
        <w:rPr>
          <w:spacing w:val="-9"/>
        </w:rPr>
        <w:t>基础产品研发聚焦云底层技术、产数重点赛道等， </w:t>
      </w:r>
      <w:r>
        <w:rPr>
          <w:spacing w:val="-10"/>
        </w:rPr>
        <w:t>由基础云</w:t>
      </w:r>
    </w:p>
    <w:p>
      <w:pPr>
        <w:spacing w:line="220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26"/>
        <w:spacing w:before="88" w:line="259" w:lineRule="auto"/>
        <w:jc w:val="both"/>
        <w:rPr/>
      </w:pPr>
      <w:r>
        <w:rPr>
          <w:spacing w:val="-4"/>
        </w:rPr>
        <w:t>产品部主导。行业适配研发以构建标准化、可复制的行业解决方</w:t>
      </w:r>
      <w:r>
        <w:rPr>
          <w:spacing w:val="-9"/>
        </w:rPr>
        <w:t>案为刚性导向，包括场景适配、需求侧新旧系统适配等， 行业产</w:t>
      </w:r>
      <w:r>
        <w:rPr>
          <w:spacing w:val="-6"/>
        </w:rPr>
        <w:t>研团队负责规划解决方案，对基础产品进行二次封装或定制开发，</w:t>
      </w:r>
      <w:r>
        <w:rPr>
          <w:spacing w:val="-4"/>
        </w:rPr>
        <w:t>若需基础产品部支持，则会联合确认资源调度规模和周期、验收</w:t>
      </w:r>
      <w:r>
        <w:rPr>
          <w:spacing w:val="-9"/>
        </w:rPr>
        <w:t>节点、结算规则等， 并采取验收不合格无法结算机制，反向推动</w:t>
      </w:r>
      <w:r>
        <w:rPr>
          <w:spacing w:val="-6"/>
        </w:rPr>
        <w:t>内部服务质量提升。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ind w:firstLine="102"/>
        <w:spacing w:line="4306" w:lineRule="exact"/>
        <w:rPr/>
      </w:pPr>
      <w:r>
        <w:rPr>
          <w:position w:val="-86"/>
        </w:rPr>
        <w:drawing>
          <wp:inline distT="0" distB="0" distL="0" distR="0">
            <wp:extent cx="5158740" cy="273487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8740" cy="273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25" w:right="127" w:firstLine="599"/>
        <w:spacing w:before="98" w:line="261" w:lineRule="auto"/>
        <w:jc w:val="both"/>
        <w:rPr/>
      </w:pPr>
      <w:r>
        <w:rPr>
          <w:spacing w:val="-1"/>
        </w:rPr>
        <w:t>腾讯云启生态主要负责引入 </w:t>
      </w:r>
      <w:r>
        <w:rPr>
          <w:rFonts w:ascii="Times New Roman" w:hAnsi="Times New Roman" w:eastAsia="Times New Roman" w:cs="Times New Roman"/>
          <w:spacing w:val="-1"/>
        </w:rPr>
        <w:t>ToB  </w:t>
      </w:r>
      <w:r>
        <w:rPr>
          <w:spacing w:val="-1"/>
        </w:rPr>
        <w:t>领域</w:t>
      </w:r>
      <w:r>
        <w:rPr>
          <w:spacing w:val="-2"/>
        </w:rPr>
        <w:t>优质技术型创新伙伴</w:t>
      </w:r>
      <w:r>
        <w:rPr>
          <w:spacing w:val="-10"/>
        </w:rPr>
        <w:t>和行业垂直伙伴，与双线研发团队协同，实</w:t>
      </w:r>
      <w:r>
        <w:rPr>
          <w:spacing w:val="-11"/>
        </w:rPr>
        <w:t>现产品和资源的对接、</w:t>
      </w:r>
      <w:r>
        <w:rPr>
          <w:spacing w:val="-6"/>
        </w:rPr>
        <w:t>解决方案共创等。</w:t>
      </w:r>
    </w:p>
    <w:p>
      <w:pPr>
        <w:ind w:firstLine="702"/>
        <w:spacing w:before="90" w:line="4010" w:lineRule="exact"/>
        <w:rPr/>
      </w:pPr>
      <w:r>
        <w:rPr>
          <w:position w:val="-80"/>
        </w:rPr>
        <w:drawing>
          <wp:inline distT="0" distB="0" distL="0" distR="0">
            <wp:extent cx="4379510" cy="254634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9510" cy="254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10" w:lineRule="exact"/>
        <w:sectPr>
          <w:pgSz w:w="11907" w:h="16839"/>
          <w:pgMar w:top="1431" w:right="1566" w:bottom="0" w:left="1785" w:header="0" w:footer="0" w:gutter="0"/>
        </w:sectPr>
        <w:rPr/>
      </w:pPr>
    </w:p>
    <w:p>
      <w:pPr>
        <w:pStyle w:val="BodyText"/>
        <w:ind w:left="628"/>
        <w:spacing w:before="84" w:line="220" w:lineRule="auto"/>
        <w:rPr/>
      </w:pPr>
      <w:r>
        <w:rPr>
          <w:spacing w:val="-4"/>
        </w:rPr>
        <w:t>金融、政务行业适配研发示例如图。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9" w:right="81" w:firstLine="595"/>
        <w:spacing w:before="98" w:line="261" w:lineRule="auto"/>
        <w:rPr/>
      </w:pPr>
      <w:r>
        <w:rPr>
          <w:spacing w:val="-4"/>
        </w:rPr>
        <w:t>腾讯通过设立技术委员会评审制度，把控产品规划和新</w:t>
      </w:r>
      <w:r>
        <w:rPr>
          <w:spacing w:val="-5"/>
        </w:rPr>
        <w:t>产品</w:t>
      </w:r>
      <w:r>
        <w:rPr>
          <w:spacing w:val="-3"/>
        </w:rPr>
        <w:t>投入，通过实施质量评审机制，严控产品上市前评估。</w:t>
      </w:r>
    </w:p>
    <w:p>
      <w:pPr>
        <w:pStyle w:val="BodyText"/>
        <w:ind w:left="636"/>
        <w:spacing w:before="271" w:line="219" w:lineRule="auto"/>
        <w:outlineLvl w:val="3"/>
        <w:rPr/>
      </w:pPr>
      <w:r>
        <w:rPr>
          <w:b/>
          <w:bCs/>
          <w:spacing w:val="1"/>
        </w:rPr>
        <w:t>（三）</w:t>
      </w:r>
      <w:r>
        <w:rPr>
          <w:spacing w:val="-77"/>
        </w:rPr>
        <w:t xml:space="preserve"> </w:t>
      </w:r>
      <w:r>
        <w:rPr>
          <w:b/>
          <w:bCs/>
          <w:spacing w:val="1"/>
        </w:rPr>
        <w:t>客户策略：划重点，分层“布阵”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．从四个维度划出重点市场</w:t>
      </w:r>
    </w:p>
    <w:p>
      <w:pPr>
        <w:pStyle w:val="BodyText"/>
        <w:ind w:left="26" w:right="3" w:firstLine="604"/>
        <w:spacing w:before="319" w:line="260" w:lineRule="auto"/>
        <w:rPr/>
      </w:pPr>
      <w:r>
        <w:rPr>
          <w:spacing w:val="-5"/>
        </w:rPr>
        <w:t>一是数字化规模在初期，但战略价值高的行业，如碳中和战</w:t>
      </w:r>
      <w:r>
        <w:rPr>
          <w:spacing w:val="-16"/>
        </w:rPr>
        <w:t>略对应的能源、工业领域；二是有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6"/>
        </w:rPr>
        <w:t>C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16"/>
        </w:rPr>
        <w:t>端连接需求的行业，如文旅、</w:t>
      </w:r>
      <w:r>
        <w:rPr>
          <w:spacing w:val="-4"/>
        </w:rPr>
        <w:t>体育、农业等；三是可能带来潜在业务增长的客户需求，例如政</w:t>
      </w:r>
      <w:r>
        <w:rPr>
          <w:spacing w:val="-3"/>
        </w:rPr>
        <w:t>企客户的大数据和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 </w:t>
      </w:r>
      <w:r>
        <w:rPr>
          <w:spacing w:val="-3"/>
        </w:rPr>
        <w:t>端连接业务，可能带动更多的云资</w:t>
      </w:r>
      <w:r>
        <w:rPr>
          <w:spacing w:val="-4"/>
        </w:rPr>
        <w:t>源消耗；</w:t>
      </w:r>
      <w:r>
        <w:rPr>
          <w:spacing w:val="-4"/>
        </w:rPr>
        <w:t>四是腾讯产品和能力可满足的领域。</w:t>
      </w:r>
    </w:p>
    <w:p>
      <w:pPr>
        <w:pStyle w:val="BodyText"/>
        <w:ind w:left="624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．基于客户分层确定作战形态</w:t>
      </w:r>
    </w:p>
    <w:p>
      <w:pPr>
        <w:pStyle w:val="BodyText"/>
        <w:ind w:left="26" w:firstLine="633"/>
        <w:spacing w:before="322" w:line="259" w:lineRule="auto"/>
        <w:jc w:val="both"/>
        <w:rPr/>
      </w:pPr>
      <w:r>
        <w:rPr>
          <w:spacing w:val="-8"/>
        </w:rPr>
        <w:t>以“客户年框金额</w:t>
      </w:r>
      <w:r>
        <w:rPr>
          <w:rFonts w:ascii="Times New Roman" w:hAnsi="Times New Roman" w:eastAsia="Times New Roman" w:cs="Times New Roman"/>
          <w:spacing w:val="-8"/>
        </w:rPr>
        <w:t>/</w:t>
      </w:r>
      <w:r>
        <w:rPr>
          <w:spacing w:val="-8"/>
        </w:rPr>
        <w:t>腾讯云总消费金额”为</w:t>
      </w:r>
      <w:r>
        <w:rPr>
          <w:spacing w:val="-9"/>
        </w:rPr>
        <w:t>标准，将客户划为</w:t>
      </w:r>
      <w:r>
        <w:rPr>
          <w:spacing w:val="-3"/>
        </w:rPr>
        <w:t>四个层级，行业线负责服务头部客户（全周期</w:t>
      </w:r>
      <w:r>
        <w:rPr>
          <w:spacing w:val="-15"/>
        </w:rPr>
        <w:t>），</w:t>
      </w:r>
      <w:r>
        <w:rPr>
          <w:spacing w:val="-3"/>
        </w:rPr>
        <w:t>形成标杆方案</w:t>
      </w:r>
      <w:r>
        <w:rPr>
          <w:spacing w:val="-11"/>
        </w:rPr>
        <w:t>后，推广和复制依托区域和生态完成。行业线具有较</w:t>
      </w:r>
      <w:r>
        <w:rPr>
          <w:spacing w:val="-12"/>
        </w:rPr>
        <w:t>高的自主权，</w:t>
      </w:r>
      <w:r>
        <w:rPr>
          <w:spacing w:val="-9"/>
        </w:rPr>
        <w:t>配置销售、架构师、产品经理、研发人员等多种角色， 可自主设</w:t>
      </w:r>
      <w:r>
        <w:rPr>
          <w:spacing w:val="-3"/>
        </w:rPr>
        <w:t>计解决方案、搭建生态体系，以便快速响应需求。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1040"/>
        <w:spacing w:before="1" w:line="1882" w:lineRule="exact"/>
        <w:rPr/>
      </w:pPr>
      <w:r>
        <w:rPr>
          <w:position w:val="-37"/>
        </w:rPr>
        <w:drawing>
          <wp:inline distT="0" distB="0" distL="0" distR="0">
            <wp:extent cx="4034598" cy="119514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4598" cy="11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27" w:right="100" w:firstLine="609"/>
        <w:spacing w:before="98"/>
        <w:outlineLvl w:val="3"/>
        <w:rPr/>
      </w:pPr>
      <w:r>
        <w:rPr>
          <w:b/>
          <w:bCs/>
          <w:spacing w:val="-9"/>
        </w:rPr>
        <w:t>（四）销售模式：路径、流程、协同、保障等方面逐渐标准</w:t>
      </w:r>
      <w:r>
        <w:rPr>
          <w:b/>
          <w:bCs/>
          <w:spacing w:val="-4"/>
        </w:rPr>
        <w:t>化</w:t>
      </w:r>
    </w:p>
    <w:p>
      <w:pPr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．基于经验和优势，形成三种典型的数字化切入路径</w:t>
      </w:r>
    </w:p>
    <w:p>
      <w:pPr>
        <w:pStyle w:val="BodyText"/>
        <w:ind w:left="25" w:right="80" w:firstLine="605"/>
        <w:spacing w:before="319" w:line="262" w:lineRule="auto"/>
        <w:rPr/>
      </w:pPr>
      <w:r>
        <w:rPr>
          <w:spacing w:val="-5"/>
        </w:rPr>
        <w:t>一是从小往大做，找到小切口、大市场的场景，例如，腾讯</w:t>
      </w:r>
      <w:r>
        <w:rPr>
          <w:spacing w:val="-4"/>
        </w:rPr>
        <w:t>会议由工具升级为平台服务。二是由上往下做，例如，腾讯为中</w:t>
      </w:r>
    </w:p>
    <w:p>
      <w:pPr>
        <w:spacing w:line="262" w:lineRule="auto"/>
        <w:sectPr>
          <w:pgSz w:w="11907" w:h="16839"/>
          <w:pgMar w:top="1431" w:right="1717" w:bottom="0" w:left="1785" w:header="0" w:footer="0" w:gutter="0"/>
        </w:sectPr>
        <w:rPr/>
      </w:pPr>
    </w:p>
    <w:p>
      <w:pPr>
        <w:pStyle w:val="BodyText"/>
        <w:ind w:left="25" w:right="11" w:firstLine="7"/>
        <w:spacing w:before="90" w:line="259" w:lineRule="auto"/>
        <w:jc w:val="both"/>
        <w:rPr/>
      </w:pPr>
      <w:r>
        <w:rPr>
          <w:spacing w:val="-4"/>
        </w:rPr>
        <w:t>交建构建集团级数字共享服务平台，先用小而美、轻量化应</w:t>
      </w:r>
      <w:r>
        <w:rPr>
          <w:spacing w:val="-5"/>
        </w:rPr>
        <w:t>用吸</w:t>
      </w:r>
      <w:r>
        <w:rPr>
          <w:spacing w:val="-9"/>
        </w:rPr>
        <w:t>引员工上云、上平台， 再不断完善底层基础设施建设。三是由外</w:t>
      </w:r>
      <w:r>
        <w:rPr>
          <w:spacing w:val="-6"/>
        </w:rPr>
        <w:t>往内做，先做消费侧的数字化，再反哺供给侧的数字化，即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C2B</w:t>
      </w:r>
      <w:r>
        <w:rPr>
          <w:spacing w:val="-26"/>
        </w:rPr>
        <w:t>模式（如图）。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ind w:firstLine="500"/>
        <w:spacing w:line="3125" w:lineRule="exact"/>
        <w:rPr/>
      </w:pPr>
      <w:r>
        <w:rPr>
          <w:position w:val="-62"/>
        </w:rPr>
        <w:drawing>
          <wp:inline distT="0" distB="0" distL="0" distR="0">
            <wp:extent cx="4656943" cy="198493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6943" cy="198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4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．优先拓展四类项目</w:t>
      </w:r>
    </w:p>
    <w:p>
      <w:pPr>
        <w:pStyle w:val="BodyText"/>
        <w:ind w:left="25" w:right="13" w:firstLine="605"/>
        <w:spacing w:before="321" w:line="259" w:lineRule="auto"/>
        <w:jc w:val="both"/>
        <w:rPr/>
      </w:pPr>
      <w:r>
        <w:rPr>
          <w:spacing w:val="-5"/>
        </w:rPr>
        <w:t>项目优先拓展原则主要从持续增收潜力、示范性、利润等维</w:t>
      </w:r>
      <w:r>
        <w:rPr>
          <w:spacing w:val="-4"/>
        </w:rPr>
        <w:t>度考虑，具体包括：①可规模化获客、订单规模大、可续签成为</w:t>
      </w:r>
      <w:r>
        <w:rPr>
          <w:spacing w:val="-4"/>
        </w:rPr>
        <w:t>年框类型的潜力项目；②政务云等新兴解决方案，可打造成标杆</w:t>
      </w:r>
      <w:r>
        <w:rPr>
          <w:spacing w:val="-4"/>
        </w:rPr>
        <w:t>或形成标准化服务能力的项目；③无需定制开发、利润率高、可</w:t>
      </w:r>
      <w:r>
        <w:rPr>
          <w:spacing w:val="-2"/>
        </w:rPr>
        <w:t>标准化生产的项目；④可通过生态完成大部分交付的项目。</w:t>
      </w:r>
    </w:p>
    <w:p>
      <w:pPr>
        <w:pStyle w:val="BodyText"/>
        <w:ind w:right="41"/>
        <w:spacing w:before="275" w:line="233" w:lineRule="auto"/>
        <w:outlineLvl w:val="2"/>
        <w:jc w:val="right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．解决方案架构师协调项目售前支撑，前</w:t>
      </w:r>
      <w:r>
        <w:rPr>
          <w:b/>
          <w:bCs/>
          <w:spacing w:val="-3"/>
        </w:rPr>
        <w:t>后端共背丢单率</w:t>
      </w:r>
    </w:p>
    <w:p>
      <w:pPr>
        <w:pStyle w:val="BodyText"/>
        <w:ind w:left="27" w:right="26" w:firstLine="598"/>
        <w:spacing w:before="321" w:line="262" w:lineRule="auto"/>
        <w:rPr/>
      </w:pPr>
      <w:r>
        <w:rPr>
          <w:spacing w:val="-5"/>
        </w:rPr>
        <w:t>产数项目售前流程通常涉及七个环节（如图</w:t>
      </w:r>
      <w:r>
        <w:rPr/>
        <w:t>），</w:t>
      </w:r>
      <w:r>
        <w:rPr>
          <w:spacing w:val="-5"/>
        </w:rPr>
        <w:t>由解决方案</w:t>
      </w:r>
      <w:r>
        <w:rPr>
          <w:spacing w:val="-4"/>
        </w:rPr>
        <w:t>架构师调动各方人力、协调支撑。</w:t>
      </w:r>
    </w:p>
    <w:p>
      <w:pPr>
        <w:spacing w:line="262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ind w:firstLine="346"/>
        <w:spacing w:before="225" w:line="4616" w:lineRule="exact"/>
        <w:rPr/>
      </w:pPr>
      <w:r>
        <w:rPr>
          <w:position w:val="-92"/>
        </w:rPr>
        <w:drawing>
          <wp:inline distT="0" distB="0" distL="0" distR="0">
            <wp:extent cx="4875854" cy="2931481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5854" cy="293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29" w:right="107" w:firstLine="601"/>
        <w:spacing w:before="98" w:line="250" w:lineRule="auto"/>
        <w:jc w:val="both"/>
        <w:rPr/>
      </w:pPr>
      <w:r>
        <w:rPr>
          <w:spacing w:val="-5"/>
        </w:rPr>
        <w:t>项目售前技术支撑团队（包括面向生态的支持）一般为临时</w:t>
      </w:r>
      <w:r>
        <w:rPr>
          <w:spacing w:val="-9"/>
        </w:rPr>
        <w:t>组建，按商机项目金额、是否跨行业等， 灵活调派销售、架构师</w:t>
      </w:r>
      <w:r>
        <w:rPr>
          <w:spacing w:val="-4"/>
        </w:rPr>
        <w:t>（三级支撑）和交付人员，示例如图。</w:t>
      </w:r>
    </w:p>
    <w:p>
      <w:pPr>
        <w:ind w:firstLine="822"/>
        <w:spacing w:line="3364" w:lineRule="exact"/>
        <w:rPr/>
      </w:pPr>
      <w:r>
        <w:rPr>
          <w:position w:val="-67"/>
        </w:rPr>
        <w:drawing>
          <wp:inline distT="0" distB="0" distL="0" distR="0">
            <wp:extent cx="4241291" cy="213664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1291" cy="213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25" w:firstLine="630"/>
        <w:spacing w:before="98" w:line="258" w:lineRule="auto"/>
        <w:jc w:val="both"/>
        <w:rPr/>
      </w:pPr>
      <w:r>
        <w:rPr>
          <w:spacing w:val="-5"/>
        </w:rPr>
        <w:t>同时，腾讯制定了多项支撑保障机制，例如，</w:t>
      </w:r>
      <w:r>
        <w:rPr>
          <w:spacing w:val="-6"/>
        </w:rPr>
        <w:t>要求行业和基</w:t>
      </w:r>
      <w:r>
        <w:rPr>
          <w:spacing w:val="-4"/>
        </w:rPr>
        <w:t>础产品团队分别在 </w:t>
      </w:r>
      <w:r>
        <w:rPr>
          <w:rFonts w:ascii="Times New Roman" w:hAnsi="Times New Roman" w:eastAsia="Times New Roman" w:cs="Times New Roman"/>
          <w:spacing w:val="-4"/>
        </w:rPr>
        <w:t>24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spacing w:val="-4"/>
        </w:rPr>
        <w:t>小时、</w:t>
      </w:r>
      <w:r>
        <w:rPr>
          <w:rFonts w:ascii="Times New Roman" w:hAnsi="Times New Roman" w:eastAsia="Times New Roman" w:cs="Times New Roman"/>
          <w:spacing w:val="-4"/>
        </w:rPr>
        <w:t>72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spacing w:val="-4"/>
        </w:rPr>
        <w:t>小时内带方案回</w:t>
      </w:r>
      <w:r>
        <w:rPr>
          <w:spacing w:val="-5"/>
        </w:rPr>
        <w:t>应需求，销售、</w:t>
      </w:r>
      <w:r>
        <w:rPr>
          <w:spacing w:val="-4"/>
        </w:rPr>
        <w:t>行业解决方案和基础产品团队三方相互进行满意度打分，前后端</w:t>
      </w:r>
      <w:r>
        <w:rPr>
          <w:spacing w:val="-12"/>
        </w:rPr>
        <w:t>共背丢单率（以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OKR </w:t>
      </w:r>
      <w:r>
        <w:rPr>
          <w:spacing w:val="-12"/>
        </w:rPr>
        <w:t>系数体现）。</w:t>
      </w:r>
    </w:p>
    <w:p>
      <w:pPr>
        <w:pStyle w:val="BodyText"/>
        <w:ind w:left="624"/>
        <w:spacing w:before="28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．规范化项目实施与管理，构建可持续的交付与运营能力</w:t>
      </w:r>
    </w:p>
    <w:p>
      <w:pPr>
        <w:pStyle w:val="BodyText"/>
        <w:ind w:left="28" w:right="105" w:firstLine="646"/>
        <w:spacing w:before="322" w:line="262" w:lineRule="auto"/>
        <w:rPr/>
      </w:pPr>
      <w:r>
        <w:rPr>
          <w:spacing w:val="-6"/>
        </w:rPr>
        <w:t>自主交付方面，聚焦重点行业突破，以车联网为例，剖析单</w:t>
      </w:r>
      <w:r>
        <w:rPr>
          <w:spacing w:val="-4"/>
        </w:rPr>
        <w:t>车交付环节中面临的各种管理痛点，逐一攻克，形成规范化的交</w:t>
      </w:r>
    </w:p>
    <w:p>
      <w:pPr>
        <w:spacing w:line="262" w:lineRule="auto"/>
        <w:sectPr>
          <w:pgSz w:w="11907" w:h="16839"/>
          <w:pgMar w:top="1431" w:right="1693" w:bottom="0" w:left="1785" w:header="0" w:footer="0" w:gutter="0"/>
        </w:sectPr>
        <w:rPr/>
      </w:pPr>
    </w:p>
    <w:p>
      <w:pPr>
        <w:pStyle w:val="BodyText"/>
        <w:ind w:left="28" w:right="104" w:hanging="2"/>
        <w:spacing w:before="86" w:line="260" w:lineRule="auto"/>
        <w:jc w:val="both"/>
        <w:rPr/>
      </w:pPr>
      <w:r>
        <w:rPr>
          <w:spacing w:val="-4"/>
        </w:rPr>
        <w:t>付模式，再通过多车多项目交付的归一化（方案、版本、生命周</w:t>
      </w:r>
      <w:r>
        <w:rPr>
          <w:spacing w:val="-17"/>
        </w:rPr>
        <w:t>期等）、标准化建设，</w:t>
      </w:r>
      <w:r>
        <w:rPr>
          <w:spacing w:val="-63"/>
        </w:rPr>
        <w:t xml:space="preserve"> </w:t>
      </w:r>
      <w:r>
        <w:rPr>
          <w:spacing w:val="-17"/>
        </w:rPr>
        <w:t>逐步构建起规模化、生态化的交付能力，单</w:t>
      </w:r>
      <w:r>
        <w:rPr>
          <w:spacing w:val="-7"/>
        </w:rPr>
        <w:t>车交付模式如图。</w:t>
      </w:r>
    </w:p>
    <w:p>
      <w:pPr>
        <w:spacing w:line="46" w:lineRule="exact"/>
        <w:rPr/>
      </w:pPr>
      <w:r/>
    </w:p>
    <w:tbl>
      <w:tblPr>
        <w:tblStyle w:val="TableNormal"/>
        <w:tblW w:w="8205" w:type="dxa"/>
        <w:tblInd w:w="62" w:type="dxa"/>
        <w:tblLayout w:type="fixed"/>
        <w:tblBorders>
          <w:left w:val="single" w:color="7F7F7F" w:sz="4" w:space="0"/>
          <w:bottom w:val="single" w:color="7F7F7F" w:sz="4" w:space="0"/>
          <w:right w:val="single" w:color="7F7F7F" w:sz="4" w:space="0"/>
          <w:top w:val="single" w:color="7F7F7F" w:sz="4" w:space="0"/>
        </w:tblBorders>
      </w:tblPr>
      <w:tblGrid>
        <w:gridCol w:w="8205"/>
      </w:tblGrid>
      <w:tr>
        <w:trPr>
          <w:trHeight w:val="6567" w:hRule="atLeast"/>
        </w:trPr>
        <w:tc>
          <w:tcPr>
            <w:tcW w:w="8205" w:type="dxa"/>
            <w:vAlign w:val="top"/>
          </w:tcPr>
          <w:p>
            <w:pPr>
              <w:ind w:firstLine="103"/>
              <w:spacing w:before="143" w:line="6300" w:lineRule="exact"/>
              <w:rPr/>
            </w:pPr>
            <w:r>
              <w:rPr>
                <w:position w:val="-125"/>
              </w:rPr>
              <w:drawing>
                <wp:inline distT="0" distB="0" distL="0" distR="0">
                  <wp:extent cx="5135123" cy="4000269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35123" cy="4000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28" w:firstLine="598"/>
        <w:spacing w:before="98" w:line="260" w:lineRule="auto"/>
        <w:jc w:val="both"/>
        <w:rPr/>
      </w:pPr>
      <w:r>
        <w:rPr>
          <w:spacing w:val="-9"/>
        </w:rPr>
        <w:t>质量保障方面，设置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PMO</w:t>
      </w:r>
      <w:r>
        <w:rPr>
          <w:spacing w:val="-9"/>
        </w:rPr>
        <w:t>，对项目进行强管控，重点客户专</w:t>
      </w:r>
      <w:r>
        <w:rPr>
          <w:spacing w:val="-6"/>
        </w:rPr>
        <w:t>人交付（如图）。若涉及第三方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ISV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6"/>
        </w:rPr>
        <w:t>合作，则组建联合项目组，</w:t>
      </w:r>
      <w:r>
        <w:rPr/>
        <w:t>分拆交付过程，实施阶段性管控，并设立交付服务商奖惩机</w:t>
      </w:r>
      <w:r>
        <w:rPr>
          <w:spacing w:val="-1"/>
        </w:rPr>
        <w:t>制。</w:t>
      </w:r>
    </w:p>
    <w:p>
      <w:pPr>
        <w:spacing w:line="81" w:lineRule="exact"/>
        <w:rPr/>
      </w:pPr>
      <w:r/>
    </w:p>
    <w:tbl>
      <w:tblPr>
        <w:tblStyle w:val="TableNormal"/>
        <w:tblW w:w="8193" w:type="dxa"/>
        <w:tblInd w:w="76" w:type="dxa"/>
        <w:tblLayout w:type="fixed"/>
        <w:tblBorders>
          <w:left w:val="single" w:color="7F7F7F" w:sz="4" w:space="0"/>
          <w:bottom w:val="single" w:color="7F7F7F" w:sz="4" w:space="0"/>
          <w:right w:val="single" w:color="7F7F7F" w:sz="4" w:space="0"/>
          <w:top w:val="single" w:color="7F7F7F" w:sz="4" w:space="0"/>
        </w:tblBorders>
      </w:tblPr>
      <w:tblGrid>
        <w:gridCol w:w="8193"/>
      </w:tblGrid>
      <w:tr>
        <w:trPr>
          <w:trHeight w:val="2137" w:hRule="atLeast"/>
        </w:trPr>
        <w:tc>
          <w:tcPr>
            <w:tcW w:w="8193" w:type="dxa"/>
            <w:vAlign w:val="top"/>
          </w:tcPr>
          <w:p>
            <w:pPr>
              <w:ind w:firstLine="135"/>
              <w:spacing w:before="103" w:line="1910" w:lineRule="exact"/>
              <w:rPr/>
            </w:pPr>
            <w:r>
              <w:rPr>
                <w:position w:val="-38"/>
              </w:rPr>
              <w:drawing>
                <wp:inline distT="0" distB="0" distL="0" distR="0">
                  <wp:extent cx="5044340" cy="1212818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44340" cy="1212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left="34" w:right="106" w:firstLine="595"/>
        <w:spacing w:before="98" w:line="261" w:lineRule="auto"/>
        <w:jc w:val="both"/>
        <w:rPr/>
      </w:pPr>
      <w:r>
        <w:rPr>
          <w:spacing w:val="7"/>
        </w:rPr>
        <w:t>持续运营方面，设立客户成功团队（占行业线人员比例约</w:t>
      </w:r>
      <w:r>
        <w:rPr>
          <w:rFonts w:ascii="Times New Roman" w:hAnsi="Times New Roman" w:eastAsia="Times New Roman" w:cs="Times New Roman"/>
          <w:spacing w:val="-6"/>
        </w:rPr>
        <w:t>10%</w:t>
      </w:r>
      <w:r>
        <w:rPr>
          <w:spacing w:val="-72"/>
          <w:w w:val="91"/>
        </w:rPr>
        <w:t>），</w:t>
      </w:r>
      <w:r>
        <w:rPr>
          <w:spacing w:val="-6"/>
        </w:rPr>
        <w:t>对老客户持续关怀，提供标准化产品的使用培训等，提高</w:t>
      </w:r>
      <w:r>
        <w:rPr>
          <w:spacing w:val="-3"/>
        </w:rPr>
        <w:t>复购率。若存量客户提出定制化需求，则最快在 </w:t>
      </w:r>
      <w:r>
        <w:rPr>
          <w:rFonts w:ascii="Times New Roman" w:hAnsi="Times New Roman" w:eastAsia="Times New Roman" w:cs="Times New Roman"/>
          <w:spacing w:val="-3"/>
        </w:rPr>
        <w:t>48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-3"/>
        </w:rPr>
        <w:t>小时评估是</w:t>
      </w:r>
    </w:p>
    <w:p>
      <w:pPr>
        <w:spacing w:line="261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35"/>
        <w:spacing w:before="86" w:line="220" w:lineRule="auto"/>
        <w:rPr/>
      </w:pPr>
      <w:r>
        <w:rPr>
          <w:spacing w:val="-11"/>
        </w:rPr>
        <w:t>否可承接。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三、产数</w:t>
      </w:r>
      <w:r>
        <w:rPr>
          <w:rFonts w:ascii="SimHei" w:hAnsi="SimHei" w:eastAsia="SimHei" w:cs="SimHei"/>
          <w:sz w:val="31"/>
          <w:szCs w:val="31"/>
          <w:spacing w:val="-6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GTM</w:t>
      </w:r>
      <w:r>
        <w:rPr>
          <w:rFonts w:ascii="SimHei" w:hAnsi="SimHei" w:eastAsia="SimHei" w:cs="SimHei"/>
          <w:sz w:val="31"/>
          <w:szCs w:val="31"/>
          <w:spacing w:val="-5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实施成效及对运营商的启示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6" w:right="12" w:firstLine="598"/>
        <w:spacing w:before="98" w:line="257" w:lineRule="auto"/>
        <w:jc w:val="both"/>
        <w:rPr/>
      </w:pPr>
      <w:r>
        <w:rPr>
          <w:spacing w:val="-2"/>
        </w:rPr>
        <w:t>腾讯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2022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2"/>
        </w:rPr>
        <w:t>年三季报初步验证了新战略下产数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GTM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-2"/>
        </w:rPr>
        <w:t>模式的</w:t>
      </w:r>
      <w:r>
        <w:rPr>
          <w:spacing w:val="-2"/>
        </w:rPr>
        <w:t>有效性，金融科技与企业服务收入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448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2"/>
        </w:rPr>
        <w:t>亿，同比</w:t>
      </w:r>
      <w:r>
        <w:rPr>
          <w:rFonts w:ascii="Times New Roman" w:hAnsi="Times New Roman" w:eastAsia="Times New Roman" w:cs="Times New Roman"/>
          <w:spacing w:val="-2"/>
        </w:rPr>
        <w:t>+4.6%</w:t>
      </w:r>
      <w:r>
        <w:rPr>
          <w:spacing w:val="-2"/>
        </w:rPr>
        <w:t>（不计转</w:t>
      </w:r>
      <w:r>
        <w:rPr>
          <w:spacing w:val="-3"/>
        </w:rPr>
        <w:t>售收入、减少亏损与低毛利率项目等致使增幅收窄</w:t>
      </w:r>
      <w:r>
        <w:rPr>
          <w:spacing w:val="-14"/>
        </w:rPr>
        <w:t>），</w:t>
      </w:r>
      <w:r>
        <w:rPr>
          <w:spacing w:val="-3"/>
        </w:rPr>
        <w:t>产数毛利</w:t>
      </w:r>
      <w:r>
        <w:rPr>
          <w:spacing w:val="-6"/>
        </w:rPr>
        <w:t>率环比</w:t>
      </w:r>
      <w:r>
        <w:rPr>
          <w:rFonts w:ascii="Times New Roman" w:hAnsi="Times New Roman" w:eastAsia="Times New Roman" w:cs="Times New Roman"/>
          <w:spacing w:val="-6"/>
        </w:rPr>
        <w:t>+7.17%</w:t>
      </w:r>
      <w:r>
        <w:rPr>
          <w:spacing w:val="-6"/>
        </w:rPr>
        <w:t>，自研产品占比超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80%</w:t>
      </w:r>
      <w:r>
        <w:rPr>
          <w:spacing w:val="-6"/>
        </w:rPr>
        <w:t>，医疗、工业、能</w:t>
      </w:r>
      <w:r>
        <w:rPr>
          <w:spacing w:val="-7"/>
        </w:rPr>
        <w:t>源行业增</w:t>
      </w:r>
      <w:r>
        <w:rPr>
          <w:spacing w:val="-2"/>
          <w:position w:val="-1"/>
        </w:rPr>
        <w:t>长较快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9"/>
        </w:rPr>
        <w:t>5</w:t>
      </w:r>
      <w:r>
        <w:rPr>
          <w:spacing w:val="-2"/>
          <w:position w:val="-1"/>
        </w:rPr>
        <w:t>。</w:t>
      </w:r>
    </w:p>
    <w:p>
      <w:pPr>
        <w:pStyle w:val="BodyText"/>
        <w:ind w:left="624"/>
        <w:spacing w:before="287" w:line="220" w:lineRule="auto"/>
        <w:rPr/>
      </w:pPr>
      <w:r>
        <w:rPr>
          <w:spacing w:val="-4"/>
        </w:rPr>
        <w:t>腾讯产数发展思路及特点主要带给运营商三点启示：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．要找准产数发展能级跃升的着力点</w:t>
      </w:r>
    </w:p>
    <w:p>
      <w:pPr>
        <w:pStyle w:val="BodyText"/>
        <w:ind w:left="25" w:right="13" w:firstLine="599"/>
        <w:spacing w:before="322" w:line="259" w:lineRule="auto"/>
        <w:jc w:val="both"/>
        <w:rPr/>
      </w:pPr>
      <w:r>
        <w:rPr>
          <w:spacing w:val="-12"/>
        </w:rPr>
        <w:t>腾讯的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C2B </w:t>
      </w:r>
      <w:r>
        <w:rPr>
          <w:spacing w:val="-12"/>
        </w:rPr>
        <w:t>优势、产品自研能力、生态能力，</w:t>
      </w:r>
      <w:r>
        <w:rPr>
          <w:spacing w:val="-40"/>
        </w:rPr>
        <w:t xml:space="preserve"> </w:t>
      </w:r>
      <w:r>
        <w:rPr>
          <w:spacing w:val="-12"/>
        </w:rPr>
        <w:t>以及当前重点</w:t>
      </w:r>
      <w:r>
        <w:rPr>
          <w:spacing w:val="-4"/>
        </w:rPr>
        <w:t>发力的直销、架构师团队建设（懂行业）等，都是其进入产数市</w:t>
      </w:r>
      <w:r>
        <w:rPr>
          <w:spacing w:val="-4"/>
        </w:rPr>
        <w:t>场的着力点，以这些“点”为支撑，腾讯已初步建立起面向政企</w:t>
      </w:r>
      <w:r>
        <w:rPr>
          <w:spacing w:val="-8"/>
        </w:rPr>
        <w:t>市场的服务体系和模式。运营商可以通过深耕差异化能力，</w:t>
      </w:r>
      <w:r>
        <w:rPr>
          <w:spacing w:val="-34"/>
        </w:rPr>
        <w:t xml:space="preserve"> </w:t>
      </w:r>
      <w:r>
        <w:rPr>
          <w:spacing w:val="-8"/>
        </w:rPr>
        <w:t>推动</w:t>
      </w:r>
      <w:r>
        <w:rPr>
          <w:spacing w:val="-8"/>
        </w:rPr>
        <w:t>产数发展再上新台阶。例如，</w:t>
      </w:r>
      <w:r>
        <w:rPr>
          <w:spacing w:val="-32"/>
        </w:rPr>
        <w:t xml:space="preserve"> </w:t>
      </w:r>
      <w:r>
        <w:rPr>
          <w:spacing w:val="-8"/>
        </w:rPr>
        <w:t>利用直销覆盖优势加速拓展下沉市</w:t>
      </w:r>
      <w:r>
        <w:rPr>
          <w:spacing w:val="-4"/>
        </w:rPr>
        <w:t>场；深挖政企存量资源，按数字化程度细分客户，推动需求持续</w:t>
      </w:r>
      <w:r>
        <w:rPr>
          <w:spacing w:val="-11"/>
        </w:rPr>
        <w:t>迭代等。</w:t>
      </w:r>
    </w:p>
    <w:p>
      <w:pPr>
        <w:pStyle w:val="BodyText"/>
        <w:ind w:left="624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．要形成符合自身特点的产品发展逻辑</w:t>
      </w:r>
    </w:p>
    <w:p>
      <w:pPr>
        <w:pStyle w:val="BodyText"/>
        <w:ind w:left="25" w:right="13" w:firstLine="601"/>
        <w:spacing w:before="325" w:line="260" w:lineRule="auto"/>
        <w:rPr/>
      </w:pPr>
      <w:r>
        <w:rPr>
          <w:spacing w:val="-4"/>
        </w:rPr>
        <w:t>借鉴腾讯的产品思维，建议运营商强化前瞻性布</w:t>
      </w:r>
      <w:r>
        <w:rPr>
          <w:spacing w:val="-5"/>
        </w:rPr>
        <w:t>局能力，同</w:t>
      </w:r>
      <w:r>
        <w:rPr>
          <w:spacing w:val="-4"/>
        </w:rPr>
        <w:t>时，聚焦优势产品和潜力产品，从两个维度规划发展，一是持续</w:t>
      </w:r>
      <w:r>
        <w:rPr>
          <w:spacing w:val="-14"/>
        </w:rPr>
        <w:t>对标，做专做精，且要有平台化意识，如腾讯会议推出应用商店；</w:t>
      </w:r>
      <w:r>
        <w:rPr>
          <w:spacing w:val="-4"/>
        </w:rPr>
        <w:t>二是扩大场景覆盖，逐渐从满足单一场景需求向全局场景需求过</w:t>
      </w:r>
      <w:r>
        <w:rPr>
          <w:spacing w:val="-4"/>
        </w:rPr>
        <w:t>渡，构建完整的赛道产品和解决方案体系（如云网融合、信创赛</w:t>
      </w:r>
      <w:r>
        <w:rPr>
          <w:spacing w:val="-61"/>
        </w:rPr>
        <w:t>道）。</w:t>
      </w:r>
    </w:p>
    <w:p>
      <w:pPr>
        <w:pStyle w:val="BodyText"/>
        <w:ind w:left="621"/>
        <w:spacing w:before="26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．要建立可持续的产品竞争力提升路径</w:t>
      </w:r>
    </w:p>
    <w:p>
      <w:pPr>
        <w:pStyle w:val="BodyText"/>
        <w:ind w:right="12"/>
        <w:spacing w:before="322" w:line="220" w:lineRule="auto"/>
        <w:jc w:val="right"/>
        <w:rPr/>
      </w:pPr>
      <w:r>
        <w:rPr>
          <w:spacing w:val="-4"/>
        </w:rPr>
        <w:t>腾讯基于千帆和云启生态，建立起自研产品与生态产品长期</w:t>
      </w:r>
    </w:p>
    <w:p>
      <w:pPr>
        <w:spacing w:line="352" w:lineRule="auto"/>
        <w:rPr>
          <w:rFonts w:ascii="Arial"/>
          <w:sz w:val="21"/>
        </w:rPr>
      </w:pPr>
      <w:r>
        <w:pict>
          <v:shape id="_x0000_s8" style="position:absolute;margin-left:0.72599pt;margin-top:13.7457pt;mso-position-vertical-relative:text;mso-position-horizontal-relative:text;width:144.05pt;height:0.5pt;z-index:251667456;" fillcolor="#000000" filled="true" stroked="false" coordsize="2881,10" coordorigin="0,0" path="m0,9l2880,9l2880,0l0,0l0,9xe"/>
        </w:pict>
      </w:r>
      <w:r/>
    </w:p>
    <w:p>
      <w:pPr>
        <w:ind w:left="20"/>
        <w:spacing w:before="68" w:line="235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5</w:t>
      </w:r>
      <w:r>
        <w:rPr>
          <w:rFonts w:ascii="DengXian" w:hAnsi="DengXian" w:eastAsia="DengXian" w:cs="DengXian"/>
          <w:sz w:val="11"/>
          <w:szCs w:val="11"/>
          <w:spacing w:val="-15"/>
          <w:position w:val="10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"/>
        </w:rPr>
        <w:t>相关数据来源于腾讯财报和专家访谈。</w:t>
      </w:r>
    </w:p>
    <w:p>
      <w:pPr>
        <w:spacing w:line="235" w:lineRule="auto"/>
        <w:sectPr>
          <w:pgSz w:w="11907" w:h="16839"/>
          <w:pgMar w:top="1431" w:right="1785" w:bottom="0" w:left="1785" w:header="0" w:footer="0" w:gutter="0"/>
        </w:sectPr>
        <w:rPr>
          <w:rFonts w:ascii="FangSong" w:hAnsi="FangSong" w:eastAsia="FangSong" w:cs="FangSong"/>
          <w:sz w:val="21"/>
          <w:szCs w:val="21"/>
        </w:rPr>
      </w:pPr>
    </w:p>
    <w:p>
      <w:pPr>
        <w:pStyle w:val="BodyText"/>
        <w:ind w:left="25"/>
        <w:spacing w:before="88" w:line="259" w:lineRule="auto"/>
        <w:jc w:val="both"/>
        <w:rPr/>
      </w:pPr>
      <w:r>
        <w:rPr>
          <w:spacing w:val="-4"/>
        </w:rPr>
        <w:t>对接的模式，并针对产品初期标准化、商业化或横向竞争力不足</w:t>
      </w:r>
      <w:r>
        <w:rPr>
          <w:spacing w:val="-9"/>
        </w:rPr>
        <w:t>的情况，采取补贴、返佣激励等手段来提高被集成的概率， 以换</w:t>
      </w:r>
      <w:r>
        <w:rPr>
          <w:spacing w:val="-9"/>
        </w:rPr>
        <w:t>取更多的产品打磨时间，这些做法均较有成效。对于运营商， 还</w:t>
      </w:r>
      <w:r>
        <w:rPr>
          <w:spacing w:val="-4"/>
        </w:rPr>
        <w:t>可凭借央企品牌和总集优势，优先拓展信创需求较强的客户，打</w:t>
      </w:r>
      <w:r>
        <w:rPr>
          <w:spacing w:val="-1"/>
        </w:rPr>
        <w:t>造产品标杆效应，同时，不断提高产品的标准化、可配置程度，</w:t>
      </w:r>
      <w:r>
        <w:rPr>
          <w:spacing w:val="-6"/>
        </w:rPr>
        <w:t>降低被集成门槛等。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127787</wp:posOffset>
            </wp:positionH>
            <wp:positionV relativeFrom="paragraph">
              <wp:posOffset>49128</wp:posOffset>
            </wp:positionV>
            <wp:extent cx="1133855" cy="4248911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3855" cy="4248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2514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孙丽娟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【13316090016】</w:t>
      </w:r>
    </w:p>
    <w:p>
      <w:pPr>
        <w:ind w:left="2515" w:right="435" w:firstLine="4"/>
        <w:spacing w:before="111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硕士，长期专注于</w:t>
      </w:r>
      <w:r>
        <w:rPr>
          <w:rFonts w:ascii="KaiTi" w:hAnsi="KaiTi" w:eastAsia="KaiTi" w:cs="KaiTi"/>
          <w:sz w:val="28"/>
          <w:szCs w:val="28"/>
          <w:spacing w:val="7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ICT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新兴业务、产业数字</w:t>
      </w:r>
      <w:r>
        <w:rPr>
          <w:rFonts w:ascii="KaiTi" w:hAnsi="KaiTi" w:eastAsia="KaiTi" w:cs="KaiTi"/>
          <w:sz w:val="28"/>
          <w:szCs w:val="28"/>
          <w:spacing w:val="-2"/>
        </w:rPr>
        <w:t>化发展模式及竞争策略研究等相关工作。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2530"/>
        <w:spacing w:before="91" w:line="22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8"/>
        </w:rPr>
        <w:t>方义松</w:t>
      </w:r>
    </w:p>
    <w:p>
      <w:pPr>
        <w:ind w:left="2510" w:right="297" w:firstLine="8"/>
        <w:spacing w:before="106" w:line="223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硕士，长期从事行业发展形势分析、企业竞争</w:t>
      </w:r>
      <w:r>
        <w:rPr>
          <w:rFonts w:ascii="KaiTi" w:hAnsi="KaiTi" w:eastAsia="KaiTi" w:cs="KaiTi"/>
          <w:sz w:val="28"/>
          <w:szCs w:val="28"/>
          <w:spacing w:val="-1"/>
        </w:rPr>
        <w:t>策略研究、企业竞争情报体系建设与运作方法</w:t>
      </w:r>
      <w:r>
        <w:rPr>
          <w:rFonts w:ascii="KaiTi" w:hAnsi="KaiTi" w:eastAsia="KaiTi" w:cs="KaiTi"/>
          <w:sz w:val="28"/>
          <w:szCs w:val="28"/>
          <w:spacing w:val="-1"/>
        </w:rPr>
        <w:t>研究等工作。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2528"/>
        <w:spacing w:before="92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李一明</w:t>
      </w:r>
    </w:p>
    <w:p>
      <w:pPr>
        <w:ind w:left="2530" w:right="297" w:firstLine="14"/>
        <w:spacing w:before="112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高级工程师，在移动业务市场、商业模式研究</w:t>
      </w:r>
      <w:r>
        <w:rPr>
          <w:rFonts w:ascii="KaiTi" w:hAnsi="KaiTi" w:eastAsia="KaiTi" w:cs="KaiTi"/>
          <w:sz w:val="28"/>
          <w:szCs w:val="28"/>
          <w:spacing w:val="-1"/>
        </w:rPr>
        <w:t>方面有超过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25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年的项目经历，近年专</w:t>
      </w:r>
      <w:r>
        <w:rPr>
          <w:rFonts w:ascii="KaiTi" w:hAnsi="KaiTi" w:eastAsia="KaiTi" w:cs="KaiTi"/>
          <w:sz w:val="28"/>
          <w:szCs w:val="28"/>
          <w:spacing w:val="-2"/>
        </w:rPr>
        <w:t>注于</w:t>
      </w:r>
    </w:p>
    <w:p>
      <w:pPr>
        <w:ind w:left="2513"/>
        <w:spacing w:before="4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5G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行业应用、工业互联网等方面的研究。</w:t>
      </w:r>
    </w:p>
    <w:sectPr>
      <w:pgSz w:w="11907" w:h="16839"/>
      <w:pgMar w:top="1431" w:right="1713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variable"/>
    <w:sig w:usb0="00000001" w:usb1="02000000" w:usb2="08000000" w:usb3="00000000" w:csb0="0000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2023-05-08T10:45:52Z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2025-11-04T15:55:11</vt:filetime>
  </property>
</Properties>
</file>