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66"/>
        <w:spacing w:before="420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视联网规模发展问题分析及策略建议</w:t>
      </w:r>
    </w:p>
    <w:p>
      <w:pPr>
        <w:ind w:left="2571"/>
        <w:spacing w:before="334" w:line="208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5"/>
        </w:rPr>
        <w:t>文/</w:t>
      </w:r>
      <w:r>
        <w:rPr>
          <w:rFonts w:ascii="STKaiti" w:hAnsi="STKaiti" w:eastAsia="STKaiti" w:cs="STKaiti"/>
          <w:sz w:val="30"/>
          <w:szCs w:val="30"/>
          <w:spacing w:val="24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梁红燕</w:t>
      </w:r>
      <w:r>
        <w:rPr>
          <w:rFonts w:ascii="STKaiti" w:hAnsi="STKaiti" w:eastAsia="STKaiti" w:cs="STKaiti"/>
          <w:sz w:val="30"/>
          <w:szCs w:val="30"/>
          <w:spacing w:val="16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李娟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江嘉琳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54" w:right="79" w:firstLine="588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4"/>
        </w:rPr>
        <w:t>2021</w:t>
      </w:r>
      <w:r>
        <w:rPr>
          <w:rFonts w:ascii="FangSong" w:hAnsi="FangSong" w:eastAsia="FangSong" w:cs="FangSong"/>
          <w:sz w:val="30"/>
          <w:szCs w:val="30"/>
          <w:spacing w:val="-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年底中国电信正式对外发布天翼视联网，经过</w:t>
      </w:r>
      <w:r>
        <w:rPr>
          <w:rFonts w:ascii="FangSong" w:hAnsi="FangSong" w:eastAsia="FangSong" w:cs="FangSong"/>
          <w:sz w:val="30"/>
          <w:szCs w:val="30"/>
          <w:spacing w:val="-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1</w:t>
      </w:r>
      <w:r>
        <w:rPr>
          <w:rFonts w:ascii="FangSong" w:hAnsi="FangSong" w:eastAsia="FangSong" w:cs="FangSong"/>
          <w:sz w:val="30"/>
          <w:szCs w:val="30"/>
          <w:spacing w:val="-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年多</w:t>
      </w:r>
      <w:r>
        <w:rPr>
          <w:rFonts w:ascii="FangSong" w:hAnsi="FangSong" w:eastAsia="FangSong" w:cs="FangSong"/>
          <w:sz w:val="30"/>
          <w:szCs w:val="30"/>
          <w:spacing w:val="-4"/>
        </w:rPr>
        <w:t>的快速发展已初具规模，但在庞大的产业链中</w:t>
      </w:r>
      <w:r>
        <w:rPr>
          <w:rFonts w:ascii="FangSong" w:hAnsi="FangSong" w:eastAsia="FangSong" w:cs="FangSong"/>
          <w:sz w:val="30"/>
          <w:szCs w:val="30"/>
          <w:spacing w:val="-5"/>
        </w:rPr>
        <w:t>仍难以与视频监控</w:t>
      </w:r>
      <w:r>
        <w:rPr>
          <w:rFonts w:ascii="FangSong" w:hAnsi="FangSong" w:eastAsia="FangSong" w:cs="FangSong"/>
          <w:sz w:val="30"/>
          <w:szCs w:val="30"/>
          <w:spacing w:val="-3"/>
        </w:rPr>
        <w:t>龙头厂商相抗衡，亟需结合运营商自身特点寻求突破。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一、视联网产业现状及市场地位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pStyle w:val="BodyText"/>
        <w:ind w:left="5824"/>
        <w:spacing w:before="56" w:line="277" w:lineRule="exact"/>
        <w:rPr>
          <w:rFonts w:ascii="Microsoft YaHei" w:hAnsi="Microsoft YaHei" w:eastAsia="Microsoft YaHei" w:cs="Microsoft YaHei"/>
          <w:sz w:val="13"/>
          <w:szCs w:val="13"/>
        </w:rPr>
      </w:pPr>
      <w:r>
        <w:rPr>
          <w:color w:val="404040"/>
          <w:spacing w:val="3"/>
          <w:position w:val="2"/>
        </w:rPr>
        <w:t>14302</w:t>
      </w:r>
      <w:r>
        <w:rPr>
          <w:color w:val="404040"/>
          <w:spacing w:val="3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3"/>
          <w:szCs w:val="13"/>
          <w:b/>
          <w:bCs/>
          <w:spacing w:val="3"/>
        </w:rPr>
        <w:t>基础零组件赛道：</w:t>
      </w:r>
    </w:p>
    <w:p>
      <w:pPr>
        <w:ind w:left="6713"/>
        <w:spacing w:before="50" w:line="205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spacing w:val="8"/>
        </w:rPr>
        <w:t>增速快、体量小</w:t>
      </w:r>
    </w:p>
    <w:p>
      <w:pPr>
        <w:ind w:left="6716" w:right="722" w:firstLine="7"/>
        <w:spacing w:before="178" w:line="232" w:lineRule="auto"/>
        <w:rPr>
          <w:rFonts w:ascii="Microsoft YaHei" w:hAnsi="Microsoft YaHei" w:eastAsia="Microsoft YaHei" w:cs="Microsoft YaHei"/>
          <w:sz w:val="13"/>
          <w:szCs w:val="13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17983</wp:posOffset>
            </wp:positionH>
            <wp:positionV relativeFrom="paragraph">
              <wp:posOffset>-167309</wp:posOffset>
            </wp:positionV>
            <wp:extent cx="4282439" cy="284530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2439" cy="2845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" style="position:absolute;margin-left:235.796pt;margin-top:3.78755pt;mso-position-vertical-relative:text;mso-position-horizontal-relative:text;width:32.9pt;height:14.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9" w:lineRule="exact"/>
                    <w:rPr/>
                  </w:pPr>
                  <w:r>
                    <w:rPr>
                      <w:color w:val="404040"/>
                      <w:spacing w:val="-3"/>
                    </w:rPr>
                    <w:t>12482</w:t>
                  </w:r>
                </w:p>
              </w:txbxContent>
            </v:textbox>
          </v:shape>
        </w:pict>
      </w:r>
      <w:r>
        <w:pict>
          <v:shape id="_x0000_s6" style="position:absolute;margin-left:179.426pt;margin-top:27.2175pt;mso-position-vertical-relative:text;mso-position-horizontal-relative:text;width:32.9pt;height:14.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9" w:lineRule="exact"/>
                    <w:rPr/>
                  </w:pPr>
                  <w:r>
                    <w:rPr>
                      <w:color w:val="404040"/>
                      <w:spacing w:val="-3"/>
                    </w:rPr>
                    <w:t>11012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3"/>
          <w:szCs w:val="13"/>
          <w:b/>
          <w:bCs/>
          <w:spacing w:val="5"/>
        </w:rPr>
        <w:t>接入基础赛道：</w:t>
      </w:r>
      <w:r>
        <w:rPr>
          <w:rFonts w:ascii="Microsoft YaHei" w:hAnsi="Microsoft YaHei" w:eastAsia="Microsoft YaHei" w:cs="Microsoft YaHei"/>
          <w:sz w:val="13"/>
          <w:szCs w:val="13"/>
          <w:spacing w:val="9"/>
        </w:rPr>
        <w:t>运营商独有优势</w:t>
      </w:r>
      <w:r>
        <w:rPr>
          <w:rFonts w:ascii="Microsoft YaHei" w:hAnsi="Microsoft YaHei" w:eastAsia="Microsoft YaHei" w:cs="Microsoft YaHei"/>
          <w:sz w:val="13"/>
          <w:szCs w:val="13"/>
          <w:b/>
          <w:bCs/>
          <w:spacing w:val="3"/>
        </w:rPr>
        <w:t>云平台赛道：</w:t>
      </w:r>
    </w:p>
    <w:p>
      <w:pPr>
        <w:ind w:left="6713"/>
        <w:spacing w:before="13" w:line="205" w:lineRule="auto"/>
        <w:rPr>
          <w:rFonts w:ascii="Microsoft YaHei" w:hAnsi="Microsoft YaHei" w:eastAsia="Microsoft YaHei" w:cs="Microsoft YaHei"/>
          <w:sz w:val="13"/>
          <w:szCs w:val="13"/>
        </w:rPr>
      </w:pPr>
      <w:r>
        <w:pict>
          <v:shape id="_x0000_s8" style="position:absolute;margin-left:290.206pt;margin-top:-7.07989pt;mso-position-vertical-relative:text;mso-position-horizontal-relative:text;width:32.9pt;height:14.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9" w:lineRule="exact"/>
                    <w:rPr/>
                  </w:pPr>
                  <w:r>
                    <w:rPr>
                      <w:color w:val="404040"/>
                      <w:spacing w:val="-2"/>
                    </w:rPr>
                    <w:t>14.7%</w:t>
                  </w:r>
                </w:p>
              </w:txbxContent>
            </v:textbox>
          </v:shape>
        </w:pict>
      </w:r>
      <w:r>
        <w:pict>
          <v:shape id="_x0000_s10" style="position:absolute;margin-left:126.947pt;margin-top:3.29011pt;mso-position-vertical-relative:text;mso-position-horizontal-relative:text;width:26.7pt;height:14.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9" w:lineRule="exact"/>
                    <w:rPr/>
                  </w:pPr>
                  <w:r>
                    <w:rPr>
                      <w:color w:val="404040"/>
                      <w:spacing w:val="-3"/>
                    </w:rPr>
                    <w:t>9812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3"/>
          <w:szCs w:val="13"/>
          <w:spacing w:val="8"/>
        </w:rPr>
        <w:t>增速快</w:t>
      </w:r>
    </w:p>
    <w:p>
      <w:pPr>
        <w:ind w:left="6713" w:right="871"/>
        <w:spacing w:before="49" w:line="268" w:lineRule="auto"/>
        <w:rPr>
          <w:rFonts w:ascii="Microsoft YaHei" w:hAnsi="Microsoft YaHei" w:eastAsia="Microsoft YaHei" w:cs="Microsoft YaHei"/>
          <w:sz w:val="13"/>
          <w:szCs w:val="13"/>
        </w:rPr>
      </w:pPr>
      <w:r>
        <w:pict>
          <v:shape id="_x0000_s12" style="position:absolute;margin-left:234.816pt;margin-top:0.396451pt;mso-position-vertical-relative:text;mso-position-horizontal-relative:text;width:32.9pt;height:14.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9" w:lineRule="exact"/>
                    <w:rPr/>
                  </w:pPr>
                  <w:r>
                    <w:rPr>
                      <w:color w:val="404040"/>
                      <w:spacing w:val="-1"/>
                    </w:rPr>
                    <w:t>13.5%</w:t>
                  </w:r>
                </w:p>
              </w:txbxContent>
            </v:textbox>
          </v:shape>
        </w:pict>
      </w:r>
      <w:r>
        <w:pict>
          <v:shape id="_x0000_s14" style="position:absolute;margin-left:71.6097pt;margin-top:8.19644pt;mso-position-vertical-relative:text;mso-position-horizontal-relative:text;width:26.65pt;height:14.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9" w:lineRule="exact"/>
                    <w:rPr/>
                  </w:pPr>
                  <w:r>
                    <w:rPr>
                      <w:color w:val="404040"/>
                      <w:spacing w:val="-3"/>
                    </w:rPr>
                    <w:t>8822</w:t>
                  </w:r>
                </w:p>
              </w:txbxContent>
            </v:textbox>
          </v:shape>
        </w:pict>
      </w:r>
      <w:r>
        <w:pict>
          <v:shape id="_x0000_s16" style="position:absolute;margin-left:179.426pt;margin-top:15.1765pt;mso-position-vertical-relative:text;mso-position-horizontal-relative:text;width:32.9pt;height:14.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9" w:lineRule="exact"/>
                    <w:rPr/>
                  </w:pPr>
                  <w:r>
                    <w:rPr>
                      <w:color w:val="404040"/>
                      <w:spacing w:val="-2"/>
                    </w:rPr>
                    <w:t>12.2%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3"/>
          <w:szCs w:val="13"/>
          <w:spacing w:val="8"/>
        </w:rPr>
        <w:t>体量逐年变大</w:t>
      </w:r>
      <w:r>
        <w:rPr>
          <w:rFonts w:ascii="Microsoft YaHei" w:hAnsi="Microsoft YaHei" w:eastAsia="Microsoft YaHei" w:cs="Microsoft YaHei"/>
          <w:sz w:val="13"/>
          <w:szCs w:val="13"/>
          <w:spacing w:val="8"/>
        </w:rPr>
        <w:t>运营商优势大</w:t>
      </w:r>
    </w:p>
    <w:p>
      <w:pPr>
        <w:pStyle w:val="BodyText"/>
        <w:ind w:left="2500"/>
        <w:spacing w:before="27" w:line="249" w:lineRule="exact"/>
        <w:rPr/>
      </w:pPr>
      <w:r>
        <w:pict>
          <v:shape id="_x0000_s18" style="position:absolute;margin-left:16.2197pt;margin-top:-4.54263pt;mso-position-vertical-relative:text;mso-position-horizontal-relative:text;width:82.05pt;height:38.9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4"/>
                    <w:spacing w:before="20" w:line="249" w:lineRule="exact"/>
                    <w:rPr/>
                  </w:pPr>
                  <w:r>
                    <w:rPr>
                      <w:color w:val="404040"/>
                      <w:spacing w:val="-4"/>
                    </w:rPr>
                    <w:t>7998</w:t>
                  </w:r>
                </w:p>
                <w:p>
                  <w:pPr>
                    <w:pStyle w:val="BodyText"/>
                    <w:ind w:left="20" w:right="20" w:firstLine="1106"/>
                    <w:spacing w:before="59" w:line="245" w:lineRule="auto"/>
                    <w:rPr/>
                  </w:pPr>
                  <w:r>
                    <w:rPr>
                      <w:color w:val="404040"/>
                      <w:spacing w:val="-4"/>
                    </w:rPr>
                    <w:t>9.7%</w:t>
                  </w:r>
                  <w:r>
                    <w:rPr>
                      <w:color w:val="404040"/>
                      <w:spacing w:val="2"/>
                    </w:rPr>
                    <w:t xml:space="preserve"> </w:t>
                  </w:r>
                  <w:r>
                    <w:rPr>
                      <w:color w:val="404040"/>
                      <w:spacing w:val="-1"/>
                    </w:rPr>
                    <w:t>8.5%</w:t>
                  </w:r>
                </w:p>
              </w:txbxContent>
            </v:textbox>
          </v:shape>
        </w:pict>
      </w:r>
      <w:r>
        <w:rPr>
          <w:color w:val="404040"/>
          <w:spacing w:val="-2"/>
        </w:rPr>
        <w:t>10.9%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ind w:left="6783" w:right="689"/>
        <w:spacing w:before="56" w:line="258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b/>
          <w:bCs/>
          <w:spacing w:val="7"/>
        </w:rPr>
        <w:t>解决方案  及</w:t>
      </w:r>
      <w:r>
        <w:rPr>
          <w:rFonts w:ascii="Microsoft YaHei" w:hAnsi="Microsoft YaHei" w:eastAsia="Microsoft YaHei" w:cs="Microsoft YaHei"/>
          <w:sz w:val="13"/>
          <w:szCs w:val="13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b/>
          <w:bCs/>
          <w:spacing w:val="5"/>
        </w:rPr>
        <w:t>终端设备赛道：</w:t>
      </w:r>
    </w:p>
    <w:p>
      <w:pPr>
        <w:ind w:left="6783" w:right="801"/>
        <w:spacing w:line="258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spacing w:val="8"/>
        </w:rPr>
        <w:t>运营商优势小</w:t>
      </w:r>
      <w:r>
        <w:rPr>
          <w:rFonts w:ascii="Microsoft YaHei" w:hAnsi="Microsoft YaHei" w:eastAsia="Microsoft YaHei" w:cs="Microsoft YaHei"/>
          <w:sz w:val="13"/>
          <w:szCs w:val="13"/>
          <w:spacing w:val="8"/>
        </w:rPr>
        <w:t>增速慢</w:t>
      </w:r>
    </w:p>
    <w:p>
      <w:pPr>
        <w:ind w:left="6783"/>
        <w:spacing w:before="1" w:line="204" w:lineRule="auto"/>
        <w:rPr>
          <w:rFonts w:ascii="Microsoft YaHei" w:hAnsi="Microsoft YaHei" w:eastAsia="Microsoft YaHei" w:cs="Microsoft YaHei"/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spacing w:val="8"/>
        </w:rPr>
        <w:t>体量基本稳定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347"/>
        <w:spacing w:before="53" w:line="249" w:lineRule="exact"/>
        <w:rPr/>
      </w:pPr>
      <w:r>
        <w:rPr>
          <w:color w:val="595959"/>
          <w:spacing w:val="-3"/>
        </w:rPr>
        <w:t>2020</w:t>
      </w:r>
      <w:r>
        <w:rPr>
          <w:color w:val="595959"/>
          <w:spacing w:val="-3"/>
        </w:rPr>
        <w:t xml:space="preserve">     </w:t>
      </w:r>
      <w:r>
        <w:rPr>
          <w:color w:val="595959"/>
          <w:spacing w:val="-3"/>
        </w:rPr>
        <w:t>2021</w:t>
      </w:r>
      <w:r>
        <w:rPr>
          <w:color w:val="595959"/>
          <w:spacing w:val="-3"/>
        </w:rPr>
        <w:t xml:space="preserve">     </w:t>
      </w:r>
      <w:r>
        <w:rPr>
          <w:color w:val="595959"/>
          <w:spacing w:val="-3"/>
        </w:rPr>
        <w:t>2022</w:t>
      </w:r>
      <w:r>
        <w:rPr>
          <w:color w:val="595959"/>
          <w:spacing w:val="12"/>
        </w:rPr>
        <w:t xml:space="preserve">    </w:t>
      </w:r>
      <w:r>
        <w:rPr>
          <w:color w:val="595959"/>
          <w:spacing w:val="-4"/>
        </w:rPr>
        <w:t>2023E</w:t>
      </w:r>
      <w:r>
        <w:rPr>
          <w:color w:val="595959"/>
          <w:spacing w:val="-4"/>
        </w:rPr>
        <w:t xml:space="preserve">    </w:t>
      </w:r>
      <w:r>
        <w:rPr>
          <w:color w:val="595959"/>
          <w:spacing w:val="-4"/>
        </w:rPr>
        <w:t>2024E</w:t>
      </w:r>
      <w:r>
        <w:rPr>
          <w:color w:val="595959"/>
          <w:spacing w:val="-4"/>
        </w:rPr>
        <w:t xml:space="preserve">    </w:t>
      </w:r>
      <w:r>
        <w:rPr>
          <w:color w:val="595959"/>
          <w:spacing w:val="-4"/>
        </w:rPr>
        <w:t>2025E</w:t>
      </w:r>
    </w:p>
    <w:p>
      <w:pPr>
        <w:pStyle w:val="BodyText"/>
        <w:ind w:left="102"/>
        <w:spacing w:before="242" w:line="19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color w:val="2E75B6"/>
          <w:spacing w:val="6"/>
          <w:position w:val="5"/>
        </w:rPr>
        <w:t>u</w:t>
      </w:r>
      <w:r>
        <w:rPr>
          <w:rFonts w:ascii="Arial" w:hAnsi="Arial" w:eastAsia="Arial" w:cs="Arial"/>
          <w:sz w:val="19"/>
          <w:szCs w:val="19"/>
          <w:color w:val="2E75B6"/>
          <w:spacing w:val="-7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6"/>
        </w:rPr>
        <w:t>解决方案 </w:t>
      </w:r>
      <w:r>
        <w:rPr>
          <w:sz w:val="19"/>
          <w:szCs w:val="19"/>
          <w:position w:val="5"/>
        </w:rPr>
        <w:drawing>
          <wp:inline distT="0" distB="0" distL="0" distR="0">
            <wp:extent cx="56388" cy="5638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88" cy="5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6"/>
        </w:rPr>
        <w:t>终端设备 </w:t>
      </w:r>
      <w:r>
        <w:rPr>
          <w:rFonts w:ascii="Arial" w:hAnsi="Arial" w:eastAsia="Arial" w:cs="Arial"/>
          <w:sz w:val="19"/>
          <w:szCs w:val="19"/>
          <w:color w:val="ED7D31"/>
          <w:spacing w:val="6"/>
          <w:position w:val="5"/>
        </w:rPr>
        <w:t>u</w:t>
      </w:r>
      <w:r>
        <w:rPr>
          <w:rFonts w:ascii="Arial" w:hAnsi="Arial" w:eastAsia="Arial" w:cs="Arial"/>
          <w:sz w:val="19"/>
          <w:szCs w:val="19"/>
          <w:color w:val="ED7D31"/>
          <w:spacing w:val="-9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6"/>
        </w:rPr>
        <w:t>云平台服务能力 </w:t>
      </w:r>
      <w:r>
        <w:rPr>
          <w:sz w:val="19"/>
          <w:szCs w:val="19"/>
          <w:position w:val="5"/>
        </w:rPr>
        <w:drawing>
          <wp:inline distT="0" distB="0" distL="0" distR="0">
            <wp:extent cx="57911" cy="5638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1" cy="5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6"/>
        </w:rPr>
        <w:t>接入基础设施 </w:t>
      </w:r>
      <w:r>
        <w:rPr>
          <w:rFonts w:ascii="Arial" w:hAnsi="Arial" w:eastAsia="Arial" w:cs="Arial"/>
          <w:sz w:val="19"/>
          <w:szCs w:val="19"/>
          <w:color w:val="A6A6A6"/>
          <w:spacing w:val="6"/>
          <w:position w:val="5"/>
        </w:rPr>
        <w:t>u</w:t>
      </w:r>
      <w:r>
        <w:rPr>
          <w:rFonts w:ascii="Arial" w:hAnsi="Arial" w:eastAsia="Arial" w:cs="Arial"/>
          <w:sz w:val="19"/>
          <w:szCs w:val="19"/>
          <w:color w:val="A6A6A6"/>
          <w:spacing w:val="-9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6"/>
        </w:rPr>
        <w:t>芯片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color w:val="D9D9D9"/>
          <w:spacing w:val="6"/>
          <w:position w:val="5"/>
        </w:rPr>
        <w:t>a</w:t>
      </w:r>
      <w:r>
        <w:rPr>
          <w:rFonts w:ascii="Arial" w:hAnsi="Arial" w:eastAsia="Arial" w:cs="Arial"/>
          <w:sz w:val="19"/>
          <w:szCs w:val="19"/>
          <w:color w:val="D9D9D9"/>
          <w:spacing w:val="-12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6"/>
        </w:rPr>
        <w:t>其他零组件</w:t>
      </w:r>
      <w:r>
        <w:rPr>
          <w:sz w:val="19"/>
          <w:szCs w:val="19"/>
          <w:color w:val="595959"/>
          <w:spacing w:val="6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color w:val="595959"/>
          <w:spacing w:val="6"/>
        </w:rPr>
        <w:t>镜头、传感等）</w:t>
      </w:r>
    </w:p>
    <w:p>
      <w:pPr>
        <w:ind w:left="1867"/>
        <w:spacing w:before="161" w:line="218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3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视联网各赛道规模及趋势分析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650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1.  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云平台服务是核心机会点，电信具备发力优势。</w:t>
      </w:r>
    </w:p>
    <w:p>
      <w:pPr>
        <w:ind w:left="39" w:firstLine="595"/>
        <w:spacing w:before="322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2021</w:t>
      </w:r>
      <w:r>
        <w:rPr>
          <w:rFonts w:ascii="Times New Roman" w:hAnsi="Times New Roman" w:eastAsia="Times New Roman" w:cs="Times New Roman"/>
          <w:sz w:val="30"/>
          <w:szCs w:val="30"/>
          <w:spacing w:val="5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年视联网市场规模达到</w:t>
      </w:r>
      <w:r>
        <w:rPr>
          <w:rFonts w:ascii="SimSun" w:hAnsi="SimSun" w:eastAsia="SimSun" w:cs="SimSun"/>
          <w:sz w:val="30"/>
          <w:szCs w:val="3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8822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亿元，预计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2025</w:t>
      </w:r>
      <w:r>
        <w:rPr>
          <w:rFonts w:ascii="Times New Roman" w:hAnsi="Times New Roman" w:eastAsia="Times New Roman" w:cs="Times New Roman"/>
          <w:sz w:val="30"/>
          <w:szCs w:val="30"/>
          <w:spacing w:val="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年将突</w:t>
      </w:r>
      <w:r>
        <w:rPr>
          <w:rFonts w:ascii="SimSun" w:hAnsi="SimSun" w:eastAsia="SimSun" w:cs="SimSun"/>
          <w:sz w:val="30"/>
          <w:szCs w:val="30"/>
          <w:spacing w:val="-4"/>
        </w:rPr>
        <w:t>破万亿。其中，终端和解决方案赛道占据产业链近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80%</w:t>
      </w:r>
      <w:r>
        <w:rPr>
          <w:rFonts w:ascii="SimSun" w:hAnsi="SimSun" w:eastAsia="SimSun" w:cs="SimSun"/>
          <w:sz w:val="30"/>
          <w:szCs w:val="30"/>
          <w:spacing w:val="-4"/>
        </w:rPr>
        <w:t>的规</w:t>
      </w:r>
      <w:r>
        <w:rPr>
          <w:rFonts w:ascii="SimSun" w:hAnsi="SimSun" w:eastAsia="SimSun" w:cs="SimSun"/>
          <w:sz w:val="30"/>
          <w:szCs w:val="30"/>
          <w:spacing w:val="-5"/>
        </w:rPr>
        <w:t>模，</w:t>
      </w:r>
      <w:r>
        <w:rPr>
          <w:rFonts w:ascii="SimSun" w:hAnsi="SimSun" w:eastAsia="SimSun" w:cs="SimSun"/>
          <w:sz w:val="30"/>
          <w:szCs w:val="30"/>
          <w:spacing w:val="-9"/>
        </w:rPr>
        <w:t>已被海康、大华等龙头垄断， 短期内很难改变市场格局。相比而</w:t>
      </w:r>
      <w:r>
        <w:rPr>
          <w:rFonts w:ascii="SimSun" w:hAnsi="SimSun" w:eastAsia="SimSun" w:cs="SimSun"/>
          <w:sz w:val="30"/>
          <w:szCs w:val="30"/>
          <w:spacing w:val="-7"/>
        </w:rPr>
        <w:t>言，云平台服务赛道产值近千亿，增速高达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25.24%</w:t>
      </w:r>
      <w:r>
        <w:rPr>
          <w:rFonts w:ascii="SimSun" w:hAnsi="SimSun" w:eastAsia="SimSun" w:cs="SimSun"/>
          <w:sz w:val="30"/>
          <w:szCs w:val="30"/>
          <w:spacing w:val="-7"/>
        </w:rPr>
        <w:t>，是视联网产</w:t>
      </w:r>
      <w:r>
        <w:rPr>
          <w:rFonts w:ascii="SimSun" w:hAnsi="SimSun" w:eastAsia="SimSun" w:cs="SimSun"/>
          <w:sz w:val="30"/>
          <w:szCs w:val="30"/>
          <w:spacing w:val="-9"/>
        </w:rPr>
        <w:t>业链的新兴增长级赛道（见图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1</w:t>
      </w:r>
      <w:r>
        <w:rPr>
          <w:rFonts w:ascii="SimSun" w:hAnsi="SimSun" w:eastAsia="SimSun" w:cs="SimSun"/>
          <w:sz w:val="30"/>
          <w:szCs w:val="30"/>
          <w:spacing w:val="-9"/>
        </w:rPr>
        <w:t>）。</w:t>
      </w:r>
    </w:p>
    <w:p>
      <w:pPr>
        <w:spacing w:line="260" w:lineRule="auto"/>
        <w:sectPr>
          <w:headerReference w:type="default" r:id="rId1"/>
          <w:pgSz w:w="11907" w:h="16839"/>
          <w:pgMar w:top="1223" w:right="1716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4" w:firstLine="631"/>
        <w:spacing w:before="290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电信作为运营商布局云平台服务赛道，能充分发挥高速泛在、</w:t>
      </w:r>
      <w:r>
        <w:rPr>
          <w:rFonts w:ascii="SimSun" w:hAnsi="SimSun" w:eastAsia="SimSun" w:cs="SimSun"/>
          <w:sz w:val="30"/>
          <w:szCs w:val="30"/>
          <w:spacing w:val="-8"/>
        </w:rPr>
        <w:t>云网融合、安全可靠以及全国覆盖的特有优势，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在产业链中形成</w:t>
      </w:r>
      <w:r>
        <w:rPr>
          <w:rFonts w:ascii="SimSun" w:hAnsi="SimSun" w:eastAsia="SimSun" w:cs="SimSun"/>
          <w:sz w:val="30"/>
          <w:szCs w:val="30"/>
          <w:spacing w:val="-6"/>
        </w:rPr>
        <w:t>差异化竞争快速发力。</w:t>
      </w:r>
    </w:p>
    <w:p>
      <w:pPr>
        <w:ind w:left="638"/>
        <w:spacing w:before="27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．市场份额偏低，未来发展挑战巨大</w:t>
      </w:r>
    </w:p>
    <w:p>
      <w:pPr>
        <w:ind w:left="38" w:right="255" w:firstLine="601"/>
        <w:spacing w:before="324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截止到</w:t>
      </w:r>
      <w:r>
        <w:rPr>
          <w:rFonts w:ascii="SimSun" w:hAnsi="SimSun" w:eastAsia="SimSun" w:cs="SimSun"/>
          <w:sz w:val="30"/>
          <w:szCs w:val="3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22</w:t>
      </w:r>
      <w:r>
        <w:rPr>
          <w:rFonts w:ascii="Times New Roman" w:hAnsi="Times New Roman" w:eastAsia="Times New Roman" w:cs="Times New Roman"/>
          <w:sz w:val="30"/>
          <w:szCs w:val="30"/>
          <w:spacing w:val="5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年，电信视联网以</w:t>
      </w:r>
      <w:r>
        <w:rPr>
          <w:rFonts w:ascii="SimSun" w:hAnsi="SimSun" w:eastAsia="SimSun" w:cs="SimSun"/>
          <w:sz w:val="30"/>
          <w:szCs w:val="3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76.5%</w:t>
      </w:r>
      <w:r>
        <w:rPr>
          <w:rFonts w:ascii="SimSun" w:hAnsi="SimSun" w:eastAsia="SimSun" w:cs="SimSun"/>
          <w:sz w:val="30"/>
          <w:szCs w:val="30"/>
          <w:spacing w:val="-2"/>
        </w:rPr>
        <w:t>的高增速发展实现云平</w:t>
      </w:r>
      <w:r>
        <w:rPr>
          <w:rFonts w:ascii="SimSun" w:hAnsi="SimSun" w:eastAsia="SimSun" w:cs="SimSun"/>
          <w:sz w:val="30"/>
          <w:szCs w:val="30"/>
        </w:rPr>
        <w:t>台服务收入约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30 </w:t>
      </w:r>
      <w:r>
        <w:rPr>
          <w:rFonts w:ascii="SimSun" w:hAnsi="SimSun" w:eastAsia="SimSun" w:cs="SimSun"/>
          <w:sz w:val="30"/>
          <w:szCs w:val="30"/>
        </w:rPr>
        <w:t>亿元，但在该赛道的市场份额仅占</w:t>
      </w:r>
      <w:r>
        <w:rPr>
          <w:rFonts w:ascii="Times New Roman" w:hAnsi="Times New Roman" w:eastAsia="Times New Roman" w:cs="Times New Roman"/>
          <w:sz w:val="30"/>
          <w:szCs w:val="30"/>
        </w:rPr>
        <w:t>3.5%</w:t>
      </w:r>
      <w:r>
        <w:rPr>
          <w:rFonts w:ascii="SimSun" w:hAnsi="SimSun" w:eastAsia="SimSun" w:cs="SimSun"/>
          <w:sz w:val="30"/>
          <w:szCs w:val="30"/>
        </w:rPr>
        <w:t>。假设</w:t>
      </w:r>
      <w:r>
        <w:rPr>
          <w:rFonts w:ascii="SimSun" w:hAnsi="SimSun" w:eastAsia="SimSun" w:cs="SimSun"/>
          <w:sz w:val="30"/>
          <w:szCs w:val="30"/>
          <w:spacing w:val="-3"/>
        </w:rPr>
        <w:t>未来三年都能保持如此高的增速（见图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</w:t>
      </w:r>
      <w:r>
        <w:rPr>
          <w:rFonts w:ascii="SimSun" w:hAnsi="SimSun" w:eastAsia="SimSun" w:cs="SimSun"/>
          <w:sz w:val="30"/>
          <w:szCs w:val="30"/>
          <w:spacing w:val="-65"/>
        </w:rPr>
        <w:t>），</w:t>
      </w:r>
      <w:r>
        <w:rPr>
          <w:rFonts w:ascii="SimSun" w:hAnsi="SimSun" w:eastAsia="SimSun" w:cs="SimSun"/>
          <w:sz w:val="30"/>
          <w:szCs w:val="30"/>
          <w:spacing w:val="-3"/>
        </w:rPr>
        <w:t>至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2025 </w:t>
      </w:r>
      <w:r>
        <w:rPr>
          <w:rFonts w:ascii="SimSun" w:hAnsi="SimSun" w:eastAsia="SimSun" w:cs="SimSun"/>
          <w:sz w:val="30"/>
          <w:szCs w:val="30"/>
          <w:spacing w:val="-3"/>
        </w:rPr>
        <w:t>年市占率也</w:t>
      </w:r>
      <w:r>
        <w:rPr>
          <w:rFonts w:ascii="SimSun" w:hAnsi="SimSun" w:eastAsia="SimSun" w:cs="SimSun"/>
          <w:sz w:val="30"/>
          <w:szCs w:val="30"/>
          <w:spacing w:val="-4"/>
        </w:rPr>
        <w:t>仅有</w:t>
      </w:r>
      <w:r>
        <w:rPr>
          <w:rFonts w:ascii="SimSun" w:hAnsi="SimSun" w:eastAsia="SimSun" w:cs="SimSun"/>
          <w:sz w:val="30"/>
          <w:szCs w:val="3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7.8%</w:t>
      </w:r>
      <w:r>
        <w:rPr>
          <w:rFonts w:ascii="SimSun" w:hAnsi="SimSun" w:eastAsia="SimSun" w:cs="SimSun"/>
          <w:sz w:val="30"/>
          <w:szCs w:val="30"/>
          <w:spacing w:val="-4"/>
        </w:rPr>
        <w:t>，仍难以进入市场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Top</w:t>
      </w:r>
      <w:r>
        <w:rPr>
          <w:rFonts w:ascii="Times New Roman" w:hAnsi="Times New Roman" w:eastAsia="Times New Roman" w:cs="Times New Roman"/>
          <w:sz w:val="30"/>
          <w:szCs w:val="30"/>
          <w:spacing w:val="6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阵列。若要实现持续的高质量</w:t>
      </w:r>
      <w:r>
        <w:rPr>
          <w:rFonts w:ascii="SimSun" w:hAnsi="SimSun" w:eastAsia="SimSun" w:cs="SimSun"/>
          <w:sz w:val="30"/>
          <w:szCs w:val="30"/>
          <w:spacing w:val="-4"/>
        </w:rPr>
        <w:t>增长和市场地位上升，亟需解决当前已暴露出来的制约各省推进</w:t>
      </w:r>
      <w:r>
        <w:rPr>
          <w:rFonts w:ascii="SimSun" w:hAnsi="SimSun" w:eastAsia="SimSun" w:cs="SimSun"/>
          <w:sz w:val="30"/>
          <w:szCs w:val="30"/>
          <w:spacing w:val="-5"/>
        </w:rPr>
        <w:t>视联网业务发展的问题。</w:t>
      </w:r>
    </w:p>
    <w:p>
      <w:pPr>
        <w:pStyle w:val="BodyText"/>
        <w:ind w:left="7325"/>
        <w:spacing w:before="21" w:line="212" w:lineRule="exact"/>
        <w:rPr>
          <w:sz w:val="18"/>
          <w:szCs w:val="18"/>
        </w:rPr>
      </w:pPr>
      <w:r>
        <w:rPr>
          <w:sz w:val="18"/>
          <w:szCs w:val="18"/>
          <w:color w:val="404040"/>
          <w:spacing w:val="-4"/>
        </w:rPr>
        <w:t>2103</w:t>
      </w:r>
    </w:p>
    <w:p>
      <w:pPr>
        <w:spacing w:before="3"/>
        <w:rPr/>
      </w:pPr>
      <w:r/>
    </w:p>
    <w:tbl>
      <w:tblPr>
        <w:tblStyle w:val="TableNormal"/>
        <w:tblW w:w="7108" w:type="dxa"/>
        <w:tblInd w:w="64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73"/>
        <w:gridCol w:w="1328"/>
        <w:gridCol w:w="1358"/>
        <w:gridCol w:w="1336"/>
        <w:gridCol w:w="1339"/>
        <w:gridCol w:w="874"/>
      </w:tblGrid>
      <w:tr>
        <w:trPr>
          <w:trHeight w:val="262" w:hRule="atLeast"/>
        </w:trPr>
        <w:tc>
          <w:tcPr>
            <w:tcW w:w="87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3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39" w:type="dxa"/>
            <w:vAlign w:val="top"/>
          </w:tcPr>
          <w:p>
            <w:pPr>
              <w:ind w:left="463"/>
              <w:spacing w:line="212" w:lineRule="exac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drawing>
                <wp:anchor distT="0" distB="0" distL="0" distR="0" simplePos="0" relativeHeight="251667456" behindDoc="1" locked="0" layoutInCell="1" allowOverlap="1">
                  <wp:simplePos x="0" y="0"/>
                  <wp:positionH relativeFrom="column">
                    <wp:posOffset>-3401897</wp:posOffset>
                  </wp:positionH>
                  <wp:positionV relativeFrom="paragraph">
                    <wp:posOffset>-141573</wp:posOffset>
                  </wp:positionV>
                  <wp:extent cx="5097779" cy="1696524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97779" cy="1696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4"/>
              </w:rPr>
              <w:t>1680</w:t>
            </w:r>
          </w:p>
        </w:tc>
        <w:tc>
          <w:tcPr>
            <w:tcW w:w="874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94" w:hRule="atLeast"/>
        </w:trPr>
        <w:tc>
          <w:tcPr>
            <w:tcW w:w="87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36" w:type="dxa"/>
            <w:vAlign w:val="top"/>
          </w:tcPr>
          <w:p>
            <w:pPr>
              <w:ind w:left="461"/>
              <w:spacing w:before="83" w:line="213" w:lineRule="exac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4"/>
              </w:rPr>
              <w:t>1341</w:t>
            </w:r>
          </w:p>
        </w:tc>
        <w:tc>
          <w:tcPr>
            <w:tcW w:w="13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74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359" w:hRule="atLeast"/>
        </w:trPr>
        <w:tc>
          <w:tcPr>
            <w:tcW w:w="87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58" w:type="dxa"/>
            <w:vAlign w:val="top"/>
          </w:tcPr>
          <w:p>
            <w:pPr>
              <w:ind w:left="481"/>
              <w:spacing w:before="131" w:line="212" w:lineRule="exac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4"/>
              </w:rPr>
              <w:t>1071</w:t>
            </w:r>
          </w:p>
        </w:tc>
        <w:tc>
          <w:tcPr>
            <w:tcW w:w="133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74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232" w:hRule="atLeast"/>
        </w:trPr>
        <w:tc>
          <w:tcPr>
            <w:tcW w:w="873" w:type="dxa"/>
            <w:vAlign w:val="top"/>
          </w:tcPr>
          <w:p>
            <w:pPr>
              <w:pStyle w:val="TableText"/>
              <w:spacing w:line="222" w:lineRule="exact"/>
              <w:rPr>
                <w:sz w:val="19"/>
              </w:rPr>
            </w:pPr>
            <w:r/>
          </w:p>
        </w:tc>
        <w:tc>
          <w:tcPr>
            <w:tcW w:w="1328" w:type="dxa"/>
            <w:vAlign w:val="top"/>
          </w:tcPr>
          <w:p>
            <w:pPr>
              <w:ind w:left="522"/>
              <w:spacing w:before="49" w:line="230" w:lineRule="auto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4"/>
              </w:rPr>
              <w:t>855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spacing w:line="222" w:lineRule="exact"/>
              <w:rPr>
                <w:sz w:val="19"/>
              </w:rPr>
            </w:pPr>
            <w:r/>
          </w:p>
        </w:tc>
        <w:tc>
          <w:tcPr>
            <w:tcW w:w="1336" w:type="dxa"/>
            <w:vAlign w:val="top"/>
          </w:tcPr>
          <w:p>
            <w:pPr>
              <w:pStyle w:val="TableText"/>
              <w:spacing w:line="222" w:lineRule="exact"/>
              <w:rPr>
                <w:sz w:val="19"/>
              </w:rPr>
            </w:pPr>
            <w:r/>
          </w:p>
        </w:tc>
        <w:tc>
          <w:tcPr>
            <w:tcW w:w="1339" w:type="dxa"/>
            <w:vAlign w:val="top"/>
          </w:tcPr>
          <w:p>
            <w:pPr>
              <w:pStyle w:val="TableText"/>
              <w:spacing w:line="222" w:lineRule="exact"/>
              <w:rPr>
                <w:sz w:val="19"/>
              </w:rPr>
            </w:pPr>
            <w:r/>
          </w:p>
        </w:tc>
        <w:tc>
          <w:tcPr>
            <w:tcW w:w="874" w:type="dxa"/>
            <w:vAlign w:val="top"/>
          </w:tcPr>
          <w:p>
            <w:pPr>
              <w:pStyle w:val="TableText"/>
              <w:spacing w:line="222" w:lineRule="exact"/>
              <w:rPr>
                <w:sz w:val="19"/>
              </w:rPr>
            </w:pPr>
            <w:r/>
          </w:p>
        </w:tc>
      </w:tr>
      <w:tr>
        <w:trPr>
          <w:trHeight w:val="409" w:hRule="atLeast"/>
        </w:trPr>
        <w:tc>
          <w:tcPr>
            <w:tcW w:w="873" w:type="dxa"/>
            <w:vAlign w:val="top"/>
          </w:tcPr>
          <w:p>
            <w:pPr>
              <w:ind w:left="57"/>
              <w:spacing w:before="5" w:line="212" w:lineRule="exac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4"/>
              </w:rPr>
              <w:t>683</w:t>
            </w:r>
          </w:p>
        </w:tc>
        <w:tc>
          <w:tcPr>
            <w:tcW w:w="132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3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33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874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631" w:hRule="atLeast"/>
        </w:trPr>
        <w:tc>
          <w:tcPr>
            <w:tcW w:w="873" w:type="dxa"/>
            <w:vAlign w:val="top"/>
          </w:tcPr>
          <w:p>
            <w:pPr>
              <w:pStyle w:val="TableText"/>
              <w:spacing w:line="375" w:lineRule="auto"/>
              <w:rPr/>
            </w:pPr>
            <w:r/>
          </w:p>
          <w:p>
            <w:pPr>
              <w:spacing w:before="45" w:line="198" w:lineRule="exac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1"/>
                <w:position w:val="-1"/>
              </w:rPr>
              <w:t>0.8%</w:t>
            </w:r>
          </w:p>
        </w:tc>
        <w:tc>
          <w:tcPr>
            <w:tcW w:w="1328" w:type="dxa"/>
            <w:vAlign w:val="top"/>
          </w:tcPr>
          <w:p>
            <w:pPr>
              <w:pStyle w:val="TableText"/>
              <w:spacing w:line="406" w:lineRule="auto"/>
              <w:rPr/>
            </w:pPr>
            <w:r/>
          </w:p>
          <w:p>
            <w:pPr>
              <w:ind w:left="450"/>
              <w:spacing w:before="45" w:line="223" w:lineRule="auto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4"/>
              </w:rPr>
              <w:t>2.0%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spacing w:line="374" w:lineRule="auto"/>
              <w:rPr/>
            </w:pPr>
            <w:r/>
          </w:p>
          <w:p>
            <w:pPr>
              <w:ind w:left="459"/>
              <w:spacing w:before="45" w:line="199" w:lineRule="exac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3"/>
                <w:position w:val="-1"/>
              </w:rPr>
              <w:t>2.8%</w:t>
            </w:r>
          </w:p>
        </w:tc>
        <w:tc>
          <w:tcPr>
            <w:tcW w:w="1336" w:type="dxa"/>
            <w:vAlign w:val="top"/>
          </w:tcPr>
          <w:p>
            <w:pPr>
              <w:pStyle w:val="TableText"/>
              <w:spacing w:line="307" w:lineRule="auto"/>
              <w:rPr/>
            </w:pPr>
            <w:r/>
          </w:p>
          <w:p>
            <w:pPr>
              <w:ind w:left="465"/>
              <w:spacing w:before="45" w:line="212" w:lineRule="exac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4"/>
              </w:rPr>
              <w:t>3.9%</w:t>
            </w:r>
          </w:p>
        </w:tc>
        <w:tc>
          <w:tcPr>
            <w:tcW w:w="1339" w:type="dxa"/>
            <w:vAlign w:val="top"/>
          </w:tcPr>
          <w:p>
            <w:pPr>
              <w:pStyle w:val="TableText"/>
              <w:spacing w:line="258" w:lineRule="auto"/>
              <w:rPr/>
            </w:pPr>
            <w:r/>
          </w:p>
          <w:p>
            <w:pPr>
              <w:ind w:left="460"/>
              <w:spacing w:before="45" w:line="213" w:lineRule="exac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4"/>
              </w:rPr>
              <w:t>5.5%</w:t>
            </w:r>
          </w:p>
        </w:tc>
        <w:tc>
          <w:tcPr>
            <w:tcW w:w="874" w:type="dxa"/>
            <w:vAlign w:val="top"/>
          </w:tcPr>
          <w:p>
            <w:pPr>
              <w:spacing w:before="226" w:line="212" w:lineRule="exact"/>
              <w:jc w:val="right"/>
              <w:rPr>
                <w:rFonts w:ascii="Lucida Console" w:hAnsi="Lucida Console" w:eastAsia="Lucida Console" w:cs="Lucida Console"/>
                <w:sz w:val="18"/>
                <w:szCs w:val="18"/>
              </w:rPr>
            </w:pP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7"/>
              </w:rPr>
              <w:t>7</w:t>
            </w: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6"/>
              </w:rPr>
              <w:t>.8</w:t>
            </w:r>
            <w:r>
              <w:rPr>
                <w:rFonts w:ascii="Lucida Console" w:hAnsi="Lucida Console" w:eastAsia="Lucida Console" w:cs="Lucida Console"/>
                <w:sz w:val="18"/>
                <w:szCs w:val="18"/>
                <w:color w:val="404040"/>
                <w:spacing w:val="-1"/>
              </w:rPr>
              <w:t>%</w:t>
            </w:r>
          </w:p>
        </w:tc>
      </w:tr>
    </w:tbl>
    <w:p>
      <w:pPr>
        <w:pStyle w:val="BodyText"/>
        <w:ind w:left="647"/>
        <w:spacing w:before="251" w:line="213" w:lineRule="exact"/>
        <w:rPr>
          <w:sz w:val="18"/>
          <w:szCs w:val="18"/>
        </w:rPr>
      </w:pPr>
      <w:r>
        <w:rPr>
          <w:sz w:val="18"/>
          <w:szCs w:val="18"/>
          <w:color w:val="595959"/>
          <w:spacing w:val="-3"/>
        </w:rPr>
        <w:t>2020</w:t>
      </w:r>
      <w:r>
        <w:rPr>
          <w:sz w:val="18"/>
          <w:szCs w:val="18"/>
          <w:color w:val="595959"/>
          <w:spacing w:val="8"/>
        </w:rPr>
        <w:t xml:space="preserve">        </w:t>
      </w:r>
      <w:r>
        <w:rPr>
          <w:sz w:val="18"/>
          <w:szCs w:val="18"/>
          <w:color w:val="595959"/>
          <w:spacing w:val="-3"/>
        </w:rPr>
        <w:t>2021</w:t>
      </w:r>
      <w:r>
        <w:rPr>
          <w:sz w:val="18"/>
          <w:szCs w:val="18"/>
          <w:color w:val="595959"/>
          <w:spacing w:val="6"/>
        </w:rPr>
        <w:t xml:space="preserve">        </w:t>
      </w:r>
      <w:r>
        <w:rPr>
          <w:sz w:val="18"/>
          <w:szCs w:val="18"/>
          <w:color w:val="595959"/>
          <w:spacing w:val="-3"/>
        </w:rPr>
        <w:t>2022</w:t>
      </w:r>
      <w:r>
        <w:rPr>
          <w:sz w:val="18"/>
          <w:szCs w:val="18"/>
          <w:color w:val="595959"/>
          <w:spacing w:val="-3"/>
        </w:rPr>
        <w:t xml:space="preserve">        </w:t>
      </w:r>
      <w:r>
        <w:rPr>
          <w:sz w:val="18"/>
          <w:szCs w:val="18"/>
          <w:color w:val="595959"/>
          <w:spacing w:val="-3"/>
        </w:rPr>
        <w:t>2023E</w:t>
      </w:r>
      <w:r>
        <w:rPr>
          <w:sz w:val="18"/>
          <w:szCs w:val="18"/>
          <w:color w:val="595959"/>
          <w:spacing w:val="7"/>
        </w:rPr>
        <w:t xml:space="preserve">       </w:t>
      </w:r>
      <w:r>
        <w:rPr>
          <w:sz w:val="18"/>
          <w:szCs w:val="18"/>
          <w:color w:val="595959"/>
          <w:spacing w:val="-3"/>
        </w:rPr>
        <w:t>2024E</w:t>
      </w:r>
      <w:r>
        <w:rPr>
          <w:sz w:val="18"/>
          <w:szCs w:val="18"/>
          <w:color w:val="595959"/>
          <w:spacing w:val="8"/>
        </w:rPr>
        <w:t xml:space="preserve">       </w:t>
      </w:r>
      <w:r>
        <w:rPr>
          <w:sz w:val="18"/>
          <w:szCs w:val="18"/>
          <w:color w:val="595959"/>
          <w:spacing w:val="-3"/>
        </w:rPr>
        <w:t>2025E</w:t>
      </w:r>
    </w:p>
    <w:p>
      <w:pPr>
        <w:ind w:left="1108"/>
        <w:spacing w:before="257" w:line="19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595959"/>
          <w:position w:val="6"/>
        </w:rPr>
        <w:drawing>
          <wp:inline distT="0" distB="0" distL="0" distR="0">
            <wp:extent cx="62483" cy="6248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3" cy="6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color w:val="59595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595959"/>
        </w:rPr>
        <w:t>电信云平台服务规模              </w:t>
      </w:r>
      <w:r>
        <w:rPr>
          <w:sz w:val="22"/>
          <w:szCs w:val="22"/>
          <w:position w:val="6"/>
        </w:rPr>
        <w:drawing>
          <wp:inline distT="0" distB="0" distL="0" distR="0">
            <wp:extent cx="62484" cy="6248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484" cy="6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2"/>
          <w:szCs w:val="22"/>
          <w:color w:val="59595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595959"/>
        </w:rPr>
        <w:t>视联网行业云平台服务赛道规模</w:t>
      </w:r>
    </w:p>
    <w:p>
      <w:pPr>
        <w:pStyle w:val="BodyText"/>
        <w:ind w:left="196" w:right="659" w:firstLine="260"/>
        <w:spacing w:before="261" w:line="251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注：</w:t>
      </w:r>
      <w:r>
        <w:rPr>
          <w:sz w:val="22"/>
          <w:szCs w:val="22"/>
          <w:spacing w:val="-1"/>
        </w:rPr>
        <w:t>2020</w:t>
      </w: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、</w:t>
      </w:r>
      <w:r>
        <w:rPr>
          <w:sz w:val="22"/>
          <w:szCs w:val="22"/>
          <w:spacing w:val="-1"/>
        </w:rPr>
        <w:t>2021</w:t>
      </w: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年为看家收入，</w:t>
      </w:r>
      <w:r>
        <w:rPr>
          <w:rFonts w:ascii="Microsoft YaHei" w:hAnsi="Microsoft YaHei" w:eastAsia="Microsoft YaHei" w:cs="Microsoft YaHei"/>
          <w:sz w:val="22"/>
          <w:szCs w:val="22"/>
          <w:spacing w:val="-39"/>
        </w:rPr>
        <w:t xml:space="preserve"> </w:t>
      </w:r>
      <w:r>
        <w:rPr>
          <w:sz w:val="22"/>
          <w:szCs w:val="22"/>
          <w:spacing w:val="-1"/>
        </w:rPr>
        <w:t>22</w:t>
      </w: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年为看家与云眼收入之和，以此计视联网</w:t>
      </w: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首年发展增速为</w:t>
      </w:r>
      <w:r>
        <w:rPr>
          <w:sz w:val="22"/>
          <w:szCs w:val="22"/>
          <w:spacing w:val="-1"/>
        </w:rPr>
        <w:t>76.5%</w:t>
      </w: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。</w:t>
      </w:r>
    </w:p>
    <w:p>
      <w:pPr>
        <w:ind w:left="2016"/>
        <w:spacing w:before="145" w:line="216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2</w:t>
      </w:r>
      <w:r>
        <w:rPr>
          <w:rFonts w:ascii="KaiTi" w:hAnsi="KaiTi" w:eastAsia="KaiTi" w:cs="KaiTi"/>
          <w:sz w:val="30"/>
          <w:szCs w:val="30"/>
          <w:spacing w:val="19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7"/>
        </w:rPr>
        <w:t>电信视联网云平台发展潜力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二、视联网发展问题分析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41" w:right="281" w:firstLine="605"/>
        <w:spacing w:before="98" w:line="25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结合江西、重庆、江苏等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省调研，发现产品市场适</w:t>
      </w:r>
      <w:r>
        <w:rPr>
          <w:rFonts w:ascii="SimSun" w:hAnsi="SimSun" w:eastAsia="SimSun" w:cs="SimSun"/>
          <w:sz w:val="30"/>
          <w:szCs w:val="30"/>
          <w:spacing w:val="-5"/>
        </w:rPr>
        <w:t>应力</w:t>
      </w:r>
      <w:r>
        <w:rPr>
          <w:rFonts w:ascii="SimSun" w:hAnsi="SimSun" w:eastAsia="SimSun" w:cs="SimSun"/>
          <w:sz w:val="30"/>
          <w:szCs w:val="30"/>
          <w:spacing w:val="-3"/>
        </w:rPr>
        <w:t>和技术竞争力是制约现阶段发展的核心问题。</w:t>
      </w:r>
    </w:p>
    <w:p>
      <w:pPr>
        <w:ind w:left="650"/>
        <w:spacing w:before="293" w:line="220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（一）已推出的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SaaS 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产品难以适应市场需求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668"/>
        <w:spacing w:before="98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中国电信视联网通过标准化和定制化两类</w:t>
      </w:r>
      <w:r>
        <w:rPr>
          <w:rFonts w:ascii="SimSun" w:hAnsi="SimSun" w:eastAsia="SimSun" w:cs="SimSun"/>
          <w:sz w:val="30"/>
          <w:szCs w:val="3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SaaS</w:t>
      </w:r>
      <w:r>
        <w:rPr>
          <w:rFonts w:ascii="Times New Roman" w:hAnsi="Times New Roman" w:eastAsia="Times New Roman" w:cs="Times New Roman"/>
          <w:sz w:val="30"/>
          <w:szCs w:val="3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产品覆盖市</w:t>
      </w:r>
    </w:p>
    <w:p>
      <w:pPr>
        <w:spacing w:line="220" w:lineRule="auto"/>
        <w:sectPr>
          <w:headerReference w:type="default" r:id="rId5"/>
          <w:pgSz w:w="11907" w:h="16839"/>
          <w:pgMar w:top="1223" w:right="1543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9"/>
        <w:spacing w:before="29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场需求，在推进过程中暴露出落地困难的问题。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650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．标准化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SaaS 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产品市场适应性差</w:t>
      </w:r>
    </w:p>
    <w:p>
      <w:pPr>
        <w:ind w:left="38" w:right="171" w:firstLine="607"/>
        <w:spacing w:before="31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一是功能迭代慢，跟不上客户需求变化，无法直接交付给客</w:t>
      </w:r>
      <w:r>
        <w:rPr>
          <w:rFonts w:ascii="SimSun" w:hAnsi="SimSun" w:eastAsia="SimSun" w:cs="SimSun"/>
          <w:sz w:val="30"/>
          <w:szCs w:val="30"/>
          <w:spacing w:val="-14"/>
        </w:rPr>
        <w:t>户。如“明厨亮灶”提供基础监控和厨师帽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/</w:t>
      </w:r>
      <w:r>
        <w:rPr>
          <w:rFonts w:ascii="SimSun" w:hAnsi="SimSun" w:eastAsia="SimSun" w:cs="SimSun"/>
          <w:sz w:val="30"/>
          <w:szCs w:val="30"/>
          <w:spacing w:val="-14"/>
        </w:rPr>
        <w:t>口罩识别等通用功能，</w:t>
      </w:r>
      <w:r>
        <w:rPr>
          <w:rFonts w:ascii="SimSun" w:hAnsi="SimSun" w:eastAsia="SimSun" w:cs="SimSun"/>
          <w:sz w:val="30"/>
          <w:szCs w:val="30"/>
          <w:spacing w:val="7"/>
        </w:rPr>
        <w:t>但省内在实际销售中发现不能满足客户对于菜品全程</w:t>
      </w:r>
      <w:r>
        <w:rPr>
          <w:rFonts w:ascii="SimSun" w:hAnsi="SimSun" w:eastAsia="SimSun" w:cs="SimSun"/>
          <w:sz w:val="30"/>
          <w:szCs w:val="30"/>
          <w:spacing w:val="6"/>
        </w:rPr>
        <w:t>跟踪等新</w:t>
      </w:r>
      <w:r>
        <w:rPr>
          <w:rFonts w:ascii="SimSun" w:hAnsi="SimSun" w:eastAsia="SimSun" w:cs="SimSun"/>
          <w:sz w:val="30"/>
          <w:szCs w:val="30"/>
          <w:spacing w:val="-4"/>
        </w:rPr>
        <w:t>需求，“平安校园”暂无法满足持刀持械、打架斗殴等场景识别</w:t>
      </w:r>
      <w:r>
        <w:rPr>
          <w:rFonts w:ascii="SimSun" w:hAnsi="SimSun" w:eastAsia="SimSun" w:cs="SimSun"/>
          <w:sz w:val="30"/>
          <w:szCs w:val="30"/>
          <w:spacing w:val="-4"/>
        </w:rPr>
        <w:t>监测的新需求，因此本次调研省公司均反馈标品不同程度上无法</w:t>
      </w:r>
      <w:r>
        <w:rPr>
          <w:rFonts w:ascii="SimSun" w:hAnsi="SimSun" w:eastAsia="SimSun" w:cs="SimSun"/>
          <w:sz w:val="30"/>
          <w:szCs w:val="30"/>
          <w:spacing w:val="-4"/>
        </w:rPr>
        <w:t>满足客户需求，难以直接落地销售。</w:t>
      </w:r>
    </w:p>
    <w:p>
      <w:pPr>
        <w:ind w:left="40" w:right="256" w:firstLine="604"/>
        <w:spacing w:before="27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二是标准化产品未提供灵活配置能力，如面对客户提出的更</w:t>
      </w:r>
      <w:r>
        <w:rPr>
          <w:rFonts w:ascii="SimSun" w:hAnsi="SimSun" w:eastAsia="SimSun" w:cs="SimSun"/>
          <w:sz w:val="30"/>
          <w:szCs w:val="30"/>
          <w:spacing w:val="-9"/>
        </w:rPr>
        <w:t>改名称、更换界面颜色等简单需求， 省公司都无法自行修改，需</w:t>
      </w:r>
      <w:r>
        <w:rPr>
          <w:rFonts w:ascii="SimSun" w:hAnsi="SimSun" w:eastAsia="SimSun" w:cs="SimSun"/>
          <w:sz w:val="30"/>
          <w:szCs w:val="30"/>
          <w:spacing w:val="-4"/>
        </w:rPr>
        <w:t>通过流程寻求专业公司支撑，交付速度慢，降低了省公司推广的</w:t>
      </w:r>
      <w:r>
        <w:rPr>
          <w:rFonts w:ascii="SimSun" w:hAnsi="SimSun" w:eastAsia="SimSun" w:cs="SimSun"/>
          <w:sz w:val="30"/>
          <w:szCs w:val="30"/>
          <w:spacing w:val="-11"/>
        </w:rPr>
        <w:t>积极性。</w:t>
      </w:r>
    </w:p>
    <w:p>
      <w:pPr>
        <w:ind w:left="638"/>
        <w:spacing w:before="270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．定制化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SaaS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产品开发速度慢</w:t>
      </w:r>
    </w:p>
    <w:p>
      <w:pPr>
        <w:ind w:left="40" w:right="256" w:firstLine="604"/>
        <w:spacing w:before="324" w:line="25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一是缺少场景化原子能力组件，不足以支撑省公司快速开发</w:t>
      </w:r>
      <w:r>
        <w:rPr>
          <w:rFonts w:ascii="SimSun" w:hAnsi="SimSun" w:eastAsia="SimSun" w:cs="SimSun"/>
          <w:sz w:val="30"/>
          <w:szCs w:val="30"/>
          <w:spacing w:val="-4"/>
        </w:rPr>
        <w:t>或搭建出定制化场景应用。视联网平台当前提供的开放能力包括</w:t>
      </w:r>
      <w:r>
        <w:rPr>
          <w:rFonts w:ascii="SimSun" w:hAnsi="SimSun" w:eastAsia="SimSun" w:cs="SimSun"/>
          <w:sz w:val="30"/>
          <w:szCs w:val="30"/>
          <w:spacing w:val="-9"/>
        </w:rPr>
        <w:t>基础数据流、视频转码等基础能力为主的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9 </w:t>
      </w:r>
      <w:r>
        <w:rPr>
          <w:rFonts w:ascii="SimSun" w:hAnsi="SimSun" w:eastAsia="SimSun" w:cs="SimSun"/>
          <w:sz w:val="30"/>
          <w:szCs w:val="30"/>
          <w:spacing w:val="-9"/>
        </w:rPr>
        <w:t>大类</w:t>
      </w:r>
      <w:r>
        <w:rPr>
          <w:rFonts w:ascii="SimSun" w:hAnsi="SimSun" w:eastAsia="SimSun" w:cs="SimSun"/>
          <w:sz w:val="30"/>
          <w:szCs w:val="30"/>
          <w:spacing w:val="-8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39 </w:t>
      </w:r>
      <w:r>
        <w:rPr>
          <w:rFonts w:ascii="SimSun" w:hAnsi="SimSun" w:eastAsia="SimSun" w:cs="SimSun"/>
          <w:sz w:val="30"/>
          <w:szCs w:val="30"/>
          <w:spacing w:val="-10"/>
        </w:rPr>
        <w:t>项原子能力，</w:t>
      </w:r>
    </w:p>
    <w:p>
      <w:pPr>
        <w:spacing w:before="1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省公司难以直接调用和快速定制开发，客户</w:t>
      </w:r>
      <w:r>
        <w:rPr>
          <w:rFonts w:ascii="SimSun" w:hAnsi="SimSun" w:eastAsia="SimSun" w:cs="SimSun"/>
          <w:sz w:val="30"/>
          <w:szCs w:val="30"/>
          <w:spacing w:val="-6"/>
        </w:rPr>
        <w:t>需求响应速度难跟上。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39" w:right="172" w:firstLine="605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二是缺乏“被集成”能力，对接过程效率低。目前政府和大</w:t>
      </w:r>
      <w:r>
        <w:rPr>
          <w:rFonts w:ascii="SimSun" w:hAnsi="SimSun" w:eastAsia="SimSun" w:cs="SimSun"/>
          <w:sz w:val="30"/>
          <w:szCs w:val="30"/>
          <w:spacing w:val="-4"/>
        </w:rPr>
        <w:t>型企业客户是视联网体量最大的需求市场，这类市场面临激烈竞</w:t>
      </w:r>
      <w:r>
        <w:rPr>
          <w:rFonts w:ascii="SimSun" w:hAnsi="SimSun" w:eastAsia="SimSun" w:cs="SimSun"/>
          <w:sz w:val="30"/>
          <w:szCs w:val="30"/>
          <w:spacing w:val="-1"/>
        </w:rPr>
        <w:t>争，多厂商共同建设并需要与客户已自建平台集成的特征明显，</w:t>
      </w:r>
      <w:r>
        <w:rPr>
          <w:rFonts w:ascii="SimSun" w:hAnsi="SimSun" w:eastAsia="SimSun" w:cs="SimSun"/>
          <w:sz w:val="30"/>
          <w:szCs w:val="30"/>
          <w:spacing w:val="-4"/>
        </w:rPr>
        <w:t>模块化“被集成”的定制方式将成为主流趋势。但现有产品缺乏</w:t>
      </w:r>
      <w:r>
        <w:rPr>
          <w:rFonts w:ascii="SimSun" w:hAnsi="SimSun" w:eastAsia="SimSun" w:cs="SimSun"/>
          <w:sz w:val="30"/>
          <w:szCs w:val="30"/>
          <w:spacing w:val="-9"/>
        </w:rPr>
        <w:t>模块化被集成能力，如云广播、明厨亮灶等功能， 需进行模块化</w:t>
      </w:r>
      <w:r>
        <w:rPr>
          <w:rFonts w:ascii="SimSun" w:hAnsi="SimSun" w:eastAsia="SimSun" w:cs="SimSun"/>
          <w:sz w:val="30"/>
          <w:szCs w:val="30"/>
          <w:spacing w:val="-2"/>
        </w:rPr>
        <w:t>封装和标准接口开放才能被集成，开发量大，对接周期长。</w:t>
      </w:r>
    </w:p>
    <w:p>
      <w:pPr>
        <w:ind w:left="650"/>
        <w:spacing w:before="272" w:line="220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（二）</w:t>
      </w:r>
      <w:r>
        <w:rPr>
          <w:rFonts w:ascii="SimSun" w:hAnsi="SimSun" w:eastAsia="SimSun" w:cs="SimSun"/>
          <w:sz w:val="30"/>
          <w:szCs w:val="30"/>
          <w:spacing w:val="-80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核心技术竞争力较弱，短期内难以抢占更大份额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42" w:right="150" w:firstLine="614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随着视联网产业的竞争升级，云、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AI</w:t>
      </w:r>
      <w:r>
        <w:rPr>
          <w:rFonts w:ascii="SimSun" w:hAnsi="SimSun" w:eastAsia="SimSun" w:cs="SimSun"/>
          <w:sz w:val="30"/>
          <w:szCs w:val="30"/>
          <w:spacing w:val="-5"/>
        </w:rPr>
        <w:t>、安全等多要</w:t>
      </w:r>
      <w:r>
        <w:rPr>
          <w:rFonts w:ascii="SimSun" w:hAnsi="SimSun" w:eastAsia="SimSun" w:cs="SimSun"/>
          <w:sz w:val="30"/>
          <w:szCs w:val="30"/>
          <w:spacing w:val="-6"/>
        </w:rPr>
        <w:t>素技术要</w:t>
      </w:r>
      <w:r>
        <w:rPr>
          <w:rFonts w:ascii="SimSun" w:hAnsi="SimSun" w:eastAsia="SimSun" w:cs="SimSun"/>
          <w:sz w:val="30"/>
          <w:szCs w:val="30"/>
          <w:spacing w:val="-4"/>
        </w:rPr>
        <w:t>求更高，龙头企业（如海康）在摄像头终端技术领先的同时，加</w:t>
      </w:r>
      <w:r>
        <w:rPr>
          <w:rFonts w:ascii="SimSun" w:hAnsi="SimSun" w:eastAsia="SimSun" w:cs="SimSun"/>
          <w:sz w:val="30"/>
          <w:szCs w:val="30"/>
          <w:spacing w:val="-1"/>
        </w:rPr>
        <w:t>大云平台、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SimSun" w:hAnsi="SimSun" w:eastAsia="SimSun" w:cs="SimSun"/>
          <w:sz w:val="30"/>
          <w:szCs w:val="30"/>
          <w:spacing w:val="-1"/>
        </w:rPr>
        <w:t>、安全等领域的研发投入，不断增强技术竞争力。</w:t>
      </w:r>
    </w:p>
    <w:p>
      <w:pPr>
        <w:spacing w:line="260" w:lineRule="auto"/>
        <w:sectPr>
          <w:headerReference w:type="default" r:id="rId9"/>
          <w:pgSz w:w="11907" w:h="16839"/>
          <w:pgMar w:top="1223" w:right="1543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3" w:right="23" w:hanging="3"/>
        <w:spacing w:before="293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相比之下，中国电信视联网技术实力与行业龙头存在较大差距，</w:t>
      </w:r>
      <w:r>
        <w:rPr>
          <w:rFonts w:ascii="SimSun" w:hAnsi="SimSun" w:eastAsia="SimSun" w:cs="SimSun"/>
          <w:sz w:val="30"/>
          <w:szCs w:val="30"/>
          <w:spacing w:val="-5"/>
        </w:rPr>
        <w:t>短期内难以具备竞争优势。</w:t>
      </w:r>
    </w:p>
    <w:p>
      <w:pPr>
        <w:ind w:left="650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．云平台服务能力对比龙头企业差距明显</w:t>
      </w:r>
    </w:p>
    <w:p>
      <w:pPr>
        <w:ind w:left="40" w:right="107" w:firstLine="605"/>
        <w:spacing w:before="320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与同样采用公有云平台服务模式的萤石对比，中国电信视联</w:t>
      </w:r>
      <w:r>
        <w:rPr>
          <w:rFonts w:ascii="SimSun" w:hAnsi="SimSun" w:eastAsia="SimSun" w:cs="SimSun"/>
          <w:sz w:val="30"/>
          <w:szCs w:val="30"/>
          <w:spacing w:val="-4"/>
        </w:rPr>
        <w:t>网目前设备接入量为</w:t>
      </w:r>
      <w:r>
        <w:rPr>
          <w:rFonts w:ascii="SimSun" w:hAnsi="SimSun" w:eastAsia="SimSun" w:cs="SimSun"/>
          <w:sz w:val="30"/>
          <w:szCs w:val="3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4100</w:t>
      </w:r>
      <w:r>
        <w:rPr>
          <w:rFonts w:ascii="Times New Roman" w:hAnsi="Times New Roman" w:eastAsia="Times New Roman" w:cs="Times New Roman"/>
          <w:sz w:val="30"/>
          <w:szCs w:val="30"/>
          <w:spacing w:val="5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万左右，萤石已突破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1.1</w:t>
      </w:r>
      <w:r>
        <w:rPr>
          <w:rFonts w:ascii="Times New Roman" w:hAnsi="Times New Roman" w:eastAsia="Times New Roman" w:cs="Times New Roman"/>
          <w:sz w:val="30"/>
          <w:szCs w:val="30"/>
          <w:spacing w:val="4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亿，在接入</w:t>
      </w:r>
      <w:r>
        <w:rPr>
          <w:rFonts w:ascii="SimSun" w:hAnsi="SimSun" w:eastAsia="SimSun" w:cs="SimSun"/>
          <w:sz w:val="30"/>
          <w:szCs w:val="30"/>
          <w:spacing w:val="-3"/>
        </w:rPr>
        <w:t>量悬殊的前提下，基础性能仍落后萤石。</w:t>
      </w:r>
    </w:p>
    <w:p>
      <w:pPr>
        <w:ind w:left="1823"/>
        <w:spacing w:before="272" w:line="209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4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1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云平台服务能力核心指标对比</w:t>
      </w:r>
    </w:p>
    <w:tbl>
      <w:tblPr>
        <w:tblStyle w:val="TableNormal"/>
        <w:tblW w:w="8094" w:type="dxa"/>
        <w:tblInd w:w="13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427"/>
        <w:gridCol w:w="3117"/>
        <w:gridCol w:w="1842"/>
        <w:gridCol w:w="1708"/>
      </w:tblGrid>
      <w:tr>
        <w:trPr>
          <w:trHeight w:val="448" w:hRule="atLeast"/>
        </w:trPr>
        <w:tc>
          <w:tcPr>
            <w:tcW w:w="14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99" w:lineRule="auto"/>
              <w:rPr/>
            </w:pPr>
            <w:r/>
          </w:p>
          <w:p>
            <w:pPr>
              <w:pStyle w:val="TableText"/>
              <w:spacing w:line="299" w:lineRule="auto"/>
              <w:rPr/>
            </w:pPr>
            <w:r/>
          </w:p>
          <w:p>
            <w:pPr>
              <w:pStyle w:val="TableText"/>
              <w:spacing w:line="300" w:lineRule="auto"/>
              <w:rPr/>
            </w:pPr>
            <w:r/>
          </w:p>
          <w:p>
            <w:pPr>
              <w:ind w:left="309"/>
              <w:spacing w:before="91" w:line="2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4"/>
              </w:rPr>
              <w:t>云平台</w:t>
            </w:r>
          </w:p>
          <w:p>
            <w:pPr>
              <w:ind w:left="168"/>
              <w:spacing w:before="32" w:line="218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服务能力</w:t>
            </w:r>
          </w:p>
          <w:p>
            <w:pPr>
              <w:ind w:left="452"/>
              <w:spacing w:before="32" w:line="220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>对比</w:t>
            </w:r>
          </w:p>
        </w:tc>
        <w:tc>
          <w:tcPr>
            <w:tcW w:w="3117" w:type="dxa"/>
            <w:vAlign w:val="top"/>
          </w:tcPr>
          <w:p>
            <w:pPr>
              <w:ind w:left="1013"/>
              <w:spacing w:before="81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b/>
                <w:bCs/>
                <w:spacing w:val="-7"/>
              </w:rPr>
              <w:t>对比指标</w:t>
            </w:r>
          </w:p>
        </w:tc>
        <w:tc>
          <w:tcPr>
            <w:tcW w:w="1842" w:type="dxa"/>
            <w:vAlign w:val="top"/>
          </w:tcPr>
          <w:p>
            <w:pPr>
              <w:ind w:left="265"/>
              <w:spacing w:before="82" w:line="218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b/>
                <w:bCs/>
                <w:spacing w:val="-12"/>
              </w:rPr>
              <w:t>电信视联网</w:t>
            </w:r>
          </w:p>
        </w:tc>
        <w:tc>
          <w:tcPr>
            <w:tcW w:w="1708" w:type="dxa"/>
            <w:vAlign w:val="top"/>
          </w:tcPr>
          <w:p>
            <w:pPr>
              <w:ind w:left="307"/>
              <w:spacing w:before="81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b/>
                <w:bCs/>
                <w:spacing w:val="-7"/>
              </w:rPr>
              <w:t>海康萤石</w:t>
            </w:r>
          </w:p>
        </w:tc>
      </w:tr>
      <w:tr>
        <w:trPr>
          <w:trHeight w:val="419" w:hRule="atLeast"/>
        </w:trPr>
        <w:tc>
          <w:tcPr>
            <w:tcW w:w="14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17" w:type="dxa"/>
            <w:vAlign w:val="top"/>
          </w:tcPr>
          <w:p>
            <w:pPr>
              <w:ind w:left="313"/>
              <w:spacing w:before="66" w:line="2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云平台设备接入数量</w:t>
            </w:r>
          </w:p>
        </w:tc>
        <w:tc>
          <w:tcPr>
            <w:tcW w:w="1842" w:type="dxa"/>
            <w:vAlign w:val="top"/>
          </w:tcPr>
          <w:p>
            <w:pPr>
              <w:ind w:left="478"/>
              <w:spacing w:before="66" w:line="222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3600</w:t>
            </w:r>
            <w:r>
              <w:rPr>
                <w:rFonts w:ascii="FangSong" w:hAnsi="FangSong" w:eastAsia="FangSong" w:cs="FangSong"/>
                <w:sz w:val="28"/>
                <w:szCs w:val="28"/>
                <w:spacing w:val="-50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万</w:t>
            </w:r>
          </w:p>
        </w:tc>
        <w:tc>
          <w:tcPr>
            <w:tcW w:w="1708" w:type="dxa"/>
            <w:vAlign w:val="top"/>
          </w:tcPr>
          <w:p>
            <w:pPr>
              <w:ind w:left="425"/>
              <w:spacing w:before="65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6"/>
              </w:rPr>
              <w:t>1.13</w:t>
            </w:r>
            <w:r>
              <w:rPr>
                <w:rFonts w:ascii="FangSong" w:hAnsi="FangSong" w:eastAsia="FangSong" w:cs="FangSong"/>
                <w:sz w:val="28"/>
                <w:szCs w:val="28"/>
                <w:spacing w:val="-48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  <w:spacing w:val="-6"/>
              </w:rPr>
              <w:t>亿</w:t>
            </w:r>
          </w:p>
        </w:tc>
      </w:tr>
      <w:tr>
        <w:trPr>
          <w:trHeight w:val="426" w:hRule="atLeast"/>
        </w:trPr>
        <w:tc>
          <w:tcPr>
            <w:tcW w:w="14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17" w:type="dxa"/>
            <w:vAlign w:val="top"/>
          </w:tcPr>
          <w:p>
            <w:pPr>
              <w:ind w:left="614"/>
              <w:spacing w:before="72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P2P</w:t>
            </w:r>
            <w:r>
              <w:rPr>
                <w:rFonts w:ascii="FangSong" w:hAnsi="FangSong" w:eastAsia="FangSong" w:cs="FangSong"/>
                <w:sz w:val="28"/>
                <w:szCs w:val="28"/>
                <w:spacing w:val="-47"/>
              </w:rPr>
              <w:t xml:space="preserve"> </w:t>
            </w: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直连成功率</w:t>
            </w:r>
          </w:p>
        </w:tc>
        <w:tc>
          <w:tcPr>
            <w:tcW w:w="1842" w:type="dxa"/>
            <w:vAlign w:val="top"/>
          </w:tcPr>
          <w:p>
            <w:pPr>
              <w:ind w:left="719"/>
              <w:spacing w:before="71" w:line="22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4"/>
              </w:rPr>
              <w:t>61%</w:t>
            </w:r>
          </w:p>
        </w:tc>
        <w:tc>
          <w:tcPr>
            <w:tcW w:w="1708" w:type="dxa"/>
            <w:vAlign w:val="top"/>
          </w:tcPr>
          <w:p>
            <w:pPr>
              <w:ind w:left="651"/>
              <w:spacing w:before="71" w:line="22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4"/>
              </w:rPr>
              <w:t>85%</w:t>
            </w:r>
          </w:p>
        </w:tc>
      </w:tr>
      <w:tr>
        <w:trPr>
          <w:trHeight w:val="419" w:hRule="atLeast"/>
        </w:trPr>
        <w:tc>
          <w:tcPr>
            <w:tcW w:w="14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17" w:type="dxa"/>
            <w:vAlign w:val="top"/>
          </w:tcPr>
          <w:p>
            <w:pPr>
              <w:ind w:left="874"/>
              <w:spacing w:before="68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4"/>
              </w:rPr>
              <w:t>直播成功率</w:t>
            </w:r>
          </w:p>
        </w:tc>
        <w:tc>
          <w:tcPr>
            <w:tcW w:w="1842" w:type="dxa"/>
            <w:vAlign w:val="top"/>
          </w:tcPr>
          <w:p>
            <w:pPr>
              <w:ind w:left="579"/>
              <w:spacing w:before="67" w:line="225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2"/>
              </w:rPr>
              <w:t>95.8%</w:t>
            </w:r>
          </w:p>
        </w:tc>
        <w:tc>
          <w:tcPr>
            <w:tcW w:w="1708" w:type="dxa"/>
            <w:vAlign w:val="top"/>
          </w:tcPr>
          <w:p>
            <w:pPr>
              <w:ind w:left="651"/>
              <w:spacing w:before="67" w:line="225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4"/>
              </w:rPr>
              <w:t>98%</w:t>
            </w:r>
          </w:p>
        </w:tc>
      </w:tr>
      <w:tr>
        <w:trPr>
          <w:trHeight w:val="412" w:hRule="atLeast"/>
        </w:trPr>
        <w:tc>
          <w:tcPr>
            <w:tcW w:w="14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17" w:type="dxa"/>
            <w:vAlign w:val="top"/>
          </w:tcPr>
          <w:p>
            <w:pPr>
              <w:ind w:left="733"/>
              <w:spacing w:before="66" w:line="217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云台响应时间</w:t>
            </w:r>
          </w:p>
        </w:tc>
        <w:tc>
          <w:tcPr>
            <w:tcW w:w="1842" w:type="dxa"/>
            <w:vAlign w:val="top"/>
          </w:tcPr>
          <w:p>
            <w:pPr>
              <w:ind w:left="511"/>
              <w:spacing w:before="66" w:line="221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2"/>
              </w:rPr>
              <w:t>0.927s</w:t>
            </w:r>
          </w:p>
        </w:tc>
        <w:tc>
          <w:tcPr>
            <w:tcW w:w="1708" w:type="dxa"/>
            <w:vAlign w:val="top"/>
          </w:tcPr>
          <w:p>
            <w:pPr>
              <w:ind w:left="442"/>
              <w:spacing w:before="66" w:line="221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2"/>
              </w:rPr>
              <w:t>0.397s</w:t>
            </w:r>
          </w:p>
        </w:tc>
      </w:tr>
      <w:tr>
        <w:trPr>
          <w:trHeight w:val="431" w:hRule="atLeast"/>
        </w:trPr>
        <w:tc>
          <w:tcPr>
            <w:tcW w:w="142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17" w:type="dxa"/>
            <w:vAlign w:val="top"/>
          </w:tcPr>
          <w:p>
            <w:pPr>
              <w:ind w:left="594"/>
              <w:spacing w:before="73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云回看加载时间</w:t>
            </w:r>
          </w:p>
        </w:tc>
        <w:tc>
          <w:tcPr>
            <w:tcW w:w="1842" w:type="dxa"/>
            <w:vAlign w:val="top"/>
          </w:tcPr>
          <w:p>
            <w:pPr>
              <w:ind w:left="529"/>
              <w:spacing w:before="73" w:line="22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5"/>
              </w:rPr>
              <w:t>1.465s</w:t>
            </w:r>
          </w:p>
        </w:tc>
        <w:tc>
          <w:tcPr>
            <w:tcW w:w="1708" w:type="dxa"/>
            <w:vAlign w:val="top"/>
          </w:tcPr>
          <w:p>
            <w:pPr>
              <w:ind w:left="512"/>
              <w:spacing w:before="73" w:line="22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0.63s</w:t>
            </w:r>
          </w:p>
        </w:tc>
      </w:tr>
      <w:tr>
        <w:trPr>
          <w:trHeight w:val="412" w:hRule="atLeast"/>
        </w:trPr>
        <w:tc>
          <w:tcPr>
            <w:tcW w:w="142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117" w:type="dxa"/>
            <w:vAlign w:val="top"/>
          </w:tcPr>
          <w:p>
            <w:pPr>
              <w:ind w:left="732"/>
              <w:spacing w:before="62" w:line="219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直播视频加载</w:t>
            </w:r>
          </w:p>
        </w:tc>
        <w:tc>
          <w:tcPr>
            <w:tcW w:w="1842" w:type="dxa"/>
            <w:vAlign w:val="top"/>
          </w:tcPr>
          <w:p>
            <w:pPr>
              <w:ind w:left="514"/>
              <w:spacing w:before="63" w:line="223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3"/>
              </w:rPr>
              <w:t>3.632s</w:t>
            </w:r>
          </w:p>
        </w:tc>
        <w:tc>
          <w:tcPr>
            <w:tcW w:w="1708" w:type="dxa"/>
            <w:vAlign w:val="top"/>
          </w:tcPr>
          <w:p>
            <w:pPr>
              <w:ind w:left="442"/>
              <w:spacing w:before="63" w:line="223" w:lineRule="auto"/>
              <w:rPr>
                <w:rFonts w:ascii="FangSong" w:hAnsi="FangSong" w:eastAsia="FangSong" w:cs="FangSong"/>
                <w:sz w:val="28"/>
                <w:szCs w:val="28"/>
              </w:rPr>
            </w:pPr>
            <w:r>
              <w:rPr>
                <w:rFonts w:ascii="FangSong" w:hAnsi="FangSong" w:eastAsia="FangSong" w:cs="FangSong"/>
                <w:sz w:val="28"/>
                <w:szCs w:val="28"/>
                <w:spacing w:val="-2"/>
              </w:rPr>
              <w:t>0.962s</w:t>
            </w:r>
          </w:p>
        </w:tc>
      </w:tr>
    </w:tbl>
    <w:p>
      <w:pPr>
        <w:spacing w:line="257" w:lineRule="auto"/>
        <w:rPr>
          <w:rFonts w:ascii="Arial"/>
          <w:sz w:val="21"/>
        </w:rPr>
      </w:pPr>
      <w:r/>
    </w:p>
    <w:p>
      <w:pPr>
        <w:ind w:left="638"/>
        <w:spacing w:before="9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AI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达不到规模商用要求，省公司对上线有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顾虑</w:t>
      </w:r>
    </w:p>
    <w:p>
      <w:pPr>
        <w:ind w:left="45" w:right="107" w:firstLine="599"/>
        <w:spacing w:before="322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一是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应用的准确率低。以抽烟识别、客流统</w:t>
      </w:r>
      <w:r>
        <w:rPr>
          <w:rFonts w:ascii="SimSun" w:hAnsi="SimSun" w:eastAsia="SimSun" w:cs="SimSun"/>
          <w:sz w:val="30"/>
          <w:szCs w:val="30"/>
          <w:spacing w:val="-2"/>
        </w:rPr>
        <w:t>计为例，在</w:t>
      </w:r>
      <w:r>
        <w:rPr>
          <w:rFonts w:ascii="SimSun" w:hAnsi="SimSun" w:eastAsia="SimSun" w:cs="SimSun"/>
          <w:sz w:val="30"/>
          <w:szCs w:val="30"/>
          <w:spacing w:val="-5"/>
        </w:rPr>
        <w:t>实验室环境下能达到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85%</w:t>
      </w:r>
      <w:r>
        <w:rPr>
          <w:rFonts w:ascii="SimSun" w:hAnsi="SimSun" w:eastAsia="SimSun" w:cs="SimSun"/>
          <w:sz w:val="30"/>
          <w:szCs w:val="30"/>
          <w:spacing w:val="-5"/>
        </w:rPr>
        <w:t>以上准确率，由</w:t>
      </w:r>
      <w:r>
        <w:rPr>
          <w:rFonts w:ascii="SimSun" w:hAnsi="SimSun" w:eastAsia="SimSun" w:cs="SimSun"/>
          <w:sz w:val="30"/>
          <w:szCs w:val="30"/>
          <w:spacing w:val="-6"/>
        </w:rPr>
        <w:t>于算法模型训练的质量</w:t>
      </w:r>
      <w:r>
        <w:rPr>
          <w:rFonts w:ascii="SimSun" w:hAnsi="SimSun" w:eastAsia="SimSun" w:cs="SimSun"/>
          <w:sz w:val="30"/>
          <w:szCs w:val="30"/>
          <w:spacing w:val="-4"/>
        </w:rPr>
        <w:t>不高，落地应用时却不足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10%</w:t>
      </w:r>
      <w:r>
        <w:rPr>
          <w:rFonts w:ascii="SimSun" w:hAnsi="SimSun" w:eastAsia="SimSun" w:cs="SimSun"/>
          <w:sz w:val="30"/>
          <w:szCs w:val="30"/>
          <w:spacing w:val="-4"/>
        </w:rPr>
        <w:t>，实际应用效果差。</w:t>
      </w:r>
    </w:p>
    <w:p>
      <w:pPr>
        <w:ind w:left="39" w:firstLine="605"/>
        <w:spacing w:before="26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二是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AI </w:t>
      </w:r>
      <w:r>
        <w:rPr>
          <w:rFonts w:ascii="SimSun" w:hAnsi="SimSun" w:eastAsia="SimSun" w:cs="SimSun"/>
          <w:sz w:val="30"/>
          <w:szCs w:val="30"/>
          <w:spacing w:val="-5"/>
        </w:rPr>
        <w:t>预警时延高。由于电信目前上市的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AI </w:t>
      </w:r>
      <w:r>
        <w:rPr>
          <w:rFonts w:ascii="SimSun" w:hAnsi="SimSun" w:eastAsia="SimSun" w:cs="SimSun"/>
          <w:sz w:val="30"/>
          <w:szCs w:val="30"/>
          <w:spacing w:val="-6"/>
        </w:rPr>
        <w:t>摄像头数量有</w:t>
      </w:r>
      <w:r>
        <w:rPr>
          <w:rFonts w:ascii="SimSun" w:hAnsi="SimSun" w:eastAsia="SimSun" w:cs="SimSun"/>
          <w:sz w:val="30"/>
          <w:szCs w:val="30"/>
          <w:spacing w:val="-1"/>
        </w:rPr>
        <w:t>限，大部分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功能都是基于普通摄像头在云端拉取视频流进行</w:t>
      </w:r>
      <w:r>
        <w:rPr>
          <w:rFonts w:ascii="SimSun" w:hAnsi="SimSun" w:eastAsia="SimSun" w:cs="SimSun"/>
          <w:sz w:val="30"/>
          <w:szCs w:val="30"/>
        </w:rPr>
        <w:t>抽帧及推理应用，造成链路长，预警实时性差。例如抽烟识别、</w:t>
      </w:r>
      <w:r>
        <w:rPr>
          <w:rFonts w:ascii="SimSun" w:hAnsi="SimSun" w:eastAsia="SimSun" w:cs="SimSun"/>
          <w:sz w:val="30"/>
          <w:szCs w:val="30"/>
          <w:spacing w:val="-9"/>
        </w:rPr>
        <w:t>火情预警、口罩识别等功能对时延非常敏感， 目前采用视频上传</w:t>
      </w:r>
      <w:r>
        <w:rPr>
          <w:rFonts w:ascii="SimSun" w:hAnsi="SimSun" w:eastAsia="SimSun" w:cs="SimSun"/>
          <w:sz w:val="30"/>
          <w:szCs w:val="30"/>
          <w:spacing w:val="-3"/>
        </w:rPr>
        <w:t>云端且以</w:t>
      </w:r>
      <w:r>
        <w:rPr>
          <w:rFonts w:ascii="SimSun" w:hAnsi="SimSun" w:eastAsia="SimSun" w:cs="SimSun"/>
          <w:sz w:val="30"/>
          <w:szCs w:val="3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15 </w:t>
      </w:r>
      <w:r>
        <w:rPr>
          <w:rFonts w:ascii="SimSun" w:hAnsi="SimSun" w:eastAsia="SimSun" w:cs="SimSun"/>
          <w:sz w:val="30"/>
          <w:szCs w:val="30"/>
          <w:spacing w:val="-3"/>
        </w:rPr>
        <w:t>分钟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/</w:t>
      </w:r>
      <w:r>
        <w:rPr>
          <w:rFonts w:ascii="SimSun" w:hAnsi="SimSun" w:eastAsia="SimSun" w:cs="SimSun"/>
          <w:sz w:val="30"/>
          <w:szCs w:val="30"/>
          <w:spacing w:val="-3"/>
        </w:rPr>
        <w:t>次抽帧频率的方式进行分析报警，易造成延报</w:t>
      </w:r>
      <w:r>
        <w:rPr>
          <w:rFonts w:ascii="SimSun" w:hAnsi="SimSun" w:eastAsia="SimSun" w:cs="SimSun"/>
          <w:sz w:val="30"/>
          <w:szCs w:val="30"/>
          <w:spacing w:val="-9"/>
        </w:rPr>
        <w:t>甚至漏报。</w:t>
      </w:r>
    </w:p>
    <w:p>
      <w:pPr>
        <w:ind w:left="1898"/>
        <w:spacing w:before="263" w:line="209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2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部分</w:t>
      </w:r>
      <w:r>
        <w:rPr>
          <w:rFonts w:ascii="KaiTi" w:hAnsi="KaiTi" w:eastAsia="KaiTi" w:cs="KaiTi"/>
          <w:sz w:val="30"/>
          <w:szCs w:val="30"/>
          <w:spacing w:val="-7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AI</w:t>
      </w:r>
      <w:r>
        <w:rPr>
          <w:rFonts w:ascii="KaiTi" w:hAnsi="KaiTi" w:eastAsia="KaiTi" w:cs="KaiTi"/>
          <w:sz w:val="30"/>
          <w:szCs w:val="30"/>
          <w:spacing w:val="-7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应用上线前测试情况</w:t>
      </w:r>
    </w:p>
    <w:tbl>
      <w:tblPr>
        <w:tblStyle w:val="TableNormal"/>
        <w:tblW w:w="8185" w:type="dxa"/>
        <w:tblInd w:w="9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74"/>
        <w:gridCol w:w="2411"/>
        <w:gridCol w:w="1276"/>
        <w:gridCol w:w="1982"/>
        <w:gridCol w:w="1242"/>
      </w:tblGrid>
      <w:tr>
        <w:trPr>
          <w:trHeight w:val="629" w:hRule="atLeast"/>
        </w:trPr>
        <w:tc>
          <w:tcPr>
            <w:tcW w:w="1274" w:type="dxa"/>
            <w:vAlign w:val="top"/>
          </w:tcPr>
          <w:p>
            <w:pPr>
              <w:ind w:left="243"/>
              <w:spacing w:before="193" w:line="22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4"/>
              </w:rPr>
              <w:t>AI</w:t>
            </w:r>
            <w:r>
              <w:rPr>
                <w:rFonts w:ascii="FangSong" w:hAnsi="FangSong" w:eastAsia="FangSong" w:cs="FangSong"/>
                <w:sz w:val="24"/>
                <w:szCs w:val="24"/>
                <w:spacing w:val="-45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4"/>
              </w:rPr>
              <w:t>应用</w:t>
            </w:r>
          </w:p>
        </w:tc>
        <w:tc>
          <w:tcPr>
            <w:tcW w:w="2411" w:type="dxa"/>
            <w:vAlign w:val="top"/>
          </w:tcPr>
          <w:p>
            <w:pPr>
              <w:ind w:left="734"/>
              <w:spacing w:before="194" w:line="21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6"/>
              </w:rPr>
              <w:t>测试场景</w:t>
            </w:r>
          </w:p>
        </w:tc>
        <w:tc>
          <w:tcPr>
            <w:tcW w:w="1276" w:type="dxa"/>
            <w:vAlign w:val="top"/>
          </w:tcPr>
          <w:p>
            <w:pPr>
              <w:ind w:left="169"/>
              <w:spacing w:before="194" w:line="21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7"/>
              </w:rPr>
              <w:t>正确报警</w:t>
            </w:r>
          </w:p>
        </w:tc>
        <w:tc>
          <w:tcPr>
            <w:tcW w:w="1982" w:type="dxa"/>
            <w:vAlign w:val="top"/>
          </w:tcPr>
          <w:p>
            <w:pPr>
              <w:ind w:left="644"/>
              <w:spacing w:before="194" w:line="21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8"/>
              </w:rPr>
              <w:t>误报率</w:t>
            </w:r>
          </w:p>
        </w:tc>
        <w:tc>
          <w:tcPr>
            <w:tcW w:w="1242" w:type="dxa"/>
            <w:vAlign w:val="top"/>
          </w:tcPr>
          <w:p>
            <w:pPr>
              <w:ind w:left="275" w:right="258" w:firstLine="117"/>
              <w:spacing w:before="39" w:line="223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10"/>
              </w:rPr>
              <w:t>是否</w:t>
            </w: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9"/>
              </w:rPr>
              <w:t>可商用</w:t>
            </w:r>
          </w:p>
        </w:tc>
      </w:tr>
      <w:tr>
        <w:trPr>
          <w:trHeight w:val="315" w:hRule="atLeast"/>
        </w:trPr>
        <w:tc>
          <w:tcPr>
            <w:tcW w:w="1274" w:type="dxa"/>
            <w:vAlign w:val="top"/>
            <w:vMerge w:val="restart"/>
            <w:tcBorders>
              <w:bottom w:val="nil"/>
            </w:tcBorders>
          </w:tcPr>
          <w:p>
            <w:pPr>
              <w:ind w:left="168"/>
              <w:spacing w:before="196" w:line="21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抽烟识别</w:t>
            </w:r>
          </w:p>
        </w:tc>
        <w:tc>
          <w:tcPr>
            <w:tcW w:w="2411" w:type="dxa"/>
            <w:vAlign w:val="top"/>
          </w:tcPr>
          <w:p>
            <w:pPr>
              <w:ind w:left="739"/>
              <w:spacing w:before="35" w:line="20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手持烟头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5" w:line="20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restart"/>
            <w:tcBorders>
              <w:bottom w:val="nil"/>
            </w:tcBorders>
          </w:tcPr>
          <w:p>
            <w:pPr>
              <w:ind w:left="816"/>
              <w:spacing w:before="196" w:line="23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90%</w:t>
            </w:r>
          </w:p>
        </w:tc>
        <w:tc>
          <w:tcPr>
            <w:tcW w:w="1242" w:type="dxa"/>
            <w:vAlign w:val="top"/>
            <w:vMerge w:val="restart"/>
            <w:tcBorders>
              <w:bottom w:val="nil"/>
            </w:tcBorders>
          </w:tcPr>
          <w:p>
            <w:pPr>
              <w:ind w:left="517"/>
              <w:spacing w:before="197" w:line="22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3"/>
              </w:rPr>
              <w:t>否</w:t>
            </w:r>
          </w:p>
        </w:tc>
      </w:tr>
      <w:tr>
        <w:trPr>
          <w:trHeight w:val="320" w:hRule="atLeast"/>
        </w:trPr>
        <w:tc>
          <w:tcPr>
            <w:tcW w:w="12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438"/>
              <w:spacing w:before="37" w:line="21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手持</w:t>
            </w:r>
            <w:r>
              <w:rPr>
                <w:rFonts w:ascii="FangSong" w:hAnsi="FangSong" w:eastAsia="FangSong" w:cs="FangSong"/>
                <w:sz w:val="24"/>
                <w:szCs w:val="24"/>
                <w:spacing w:val="-58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A4</w:t>
            </w:r>
            <w:r>
              <w:rPr>
                <w:rFonts w:ascii="FangSong" w:hAnsi="FangSong" w:eastAsia="FangSong" w:cs="FangSong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纸卷筒</w:t>
            </w:r>
          </w:p>
        </w:tc>
        <w:tc>
          <w:tcPr>
            <w:tcW w:w="1276" w:type="dxa"/>
            <w:vAlign w:val="top"/>
          </w:tcPr>
          <w:p>
            <w:pPr>
              <w:ind w:left="534"/>
              <w:spacing w:before="37" w:line="21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否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0"/>
          <w:pgSz w:w="11907" w:h="16839"/>
          <w:pgMar w:top="1223" w:right="1691" w:bottom="0" w:left="1771" w:header="832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6" w:lineRule="exact"/>
        <w:rPr/>
      </w:pPr>
      <w:r/>
    </w:p>
    <w:tbl>
      <w:tblPr>
        <w:tblStyle w:val="TableNormal"/>
        <w:tblW w:w="8185" w:type="dxa"/>
        <w:tblInd w:w="91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74"/>
        <w:gridCol w:w="2411"/>
        <w:gridCol w:w="1276"/>
        <w:gridCol w:w="1982"/>
        <w:gridCol w:w="1242"/>
      </w:tblGrid>
      <w:tr>
        <w:trPr>
          <w:trHeight w:val="322" w:hRule="atLeast"/>
        </w:trPr>
        <w:tc>
          <w:tcPr>
            <w:tcW w:w="12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859"/>
              <w:spacing w:before="38" w:line="21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手持笔</w:t>
            </w:r>
          </w:p>
        </w:tc>
        <w:tc>
          <w:tcPr>
            <w:tcW w:w="1276" w:type="dxa"/>
            <w:vAlign w:val="top"/>
          </w:tcPr>
          <w:p>
            <w:pPr>
              <w:ind w:left="534"/>
              <w:spacing w:before="38" w:line="21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否</w:t>
            </w:r>
          </w:p>
        </w:tc>
        <w:tc>
          <w:tcPr>
            <w:tcW w:w="198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739"/>
              <w:spacing w:before="32" w:line="21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手持手机</w:t>
            </w:r>
          </w:p>
        </w:tc>
        <w:tc>
          <w:tcPr>
            <w:tcW w:w="1276" w:type="dxa"/>
            <w:vAlign w:val="top"/>
          </w:tcPr>
          <w:p>
            <w:pPr>
              <w:ind w:left="534"/>
              <w:spacing w:before="32" w:line="21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否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restart"/>
            <w:tcBorders>
              <w:bottom w:val="nil"/>
            </w:tcBorders>
          </w:tcPr>
          <w:p>
            <w:pPr>
              <w:ind w:left="189"/>
              <w:spacing w:before="194" w:line="21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7"/>
              </w:rPr>
              <w:t>区域入侵</w:t>
            </w:r>
          </w:p>
        </w:tc>
        <w:tc>
          <w:tcPr>
            <w:tcW w:w="2411" w:type="dxa"/>
            <w:vAlign w:val="top"/>
          </w:tcPr>
          <w:p>
            <w:pPr>
              <w:ind w:left="740"/>
              <w:spacing w:before="34" w:line="20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人员闯入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4" w:line="20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restart"/>
            <w:tcBorders>
              <w:bottom w:val="nil"/>
            </w:tcBorders>
          </w:tcPr>
          <w:p>
            <w:pPr>
              <w:ind w:left="893"/>
              <w:spacing w:before="194" w:line="23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7"/>
              </w:rPr>
              <w:t>1%</w:t>
            </w:r>
          </w:p>
        </w:tc>
        <w:tc>
          <w:tcPr>
            <w:tcW w:w="1242" w:type="dxa"/>
            <w:vAlign w:val="top"/>
            <w:vMerge w:val="restart"/>
            <w:tcBorders>
              <w:bottom w:val="nil"/>
            </w:tcBorders>
          </w:tcPr>
          <w:p>
            <w:pPr>
              <w:ind w:left="512"/>
              <w:spacing w:before="195" w:line="22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</w:tr>
      <w:tr>
        <w:trPr>
          <w:trHeight w:val="314" w:hRule="atLeast"/>
        </w:trPr>
        <w:tc>
          <w:tcPr>
            <w:tcW w:w="12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741"/>
              <w:spacing w:before="34" w:line="20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货物闯入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4" w:line="20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7" w:hRule="atLeast"/>
        </w:trPr>
        <w:tc>
          <w:tcPr>
            <w:tcW w:w="12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37" w:lineRule="auto"/>
              <w:rPr/>
            </w:pPr>
            <w:r/>
          </w:p>
          <w:p>
            <w:pPr>
              <w:ind w:left="212"/>
              <w:spacing w:before="78" w:line="21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12"/>
              </w:rPr>
              <w:t>口罩识别</w:t>
            </w:r>
          </w:p>
        </w:tc>
        <w:tc>
          <w:tcPr>
            <w:tcW w:w="2411" w:type="dxa"/>
            <w:vAlign w:val="top"/>
          </w:tcPr>
          <w:p>
            <w:pPr>
              <w:ind w:left="738"/>
              <w:spacing w:before="36" w:line="20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未戴口罩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6" w:line="20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restart"/>
            <w:tcBorders>
              <w:bottom w:val="nil"/>
            </w:tcBorders>
          </w:tcPr>
          <w:p>
            <w:pPr>
              <w:ind w:left="525" w:right="390" w:hanging="122"/>
              <w:spacing w:before="207" w:line="23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镜头下只要</w:t>
            </w: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遮挡面部</w:t>
            </w:r>
          </w:p>
          <w:p>
            <w:pPr>
              <w:ind w:left="522"/>
              <w:spacing w:before="1" w:line="21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就无预警</w:t>
            </w:r>
          </w:p>
        </w:tc>
        <w:tc>
          <w:tcPr>
            <w:tcW w:w="12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37" w:lineRule="auto"/>
              <w:rPr/>
            </w:pPr>
            <w:r/>
          </w:p>
          <w:p>
            <w:pPr>
              <w:ind w:left="272"/>
              <w:spacing w:before="78" w:line="21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待商榷</w:t>
            </w:r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859"/>
              <w:spacing w:before="34" w:line="20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手遮挡</w:t>
            </w:r>
          </w:p>
        </w:tc>
        <w:tc>
          <w:tcPr>
            <w:tcW w:w="1276" w:type="dxa"/>
            <w:vAlign w:val="top"/>
          </w:tcPr>
          <w:p>
            <w:pPr>
              <w:ind w:left="534"/>
              <w:spacing w:before="34" w:line="209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否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744"/>
              <w:spacing w:before="35" w:line="20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帽子遮挡</w:t>
            </w:r>
          </w:p>
        </w:tc>
        <w:tc>
          <w:tcPr>
            <w:tcW w:w="1276" w:type="dxa"/>
            <w:vAlign w:val="top"/>
          </w:tcPr>
          <w:p>
            <w:pPr>
              <w:ind w:left="534"/>
              <w:spacing w:before="35" w:line="20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否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735"/>
              <w:spacing w:before="35" w:line="20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衣物遮挡</w:t>
            </w:r>
          </w:p>
        </w:tc>
        <w:tc>
          <w:tcPr>
            <w:tcW w:w="1276" w:type="dxa"/>
            <w:vAlign w:val="top"/>
          </w:tcPr>
          <w:p>
            <w:pPr>
              <w:ind w:left="534"/>
              <w:spacing w:before="35" w:line="20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否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8" w:lineRule="auto"/>
              <w:rPr/>
            </w:pPr>
            <w:r/>
          </w:p>
          <w:p>
            <w:pPr>
              <w:ind w:left="169"/>
              <w:spacing w:before="78" w:line="21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厨帽识别</w:t>
            </w:r>
          </w:p>
        </w:tc>
        <w:tc>
          <w:tcPr>
            <w:tcW w:w="2411" w:type="dxa"/>
            <w:vAlign w:val="top"/>
          </w:tcPr>
          <w:p>
            <w:pPr>
              <w:ind w:left="738"/>
              <w:spacing w:before="35" w:line="20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未戴帽子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5" w:line="20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7" w:lineRule="auto"/>
              <w:rPr/>
            </w:pPr>
            <w:r/>
          </w:p>
          <w:p>
            <w:pPr>
              <w:ind w:left="833"/>
              <w:spacing w:before="78" w:line="23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6"/>
              </w:rPr>
              <w:t>10%</w:t>
            </w:r>
          </w:p>
        </w:tc>
        <w:tc>
          <w:tcPr>
            <w:tcW w:w="12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78" w:lineRule="auto"/>
              <w:rPr/>
            </w:pPr>
            <w:r/>
          </w:p>
          <w:p>
            <w:pPr>
              <w:ind w:left="512"/>
              <w:spacing w:before="78" w:line="22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680"/>
              <w:spacing w:before="36" w:line="20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头顶</w:t>
            </w:r>
            <w:r>
              <w:rPr>
                <w:rFonts w:ascii="FangSong" w:hAnsi="FangSong" w:eastAsia="FangSong" w:cs="FangSong"/>
                <w:sz w:val="24"/>
                <w:szCs w:val="24"/>
                <w:spacing w:val="-56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A4</w:t>
            </w:r>
            <w:r>
              <w:rPr>
                <w:rFonts w:ascii="FangSong" w:hAnsi="FangSong" w:eastAsia="FangSong" w:cs="FangSong"/>
                <w:sz w:val="24"/>
                <w:szCs w:val="24"/>
                <w:spacing w:val="-40"/>
              </w:rPr>
              <w:t xml:space="preserve"> </w:t>
            </w:r>
            <w:r>
              <w:rPr>
                <w:rFonts w:ascii="FangSong" w:hAnsi="FangSong" w:eastAsia="FangSong" w:cs="FangSong"/>
                <w:sz w:val="24"/>
                <w:szCs w:val="24"/>
                <w:spacing w:val="-5"/>
              </w:rPr>
              <w:t>纸</w:t>
            </w:r>
          </w:p>
        </w:tc>
        <w:tc>
          <w:tcPr>
            <w:tcW w:w="1276" w:type="dxa"/>
            <w:vAlign w:val="top"/>
          </w:tcPr>
          <w:p>
            <w:pPr>
              <w:ind w:left="534"/>
              <w:spacing w:before="36" w:line="20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否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5" w:hRule="atLeast"/>
        </w:trPr>
        <w:tc>
          <w:tcPr>
            <w:tcW w:w="12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735"/>
              <w:spacing w:before="38" w:line="205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衣服盖头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8" w:line="205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38" w:lineRule="auto"/>
              <w:rPr/>
            </w:pPr>
            <w:r/>
          </w:p>
          <w:p>
            <w:pPr>
              <w:ind w:left="173"/>
              <w:spacing w:before="78" w:line="216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人脸布控</w:t>
            </w:r>
          </w:p>
        </w:tc>
        <w:tc>
          <w:tcPr>
            <w:tcW w:w="2411" w:type="dxa"/>
            <w:vAlign w:val="top"/>
          </w:tcPr>
          <w:p>
            <w:pPr>
              <w:ind w:left="739"/>
              <w:spacing w:before="39" w:line="205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正确的脸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9" w:line="205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38" w:lineRule="auto"/>
              <w:rPr/>
            </w:pPr>
            <w:r/>
          </w:p>
          <w:p>
            <w:pPr>
              <w:ind w:left="893"/>
              <w:spacing w:before="78" w:line="23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7"/>
              </w:rPr>
              <w:t>1%</w:t>
            </w:r>
          </w:p>
        </w:tc>
        <w:tc>
          <w:tcPr>
            <w:tcW w:w="124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39" w:lineRule="auto"/>
              <w:rPr/>
            </w:pPr>
            <w:r/>
          </w:p>
          <w:p>
            <w:pPr>
              <w:ind w:left="512"/>
              <w:spacing w:before="78" w:line="22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736"/>
              <w:spacing w:before="38" w:line="206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错误的脸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8" w:line="206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7" w:hRule="atLeast"/>
        </w:trPr>
        <w:tc>
          <w:tcPr>
            <w:tcW w:w="12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138"/>
              <w:spacing w:before="37" w:line="20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正确和错误的脸一起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7" w:line="207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6" w:hRule="atLeast"/>
        </w:trPr>
        <w:tc>
          <w:tcPr>
            <w:tcW w:w="127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11" w:type="dxa"/>
            <w:vAlign w:val="top"/>
          </w:tcPr>
          <w:p>
            <w:pPr>
              <w:ind w:left="378"/>
              <w:spacing w:before="38" w:line="206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正确的脸戴口罩</w:t>
            </w:r>
          </w:p>
        </w:tc>
        <w:tc>
          <w:tcPr>
            <w:tcW w:w="1276" w:type="dxa"/>
            <w:vAlign w:val="top"/>
          </w:tcPr>
          <w:p>
            <w:pPr>
              <w:ind w:left="529"/>
              <w:spacing w:before="38" w:line="206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是</w:t>
            </w:r>
          </w:p>
        </w:tc>
        <w:tc>
          <w:tcPr>
            <w:tcW w:w="198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42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33" w:hRule="atLeast"/>
        </w:trPr>
        <w:tc>
          <w:tcPr>
            <w:tcW w:w="1274" w:type="dxa"/>
            <w:vAlign w:val="top"/>
          </w:tcPr>
          <w:p>
            <w:pPr>
              <w:ind w:left="173"/>
              <w:spacing w:before="194" w:line="21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客流统计</w:t>
            </w:r>
          </w:p>
        </w:tc>
        <w:tc>
          <w:tcPr>
            <w:tcW w:w="2411" w:type="dxa"/>
            <w:vAlign w:val="top"/>
          </w:tcPr>
          <w:p>
            <w:pPr>
              <w:ind w:left="379"/>
              <w:spacing w:before="194" w:line="21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人流一直未变化</w:t>
            </w:r>
          </w:p>
        </w:tc>
        <w:tc>
          <w:tcPr>
            <w:tcW w:w="1276" w:type="dxa"/>
            <w:vAlign w:val="top"/>
          </w:tcPr>
          <w:p>
            <w:pPr>
              <w:ind w:left="534"/>
              <w:spacing w:before="194" w:line="22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</w:rPr>
              <w:t>否</w:t>
            </w:r>
          </w:p>
        </w:tc>
        <w:tc>
          <w:tcPr>
            <w:tcW w:w="1982" w:type="dxa"/>
            <w:vAlign w:val="top"/>
          </w:tcPr>
          <w:p>
            <w:pPr>
              <w:ind w:left="456"/>
              <w:spacing w:before="38" w:line="218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4"/>
              </w:rPr>
              <w:t>99%，持续</w:t>
            </w:r>
          </w:p>
          <w:p>
            <w:pPr>
              <w:ind w:left="170"/>
              <w:spacing w:before="27" w:line="21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spacing w:val="-3"/>
              </w:rPr>
              <w:t>叠加人数不去重</w:t>
            </w:r>
          </w:p>
        </w:tc>
        <w:tc>
          <w:tcPr>
            <w:tcW w:w="1242" w:type="dxa"/>
            <w:vAlign w:val="top"/>
          </w:tcPr>
          <w:p>
            <w:pPr>
              <w:ind w:left="517"/>
              <w:spacing w:before="194" w:line="220" w:lineRule="auto"/>
              <w:rPr>
                <w:rFonts w:ascii="FangSong" w:hAnsi="FangSong" w:eastAsia="FangSong" w:cs="FangSong"/>
                <w:sz w:val="24"/>
                <w:szCs w:val="24"/>
              </w:rPr>
            </w:pPr>
            <w:r>
              <w:rPr>
                <w:rFonts w:ascii="FangSong" w:hAnsi="FangSong" w:eastAsia="FangSong" w:cs="FangSong"/>
                <w:sz w:val="24"/>
                <w:szCs w:val="24"/>
                <w:b/>
                <w:bCs/>
                <w:spacing w:val="-3"/>
              </w:rPr>
              <w:t>否</w:t>
            </w:r>
          </w:p>
        </w:tc>
      </w:tr>
    </w:tbl>
    <w:p>
      <w:pPr>
        <w:spacing w:line="257" w:lineRule="auto"/>
        <w:rPr>
          <w:rFonts w:ascii="Arial"/>
          <w:sz w:val="21"/>
        </w:rPr>
      </w:pPr>
      <w:r/>
    </w:p>
    <w:p>
      <w:pPr>
        <w:ind w:left="41" w:right="245" w:firstLine="594"/>
        <w:spacing w:before="98" w:line="239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．安全认证资质不足和标准级别较低，政法公安等高安全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要求市场难入场</w:t>
      </w:r>
    </w:p>
    <w:p>
      <w:pPr>
        <w:rPr>
          <w:rFonts w:ascii="Arial"/>
          <w:sz w:val="21"/>
        </w:rPr>
      </w:pPr>
      <w:r/>
    </w:p>
    <w:p>
      <w:pPr>
        <w:ind w:left="40" w:right="237" w:firstLine="604"/>
        <w:spacing w:before="9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一是安全体系资质认证的数量和种类不及龙头企业。目前视</w:t>
      </w:r>
      <w:r>
        <w:rPr>
          <w:rFonts w:ascii="SimSun" w:hAnsi="SimSun" w:eastAsia="SimSun" w:cs="SimSun"/>
          <w:sz w:val="30"/>
          <w:szCs w:val="30"/>
          <w:spacing w:val="7"/>
        </w:rPr>
        <w:t>联网的安全认证集中在相对基础的通用安全和信</w:t>
      </w:r>
      <w:r>
        <w:rPr>
          <w:rFonts w:ascii="SimSun" w:hAnsi="SimSun" w:eastAsia="SimSun" w:cs="SimSun"/>
          <w:sz w:val="30"/>
          <w:szCs w:val="30"/>
          <w:spacing w:val="6"/>
        </w:rPr>
        <w:t>息技术安全等</w:t>
      </w:r>
      <w:r>
        <w:rPr>
          <w:rFonts w:ascii="SimSun" w:hAnsi="SimSun" w:eastAsia="SimSun" w:cs="SimSun"/>
          <w:sz w:val="30"/>
          <w:szCs w:val="30"/>
          <w:spacing w:val="-9"/>
        </w:rPr>
        <w:t>方面，相比海康、萤石等龙头， 缺乏视频数据隐私安全、云平台</w:t>
      </w:r>
      <w:r>
        <w:rPr>
          <w:rFonts w:ascii="SimSun" w:hAnsi="SimSun" w:eastAsia="SimSun" w:cs="SimSun"/>
          <w:sz w:val="30"/>
          <w:szCs w:val="30"/>
          <w:spacing w:val="-4"/>
        </w:rPr>
        <w:t>信息安全等认证，不能体现出视联网云服务对于开放环境的风险</w:t>
      </w:r>
      <w:r>
        <w:rPr>
          <w:rFonts w:ascii="SimSun" w:hAnsi="SimSun" w:eastAsia="SimSun" w:cs="SimSun"/>
          <w:sz w:val="30"/>
          <w:szCs w:val="30"/>
          <w:spacing w:val="-9"/>
        </w:rPr>
        <w:t>防范能力。</w:t>
      </w:r>
    </w:p>
    <w:p>
      <w:pPr>
        <w:ind w:left="40" w:firstLine="604"/>
        <w:spacing w:before="27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二是安全标准不满足高等级安全需求。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IDC </w:t>
      </w:r>
      <w:r>
        <w:rPr>
          <w:rFonts w:ascii="SimSun" w:hAnsi="SimSun" w:eastAsia="SimSun" w:cs="SimSun"/>
          <w:sz w:val="30"/>
          <w:szCs w:val="30"/>
          <w:spacing w:val="-4"/>
        </w:rPr>
        <w:t>研究显示，政府</w:t>
      </w:r>
      <w:r>
        <w:rPr>
          <w:rFonts w:ascii="SimSun" w:hAnsi="SimSun" w:eastAsia="SimSun" w:cs="SimSun"/>
          <w:sz w:val="30"/>
          <w:szCs w:val="30"/>
          <w:spacing w:val="-14"/>
        </w:rPr>
        <w:t>行业（公安为主）是视频安全应用的主要需求方，占比高达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4"/>
        </w:rPr>
        <w:t>68.5%</w:t>
      </w:r>
      <w:r>
        <w:rPr>
          <w:rFonts w:ascii="SimSun" w:hAnsi="SimSun" w:eastAsia="SimSun" w:cs="SimSun"/>
          <w:sz w:val="30"/>
          <w:szCs w:val="30"/>
          <w:spacing w:val="-14"/>
        </w:rPr>
        <w:t>，</w:t>
      </w:r>
      <w:r>
        <w:rPr>
          <w:rFonts w:ascii="SimSun" w:hAnsi="SimSun" w:eastAsia="SimSun" w:cs="SimSun"/>
          <w:sz w:val="30"/>
          <w:szCs w:val="30"/>
          <w:spacing w:val="7"/>
        </w:rPr>
        <w:t>满足公安行业的视频安全需求才具备切入视频监</w:t>
      </w:r>
      <w:r>
        <w:rPr>
          <w:rFonts w:ascii="SimSun" w:hAnsi="SimSun" w:eastAsia="SimSun" w:cs="SimSun"/>
          <w:sz w:val="30"/>
          <w:szCs w:val="30"/>
          <w:spacing w:val="6"/>
        </w:rPr>
        <w:t>控安全最大份</w:t>
      </w:r>
      <w:r>
        <w:rPr>
          <w:rFonts w:ascii="SimSun" w:hAnsi="SimSun" w:eastAsia="SimSun" w:cs="SimSun"/>
          <w:sz w:val="30"/>
          <w:szCs w:val="30"/>
          <w:spacing w:val="-7"/>
        </w:rPr>
        <w:t>额市场的基础条件。但视联网目前基于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GB/T25181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安全标准，达</w:t>
      </w:r>
      <w:r>
        <w:rPr>
          <w:rFonts w:ascii="SimSun" w:hAnsi="SimSun" w:eastAsia="SimSun" w:cs="SimSun"/>
          <w:sz w:val="30"/>
          <w:szCs w:val="30"/>
          <w:spacing w:val="-11"/>
        </w:rPr>
        <w:t>不到公安行业要求的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GB35114 </w:t>
      </w:r>
      <w:r>
        <w:rPr>
          <w:rFonts w:ascii="SimSun" w:hAnsi="SimSun" w:eastAsia="SimSun" w:cs="SimSun"/>
          <w:sz w:val="30"/>
          <w:szCs w:val="30"/>
          <w:spacing w:val="-11"/>
        </w:rPr>
        <w:t>标准，涉及高等级安全需求（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C </w:t>
      </w:r>
      <w:r>
        <w:rPr>
          <w:rFonts w:ascii="SimSun" w:hAnsi="SimSun" w:eastAsia="SimSun" w:cs="SimSun"/>
          <w:sz w:val="30"/>
          <w:szCs w:val="30"/>
          <w:spacing w:val="-11"/>
        </w:rPr>
        <w:t>级）</w:t>
      </w:r>
      <w:r>
        <w:rPr>
          <w:rFonts w:ascii="SimSun" w:hAnsi="SimSun" w:eastAsia="SimSun" w:cs="SimSun"/>
          <w:sz w:val="30"/>
          <w:szCs w:val="30"/>
          <w:spacing w:val="-7"/>
        </w:rPr>
        <w:t>的项目无法承接。</w:t>
      </w:r>
    </w:p>
    <w:p>
      <w:pPr>
        <w:spacing w:line="259" w:lineRule="auto"/>
        <w:sectPr>
          <w:headerReference w:type="default" r:id="rId11"/>
          <w:pgSz w:w="11907" w:h="16839"/>
          <w:pgMar w:top="1223" w:right="1562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362" w:lineRule="auto"/>
        <w:rPr>
          <w:rFonts w:ascii="Arial"/>
          <w:sz w:val="21"/>
        </w:rPr>
      </w:pPr>
      <w:r/>
    </w:p>
    <w:p>
      <w:pPr>
        <w:ind w:firstLine="28"/>
        <w:spacing w:line="4368" w:lineRule="exact"/>
        <w:rPr/>
      </w:pPr>
      <w:r>
        <w:rPr>
          <w:position w:val="-87"/>
        </w:rPr>
        <w:drawing>
          <wp:inline distT="0" distB="0" distL="0" distR="0">
            <wp:extent cx="5219700" cy="277367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700" cy="277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67"/>
        <w:spacing w:before="226" w:line="220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58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3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视联网安全认证对比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ind w:left="690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三、视联网发展建议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39" w:right="79" w:firstLine="604"/>
        <w:spacing w:before="97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建议从产品能力开放和核心技术提升两个方面</w:t>
      </w:r>
      <w:r>
        <w:rPr>
          <w:rFonts w:ascii="SimSun" w:hAnsi="SimSun" w:eastAsia="SimSun" w:cs="SimSun"/>
          <w:sz w:val="30"/>
          <w:szCs w:val="30"/>
          <w:spacing w:val="-5"/>
        </w:rPr>
        <w:t>着手，实现市</w:t>
      </w:r>
      <w:r>
        <w:rPr>
          <w:rFonts w:ascii="SimSun" w:hAnsi="SimSun" w:eastAsia="SimSun" w:cs="SimSun"/>
          <w:sz w:val="30"/>
          <w:szCs w:val="30"/>
          <w:spacing w:val="-3"/>
        </w:rPr>
        <w:t>场需求快速响应，确保硬实力与行业龙头可比。</w:t>
      </w:r>
    </w:p>
    <w:p>
      <w:pPr>
        <w:ind w:left="56" w:right="99" w:firstLine="593"/>
        <w:spacing w:before="273" w:line="239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（一）构建场景化标准开放能力，赋能省公司快速响应市场</w:t>
      </w:r>
      <w:r>
        <w:rPr>
          <w:rFonts w:ascii="SimSun" w:hAnsi="SimSun" w:eastAsia="SimSun" w:cs="SimSun"/>
          <w:sz w:val="30"/>
          <w:szCs w:val="30"/>
          <w:b/>
          <w:bCs/>
          <w:spacing w:val="-10"/>
        </w:rPr>
        <w:t>需求</w:t>
      </w:r>
    </w:p>
    <w:p>
      <w:pPr>
        <w:rPr>
          <w:rFonts w:ascii="Arial"/>
          <w:sz w:val="21"/>
        </w:rPr>
      </w:pPr>
      <w:r/>
    </w:p>
    <w:p>
      <w:pPr>
        <w:ind w:left="37" w:right="127" w:firstLine="607"/>
        <w:spacing w:before="97" w:line="25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"/>
        </w:rPr>
        <w:t>一是提升标准化产品的个性化配置能力（例如更改名字、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logo </w:t>
      </w:r>
      <w:r>
        <w:rPr>
          <w:rFonts w:ascii="SimSun" w:hAnsi="SimSun" w:eastAsia="SimSun" w:cs="SimSun"/>
          <w:sz w:val="30"/>
          <w:szCs w:val="30"/>
          <w:spacing w:val="-4"/>
        </w:rPr>
        <w:t>等</w:t>
      </w:r>
      <w:r>
        <w:rPr>
          <w:rFonts w:ascii="SimSun" w:hAnsi="SimSun" w:eastAsia="SimSun" w:cs="SimSun"/>
          <w:sz w:val="30"/>
          <w:szCs w:val="30"/>
          <w:spacing w:val="-43"/>
        </w:rPr>
        <w:t>），</w:t>
      </w:r>
      <w:r>
        <w:rPr>
          <w:rFonts w:ascii="SimSun" w:hAnsi="SimSun" w:eastAsia="SimSun" w:cs="SimSun"/>
          <w:sz w:val="30"/>
          <w:szCs w:val="30"/>
          <w:spacing w:val="-4"/>
        </w:rPr>
        <w:t>最大限度赋能省市一线，快速响应客户个性化需求。</w:t>
      </w:r>
    </w:p>
    <w:p>
      <w:pPr>
        <w:ind w:left="645"/>
        <w:spacing w:before="284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二是持续研发新的场景功能，提供便捷的版本升级能力。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31" w:firstLine="609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三是增强视联网开放能力。根据场景需求，</w:t>
      </w:r>
      <w:r>
        <w:rPr>
          <w:rFonts w:ascii="SimSun" w:hAnsi="SimSun" w:eastAsia="SimSun" w:cs="SimSu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提供场景化能力</w:t>
      </w:r>
      <w:r>
        <w:rPr>
          <w:rFonts w:ascii="SimSun" w:hAnsi="SimSun" w:eastAsia="SimSun" w:cs="SimSun"/>
          <w:sz w:val="30"/>
          <w:szCs w:val="30"/>
          <w:spacing w:val="-1"/>
        </w:rPr>
        <w:t>组件服务（例如高空抛物、久坐提醒等</w:t>
      </w:r>
      <w:r>
        <w:rPr>
          <w:rFonts w:ascii="SimSun" w:hAnsi="SimSun" w:eastAsia="SimSun" w:cs="SimSun"/>
          <w:sz w:val="30"/>
          <w:szCs w:val="30"/>
          <w:spacing w:val="-36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进行模块化封装和标</w:t>
      </w:r>
      <w:r>
        <w:rPr>
          <w:rFonts w:ascii="SimSun" w:hAnsi="SimSun" w:eastAsia="SimSun" w:cs="SimSun"/>
          <w:sz w:val="30"/>
          <w:szCs w:val="30"/>
          <w:spacing w:val="-4"/>
        </w:rPr>
        <w:t>准接口开放，增强场景化应用封装（如后厨监管、小区管理、智</w:t>
      </w:r>
      <w:r>
        <w:rPr>
          <w:rFonts w:ascii="SimSun" w:hAnsi="SimSun" w:eastAsia="SimSun" w:cs="SimSun"/>
          <w:sz w:val="30"/>
          <w:szCs w:val="30"/>
          <w:spacing w:val="1"/>
        </w:rPr>
        <w:t>能养老等</w:t>
      </w:r>
      <w:r>
        <w:rPr>
          <w:rFonts w:ascii="SimSun" w:hAnsi="SimSun" w:eastAsia="SimSun" w:cs="SimSun"/>
          <w:sz w:val="30"/>
          <w:szCs w:val="30"/>
          <w:spacing w:val="-65"/>
        </w:rPr>
        <w:t>），</w:t>
      </w:r>
      <w:r>
        <w:rPr>
          <w:rFonts w:ascii="SimSun" w:hAnsi="SimSun" w:eastAsia="SimSun" w:cs="SimSun"/>
          <w:sz w:val="30"/>
          <w:szCs w:val="30"/>
          <w:spacing w:val="1"/>
        </w:rPr>
        <w:t>可支持直接单独调用和快速被集成，并提供丰富的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API</w:t>
      </w:r>
      <w:r>
        <w:rPr>
          <w:rFonts w:ascii="Times New Roman" w:hAnsi="Times New Roman" w:eastAsia="Times New Roman" w:cs="Times New Roma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SDK  </w:t>
      </w:r>
      <w:r>
        <w:rPr>
          <w:rFonts w:ascii="SimSun" w:hAnsi="SimSun" w:eastAsia="SimSun" w:cs="SimSun"/>
          <w:sz w:val="30"/>
          <w:szCs w:val="30"/>
          <w:spacing w:val="-3"/>
        </w:rPr>
        <w:t>等支持，提供“积木式”甚至低代码应用开发模式，</w:t>
      </w:r>
      <w:r>
        <w:rPr>
          <w:rFonts w:ascii="SimSun" w:hAnsi="SimSun" w:eastAsia="SimSun" w:cs="SimSun"/>
          <w:sz w:val="30"/>
          <w:szCs w:val="30"/>
          <w:spacing w:val="-4"/>
        </w:rPr>
        <w:t>省公司可通过组件拖拽与配置开发场景化应用，适应灵活多变的</w:t>
      </w:r>
      <w:r>
        <w:rPr>
          <w:rFonts w:ascii="SimSun" w:hAnsi="SimSun" w:eastAsia="SimSun" w:cs="SimSun"/>
          <w:sz w:val="30"/>
          <w:szCs w:val="30"/>
          <w:spacing w:val="-8"/>
        </w:rPr>
        <w:t>市场需求。</w:t>
      </w:r>
    </w:p>
    <w:p>
      <w:pPr>
        <w:spacing w:line="259" w:lineRule="auto"/>
        <w:sectPr>
          <w:headerReference w:type="default" r:id="rId12"/>
          <w:pgSz w:w="11907" w:h="16839"/>
          <w:pgMar w:top="1223" w:right="1720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331" w:lineRule="auto"/>
        <w:rPr>
          <w:rFonts w:ascii="Arial"/>
          <w:sz w:val="21"/>
        </w:rPr>
      </w:pPr>
      <w:r/>
    </w:p>
    <w:p>
      <w:pPr>
        <w:ind w:firstLine="61"/>
        <w:spacing w:line="3807" w:lineRule="exact"/>
        <w:rPr/>
      </w:pPr>
      <w:r>
        <w:rPr>
          <w:position w:val="-76"/>
        </w:rPr>
        <w:drawing>
          <wp:inline distT="0" distB="0" distL="0" distR="0">
            <wp:extent cx="5225795" cy="241706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5795" cy="24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16"/>
        <w:spacing w:before="194" w:line="215" w:lineRule="auto"/>
        <w:outlineLvl w:val="4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1"/>
        </w:rPr>
        <w:t>图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1"/>
        </w:rPr>
        <w:t>4</w:t>
      </w:r>
      <w:r>
        <w:rPr>
          <w:rFonts w:ascii="KaiTi" w:hAnsi="KaiTi" w:eastAsia="KaiTi" w:cs="KaiTi"/>
          <w:sz w:val="30"/>
          <w:szCs w:val="30"/>
          <w:spacing w:val="17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1"/>
        </w:rPr>
        <w:t>能力开放体系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45" w:right="233" w:firstLine="605"/>
        <w:spacing w:before="97" w:line="239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（二）重点提升云平台基础服务和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AI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性能，夯实技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术硬实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力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650"/>
        <w:spacing w:before="97" w:line="235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7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17"/>
        </w:rPr>
        <w:t>．“云平台”性能是基础</w:t>
      </w:r>
    </w:p>
    <w:p>
      <w:pPr>
        <w:ind w:left="41" w:firstLine="599"/>
        <w:spacing w:before="32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提升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P2P </w:t>
      </w:r>
      <w:r>
        <w:rPr>
          <w:rFonts w:ascii="SimSun" w:hAnsi="SimSun" w:eastAsia="SimSun" w:cs="SimSun"/>
          <w:sz w:val="30"/>
          <w:szCs w:val="30"/>
          <w:spacing w:val="-10"/>
        </w:rPr>
        <w:t>直连成功率、云存成功率、直播成功率</w:t>
      </w:r>
      <w:r>
        <w:rPr>
          <w:rFonts w:ascii="SimSun" w:hAnsi="SimSun" w:eastAsia="SimSun" w:cs="SimSun"/>
          <w:sz w:val="30"/>
          <w:szCs w:val="30"/>
          <w:spacing w:val="-11"/>
        </w:rPr>
        <w:t>， 降低云平</w:t>
      </w:r>
      <w:r>
        <w:rPr>
          <w:rFonts w:ascii="SimSun" w:hAnsi="SimSun" w:eastAsia="SimSun" w:cs="SimSun"/>
          <w:sz w:val="30"/>
          <w:szCs w:val="30"/>
          <w:spacing w:val="-6"/>
        </w:rPr>
        <w:t>台响应时间、直播加载时间等直接影响客户感知体验的平台性能，</w:t>
      </w:r>
      <w:r>
        <w:rPr>
          <w:rFonts w:ascii="SimSun" w:hAnsi="SimSun" w:eastAsia="SimSun" w:cs="SimSun"/>
          <w:sz w:val="30"/>
          <w:szCs w:val="30"/>
          <w:spacing w:val="-2"/>
        </w:rPr>
        <w:t>建议重点推进</w:t>
      </w:r>
      <w:r>
        <w:rPr>
          <w:rFonts w:ascii="SimSun" w:hAnsi="SimSun" w:eastAsia="SimSun" w:cs="SimSun"/>
          <w:sz w:val="30"/>
          <w:szCs w:val="30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IPv6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端到端应用，提升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P2P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直连成功率和直播成</w:t>
      </w:r>
      <w:r>
        <w:rPr>
          <w:rFonts w:ascii="SimSun" w:hAnsi="SimSun" w:eastAsia="SimSun" w:cs="SimSun"/>
          <w:sz w:val="30"/>
          <w:szCs w:val="30"/>
          <w:spacing w:val="-4"/>
        </w:rPr>
        <w:t>功率，提升分省区的多级云存调度能力，提升云存成功率，加强</w:t>
      </w:r>
      <w:r>
        <w:rPr>
          <w:rFonts w:ascii="SimSun" w:hAnsi="SimSun" w:eastAsia="SimSun" w:cs="SimSun"/>
          <w:sz w:val="30"/>
          <w:szCs w:val="30"/>
          <w:spacing w:val="-4"/>
        </w:rPr>
        <w:t>新型视频编解码和新型网络传输协议自主研发，降低云平台响应</w:t>
      </w:r>
      <w:r>
        <w:rPr>
          <w:rFonts w:ascii="SimSun" w:hAnsi="SimSun" w:eastAsia="SimSun" w:cs="SimSun"/>
          <w:sz w:val="30"/>
          <w:szCs w:val="30"/>
          <w:spacing w:val="-2"/>
        </w:rPr>
        <w:t>时间和直播加载时间。</w:t>
      </w:r>
    </w:p>
    <w:p>
      <w:pPr>
        <w:ind w:left="638"/>
        <w:spacing w:before="272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6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16"/>
        </w:rPr>
        <w:t>．“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6"/>
        </w:rPr>
        <w:t>AI</w:t>
      </w:r>
      <w:r>
        <w:rPr>
          <w:rFonts w:ascii="SimSun" w:hAnsi="SimSun" w:eastAsia="SimSun" w:cs="SimSun"/>
          <w:sz w:val="30"/>
          <w:szCs w:val="30"/>
          <w:b/>
          <w:bCs/>
          <w:spacing w:val="-16"/>
        </w:rPr>
        <w:t>”性能是关键</w:t>
      </w:r>
    </w:p>
    <w:p>
      <w:pPr>
        <w:ind w:left="39" w:right="232" w:firstLine="617"/>
        <w:spacing w:before="315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需要着力解决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场景化应用的准确性低、预警时延高等关</w:t>
      </w:r>
      <w:r>
        <w:rPr>
          <w:rFonts w:ascii="SimSun" w:hAnsi="SimSun" w:eastAsia="SimSun" w:cs="SimSun"/>
          <w:sz w:val="30"/>
          <w:szCs w:val="30"/>
          <w:spacing w:val="-1"/>
        </w:rPr>
        <w:t>键问题。能够根据不同场景，持续优化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应用模型，提升实时</w:t>
      </w:r>
      <w:r>
        <w:rPr>
          <w:rFonts w:ascii="SimSun" w:hAnsi="SimSun" w:eastAsia="SimSun" w:cs="SimSun"/>
          <w:sz w:val="30"/>
          <w:szCs w:val="30"/>
          <w:spacing w:val="-1"/>
        </w:rPr>
        <w:t>目标识别准确度。加大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摄像头自主研发，可根据不同时延要</w:t>
      </w:r>
      <w:r>
        <w:rPr>
          <w:rFonts w:ascii="SimSun" w:hAnsi="SimSun" w:eastAsia="SimSun" w:cs="SimSun"/>
          <w:sz w:val="30"/>
          <w:szCs w:val="30"/>
          <w:spacing w:val="-1"/>
        </w:rPr>
        <w:t>求，选择在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摄像头、边缘云或公有云平台进行分析预警，解</w:t>
      </w:r>
      <w:r>
        <w:rPr>
          <w:rFonts w:ascii="SimSun" w:hAnsi="SimSun" w:eastAsia="SimSun" w:cs="SimSun"/>
          <w:sz w:val="30"/>
          <w:szCs w:val="30"/>
          <w:spacing w:val="-1"/>
        </w:rPr>
        <w:t>决部分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 </w:t>
      </w:r>
      <w:r>
        <w:rPr>
          <w:rFonts w:ascii="SimSun" w:hAnsi="SimSun" w:eastAsia="SimSun" w:cs="SimSun"/>
          <w:sz w:val="30"/>
          <w:szCs w:val="30"/>
          <w:spacing w:val="-1"/>
        </w:rPr>
        <w:t>场景预警时延高的问题。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53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216" w:lineRule="auto"/>
        <w:sectPr>
          <w:headerReference w:type="default" r:id="rId14"/>
          <w:pgSz w:w="11907" w:h="16839"/>
          <w:pgMar w:top="1223" w:right="1566" w:bottom="0" w:left="1771" w:header="832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33" w:right="218" w:firstLine="576"/>
        <w:spacing w:before="309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梁红燕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3"/>
        </w:rPr>
        <w:t>中南大学管理科学与工程硕士，专注用户研究、客户</w:t>
      </w:r>
      <w:r>
        <w:rPr>
          <w:rFonts w:ascii="KaiTi" w:hAnsi="KaiTi" w:eastAsia="KaiTi" w:cs="KaiTi"/>
          <w:sz w:val="28"/>
          <w:szCs w:val="28"/>
        </w:rPr>
        <w:t>体验与产品创新研究，近年对数字生活领域产品</w:t>
      </w:r>
      <w:r>
        <w:rPr>
          <w:rFonts w:ascii="KaiTi" w:hAnsi="KaiTi" w:eastAsia="KaiTi" w:cs="KaiTi"/>
          <w:sz w:val="28"/>
          <w:szCs w:val="28"/>
          <w:spacing w:val="-1"/>
        </w:rPr>
        <w:t>研究积累丰富，发</w:t>
      </w:r>
      <w:r>
        <w:rPr>
          <w:rFonts w:ascii="KaiTi" w:hAnsi="KaiTi" w:eastAsia="KaiTi" w:cs="KaiTi"/>
          <w:sz w:val="28"/>
          <w:szCs w:val="28"/>
          <w:spacing w:val="-7"/>
        </w:rPr>
        <w:t>表学术论文多篇。【15360010750】</w:t>
      </w:r>
    </w:p>
    <w:p>
      <w:pPr>
        <w:ind w:left="40" w:right="218" w:firstLine="569"/>
        <w:spacing w:before="277" w:line="277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李娟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3"/>
        </w:rPr>
        <w:t>西安电子科技大学，有十余年电信市场研究经验，在用</w:t>
      </w:r>
      <w:r>
        <w:rPr>
          <w:rFonts w:ascii="KaiTi" w:hAnsi="KaiTi" w:eastAsia="KaiTi" w:cs="KaiTi"/>
          <w:sz w:val="28"/>
          <w:szCs w:val="28"/>
          <w:spacing w:val="-1"/>
        </w:rPr>
        <w:t>户体验研究、客户需求研究、产品管理研究领域有丰富的积累，近</w:t>
      </w:r>
      <w:r>
        <w:rPr>
          <w:rFonts w:ascii="KaiTi" w:hAnsi="KaiTi" w:eastAsia="KaiTi" w:cs="KaiTi"/>
          <w:sz w:val="28"/>
          <w:szCs w:val="28"/>
          <w:spacing w:val="-1"/>
        </w:rPr>
        <w:t>年聚焦视联网、数字生活等专业研究工作。</w:t>
      </w:r>
    </w:p>
    <w:p>
      <w:pPr>
        <w:ind w:left="43" w:right="211" w:firstLine="572"/>
        <w:spacing w:before="278" w:line="277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江嘉琳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暨南大学区域经济学硕士，在区域市场分析</w:t>
      </w:r>
      <w:r>
        <w:rPr>
          <w:rFonts w:ascii="KaiTi" w:hAnsi="KaiTi" w:eastAsia="KaiTi" w:cs="KaiTi"/>
          <w:sz w:val="28"/>
          <w:szCs w:val="28"/>
          <w:spacing w:val="-2"/>
        </w:rPr>
        <w:t>、区域政</w:t>
      </w:r>
      <w:r>
        <w:rPr>
          <w:rFonts w:ascii="KaiTi" w:hAnsi="KaiTi" w:eastAsia="KaiTi" w:cs="KaiTi"/>
          <w:sz w:val="28"/>
          <w:szCs w:val="28"/>
          <w:spacing w:val="-1"/>
        </w:rPr>
        <w:t>策研究、用户研究、产品体验领域有丰富积累，聚焦视联网、数字</w:t>
      </w:r>
      <w:r>
        <w:rPr>
          <w:rFonts w:ascii="KaiTi" w:hAnsi="KaiTi" w:eastAsia="KaiTi" w:cs="KaiTi"/>
          <w:sz w:val="28"/>
          <w:szCs w:val="28"/>
          <w:spacing w:val="-2"/>
        </w:rPr>
        <w:t>生活等领域研究工作。</w:t>
      </w:r>
    </w:p>
    <w:sectPr>
      <w:headerReference w:type="default" r:id="rId16"/>
      <w:pgSz w:w="11907" w:h="16839"/>
      <w:pgMar w:top="1223" w:right="1769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7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视联网规模发展问题分析及策略建议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7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0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视联网规模发展问题分析及策略建议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7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2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视联网规模发展问题分析及策略建议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7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4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视联网规模发展问题分析及策略建议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7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6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视联网规模发展问题分析及策略建议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7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8" style="position:absolute;margin-left:88.584pt;margin-top:57.8401pt;mso-position-vertical-relative:page;mso-position-horizontal-relative:page;width:418.3pt;height:0.75pt;z-index:25166336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视联网规模发展问题分析及策略建议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7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30" style="position:absolute;margin-left:88.584pt;margin-top:57.8401pt;mso-position-vertical-relative:page;mso-position-horizontal-relative:page;width:418.3pt;height:0.75pt;z-index:25166438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视联网规模发展问题分析及策略建议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97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32" style="position:absolute;margin-left:88.584pt;margin-top:57.8401pt;mso-position-vertical-relative:page;mso-position-horizontal-relative:page;width:418.3pt;height:0.75pt;z-index:25166540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视联网规模发展问题分析及策略建议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Lucida Console" w:hAnsi="Lucida Console" w:eastAsia="Lucida Console" w:cs="Lucida Console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png"/><Relationship Id="rId5" Type="http://schemas.openxmlformats.org/officeDocument/2006/relationships/header" Target="header2.xml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2" Type="http://schemas.openxmlformats.org/officeDocument/2006/relationships/image" Target="media/image1.pn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header" Target="header8.xml"/><Relationship Id="rId15" Type="http://schemas.openxmlformats.org/officeDocument/2006/relationships/image" Target="media/image8.png"/><Relationship Id="rId14" Type="http://schemas.openxmlformats.org/officeDocument/2006/relationships/header" Target="header7.xml"/><Relationship Id="rId13" Type="http://schemas.openxmlformats.org/officeDocument/2006/relationships/image" Target="media/image7.jpeg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2023-03-09T16:45:07Z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2025-11-04T15:54:56</vt:filetime>
  </property>
</Properties>
</file>