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312"/>
        <w:spacing w:before="210" w:line="198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-4"/>
        </w:rPr>
        <w:t>资本市场怎样估值中国电信？</w:t>
      </w:r>
    </w:p>
    <w:p>
      <w:pPr>
        <w:ind w:left="3457"/>
        <w:spacing w:before="330" w:line="208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0"/>
        </w:rPr>
        <w:t>文/</w:t>
      </w:r>
      <w:r>
        <w:rPr>
          <w:rFonts w:ascii="STKaiti" w:hAnsi="STKaiti" w:eastAsia="STKaiti" w:cs="STKaiti"/>
          <w:sz w:val="30"/>
          <w:szCs w:val="30"/>
          <w:spacing w:val="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姚群峰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ind w:left="34" w:right="259" w:firstLine="594"/>
        <w:spacing w:before="98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6"/>
        </w:rPr>
        <w:t>2022</w:t>
      </w:r>
      <w:r>
        <w:rPr>
          <w:rFonts w:ascii="FangSong" w:hAnsi="FangSong" w:eastAsia="FangSong" w:cs="FangSong"/>
          <w:sz w:val="30"/>
          <w:szCs w:val="30"/>
          <w:spacing w:val="-3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年下半年以来，A</w:t>
      </w:r>
      <w:r>
        <w:rPr>
          <w:rFonts w:ascii="FangSong" w:hAnsi="FangSong" w:eastAsia="FangSong" w:cs="FangSong"/>
          <w:sz w:val="30"/>
          <w:szCs w:val="30"/>
          <w:spacing w:val="-5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股市场上运营商的股价飙涨，中国电</w:t>
      </w:r>
      <w:r>
        <w:rPr>
          <w:rFonts w:ascii="FangSong" w:hAnsi="FangSong" w:eastAsia="FangSong" w:cs="FangSong"/>
          <w:sz w:val="30"/>
          <w:szCs w:val="30"/>
          <w:spacing w:val="-8"/>
        </w:rPr>
        <w:t>信（601728）甚至上演了翻倍行情。笔者</w:t>
      </w:r>
      <w:r>
        <w:rPr>
          <w:rFonts w:ascii="FangSong" w:hAnsi="FangSong" w:eastAsia="FangSong" w:cs="FangSong"/>
          <w:sz w:val="30"/>
          <w:szCs w:val="30"/>
          <w:spacing w:val="-9"/>
        </w:rPr>
        <w:t>认为，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股价上涨的根本</w:t>
      </w:r>
      <w:r>
        <w:rPr>
          <w:rFonts w:ascii="FangSong" w:hAnsi="FangSong" w:eastAsia="FangSong" w:cs="FangSong"/>
          <w:sz w:val="30"/>
          <w:szCs w:val="30"/>
          <w:spacing w:val="-3"/>
        </w:rPr>
        <w:t>原因是资本市场对运营商的估值方法发生了变化。</w:t>
      </w:r>
    </w:p>
    <w:p>
      <w:pPr>
        <w:ind w:left="40" w:right="259" w:firstLine="632"/>
        <w:spacing w:before="279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6"/>
        </w:rPr>
        <w:t>中国电信要把握资本市场的脉搏，提升市值经营水平，首先</w:t>
      </w:r>
      <w:r>
        <w:rPr>
          <w:rFonts w:ascii="FangSong" w:hAnsi="FangSong" w:eastAsia="FangSong" w:cs="FangSong"/>
          <w:sz w:val="30"/>
          <w:szCs w:val="30"/>
          <w:spacing w:val="-3"/>
        </w:rPr>
        <w:t>要掌握估值方法的变化：从传统的</w:t>
      </w:r>
      <w:r>
        <w:rPr>
          <w:rFonts w:ascii="FangSong" w:hAnsi="FangSong" w:eastAsia="FangSong" w:cs="FangSong"/>
          <w:sz w:val="30"/>
          <w:szCs w:val="30"/>
          <w:spacing w:val="-3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PE、PB</w:t>
      </w:r>
      <w:r>
        <w:rPr>
          <w:rFonts w:ascii="FangSong" w:hAnsi="FangSong" w:eastAsia="FangSong" w:cs="FangSong"/>
          <w:sz w:val="30"/>
          <w:szCs w:val="30"/>
          <w:spacing w:val="-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法，转变为分部估值</w:t>
      </w:r>
      <w:r>
        <w:rPr>
          <w:rFonts w:ascii="FangSong" w:hAnsi="FangSong" w:eastAsia="FangSong" w:cs="FangSong"/>
          <w:sz w:val="30"/>
          <w:szCs w:val="30"/>
          <w:spacing w:val="-4"/>
        </w:rPr>
        <w:t>法（SOTP）——对不同业务采取不同估值方法，即“老业</w:t>
      </w:r>
      <w:r>
        <w:rPr>
          <w:rFonts w:ascii="FangSong" w:hAnsi="FangSong" w:eastAsia="FangSong" w:cs="FangSong"/>
          <w:sz w:val="30"/>
          <w:szCs w:val="30"/>
          <w:spacing w:val="-5"/>
        </w:rPr>
        <w:t>务老方</w:t>
      </w:r>
      <w:r>
        <w:rPr>
          <w:rFonts w:ascii="FangSong" w:hAnsi="FangSong" w:eastAsia="FangSong" w:cs="FangSong"/>
          <w:sz w:val="30"/>
          <w:szCs w:val="30"/>
          <w:spacing w:val="-3"/>
        </w:rPr>
        <w:t>法，新业务新方法”。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一、什么是估值方法？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5" w:right="258" w:firstLine="601"/>
        <w:spacing w:before="97" w:line="259" w:lineRule="auto"/>
        <w:jc w:val="both"/>
        <w:rPr/>
      </w:pPr>
      <w:r>
        <w:rPr>
          <w:spacing w:val="-4"/>
        </w:rPr>
        <w:t>估值是指评估企业的内在价值，其基本逻辑是：企</w:t>
      </w:r>
      <w:r>
        <w:rPr>
          <w:spacing w:val="-5"/>
        </w:rPr>
        <w:t>业的资产</w:t>
      </w:r>
      <w:r>
        <w:rPr>
          <w:spacing w:val="-4"/>
        </w:rPr>
        <w:t>及其获利能力决定了内在价值，内在价值决定了企业能否在资本</w:t>
      </w:r>
      <w:r>
        <w:rPr>
          <w:spacing w:val="-3"/>
        </w:rPr>
        <w:t>市场上市交易、投融资以及股价高低等。</w:t>
      </w:r>
    </w:p>
    <w:p>
      <w:pPr>
        <w:pStyle w:val="BodyText"/>
        <w:ind w:left="626"/>
        <w:spacing w:before="274" w:line="218" w:lineRule="auto"/>
        <w:rPr/>
      </w:pPr>
      <w:r>
        <w:rPr>
          <w:spacing w:val="-3"/>
        </w:rPr>
        <w:t>估值方法主要分为绝对估值法与相对估值法两类。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6" w:firstLine="602"/>
        <w:spacing w:before="97" w:line="261" w:lineRule="auto"/>
        <w:rPr/>
      </w:pPr>
      <w:r>
        <w:rPr>
          <w:spacing w:val="-6"/>
        </w:rPr>
        <w:t>绝对估值法主要采用折现方法估算企业价值，如现金流折现、</w:t>
      </w:r>
      <w:r>
        <w:rPr/>
        <w:t>股利折现等。这是传统的、成熟的估值方法，适用于业务成熟、</w:t>
      </w:r>
      <w:r>
        <w:rPr>
          <w:spacing w:val="-5"/>
        </w:rPr>
        <w:t>营收利润稳定的企业。</w:t>
      </w:r>
    </w:p>
    <w:p>
      <w:pPr>
        <w:pStyle w:val="BodyText"/>
        <w:ind w:left="19" w:right="151" w:firstLine="606"/>
        <w:spacing w:before="273" w:line="259" w:lineRule="auto"/>
        <w:rPr/>
      </w:pPr>
      <w:r>
        <w:rPr>
          <w:spacing w:val="-11"/>
        </w:rPr>
        <w:t>相对估值法是一种乘数法，也称可比公司分析法，简</w:t>
      </w:r>
      <w:r>
        <w:rPr>
          <w:spacing w:val="-12"/>
        </w:rPr>
        <w:t>单易行。</w:t>
      </w:r>
      <w:r>
        <w:rPr>
          <w:spacing w:val="-4"/>
        </w:rPr>
        <w:t>由于资本市场对同类企业有大致相等的估值水平，因而可以通过</w:t>
      </w:r>
      <w:r>
        <w:rPr>
          <w:spacing w:val="-4"/>
        </w:rPr>
        <w:t>可比公司价值来估值——通常根据利润、净资产、营业收入、现</w:t>
      </w:r>
      <w:r>
        <w:rPr>
          <w:spacing w:val="-9"/>
        </w:rPr>
        <w:t>金流、用户数、业务量等指标与市值的比率进行估值， 常用来估</w:t>
      </w:r>
      <w:r>
        <w:rPr>
          <w:spacing w:val="-19"/>
        </w:rPr>
        <w:t>值的比率指标有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9"/>
        </w:rPr>
        <w:t>PE</w:t>
      </w:r>
      <w:r>
        <w:rPr>
          <w:spacing w:val="-19"/>
        </w:rPr>
        <w:t>、</w:t>
      </w:r>
      <w:r>
        <w:rPr>
          <w:rFonts w:ascii="Times New Roman" w:hAnsi="Times New Roman" w:eastAsia="Times New Roman" w:cs="Times New Roman"/>
          <w:spacing w:val="-19"/>
        </w:rPr>
        <w:t>PB</w:t>
      </w:r>
      <w:r>
        <w:rPr>
          <w:spacing w:val="-19"/>
        </w:rPr>
        <w:t>、</w:t>
      </w:r>
      <w:r>
        <w:rPr>
          <w:rFonts w:ascii="Times New Roman" w:hAnsi="Times New Roman" w:eastAsia="Times New Roman" w:cs="Times New Roman"/>
          <w:spacing w:val="-19"/>
        </w:rPr>
        <w:t>PS</w:t>
      </w:r>
      <w:r>
        <w:rPr>
          <w:spacing w:val="-19"/>
        </w:rPr>
        <w:t>、</w:t>
      </w:r>
      <w:r>
        <w:rPr>
          <w:rFonts w:ascii="Times New Roman" w:hAnsi="Times New Roman" w:eastAsia="Times New Roman" w:cs="Times New Roman"/>
          <w:spacing w:val="-19"/>
        </w:rPr>
        <w:t>EV/EBITDA</w:t>
      </w:r>
      <w:r>
        <w:rPr>
          <w:spacing w:val="-19"/>
        </w:rPr>
        <w:t>、</w:t>
      </w:r>
      <w:r>
        <w:rPr>
          <w:rFonts w:ascii="Times New Roman" w:hAnsi="Times New Roman" w:eastAsia="Times New Roman" w:cs="Times New Roman"/>
          <w:spacing w:val="-19"/>
        </w:rPr>
        <w:t>PEG</w:t>
      </w:r>
      <w:r>
        <w:rPr>
          <w:spacing w:val="-19"/>
        </w:rPr>
        <w:t>、</w:t>
      </w:r>
      <w:r>
        <w:rPr>
          <w:rFonts w:ascii="Times New Roman" w:hAnsi="Times New Roman" w:eastAsia="Times New Roman" w:cs="Times New Roman"/>
          <w:spacing w:val="-19"/>
        </w:rPr>
        <w:t>EV/S</w:t>
      </w:r>
      <w:r>
        <w:rPr>
          <w:spacing w:val="-19"/>
        </w:rPr>
        <w:t>、</w:t>
      </w:r>
      <w:r>
        <w:rPr>
          <w:rFonts w:ascii="Times New Roman" w:hAnsi="Times New Roman" w:eastAsia="Times New Roman" w:cs="Times New Roman"/>
          <w:spacing w:val="-19"/>
        </w:rPr>
        <w:t>P/MAU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19"/>
        </w:rPr>
        <w:t>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P/GMV </w:t>
      </w:r>
      <w:r>
        <w:rPr>
          <w:spacing w:val="-3"/>
        </w:rPr>
        <w:t>等。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12"/>
        </w:rPr>
        <w:t>二、多元化科技企业的估值方法：分部估值法（</w:t>
      </w:r>
      <w:r>
        <w:rPr>
          <w:rFonts w:ascii="SimHei" w:hAnsi="SimHei" w:eastAsia="SimHei" w:cs="SimHei"/>
          <w:sz w:val="31"/>
          <w:szCs w:val="31"/>
          <w:b/>
          <w:bCs/>
        </w:rPr>
        <w:t>SOTP</w:t>
      </w:r>
      <w:r>
        <w:rPr>
          <w:rFonts w:ascii="SimHei" w:hAnsi="SimHei" w:eastAsia="SimHei" w:cs="SimHei"/>
          <w:sz w:val="31"/>
          <w:szCs w:val="31"/>
          <w:b/>
          <w:bCs/>
          <w:spacing w:val="12"/>
        </w:rPr>
        <w:t>）</w:t>
      </w:r>
    </w:p>
    <w:p>
      <w:pPr>
        <w:spacing w:line="224" w:lineRule="auto"/>
        <w:sectPr>
          <w:pgSz w:w="11907" w:h="16839"/>
          <w:pgMar w:top="1431" w:right="1541" w:bottom="0" w:left="1785" w:header="0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pStyle w:val="BodyText"/>
        <w:ind w:left="25" w:right="233" w:firstLine="604"/>
        <w:spacing w:before="88" w:line="259" w:lineRule="auto"/>
        <w:jc w:val="both"/>
        <w:rPr/>
      </w:pPr>
      <w:r>
        <w:rPr>
          <w:spacing w:val="-5"/>
        </w:rPr>
        <w:t>大型科技公司通常是多元化经营，开展业务创新，因而会出</w:t>
      </w:r>
      <w:r>
        <w:rPr>
          <w:spacing w:val="-4"/>
        </w:rPr>
        <w:t>现多个业务处于不同发展阶段的情况，有的业务处于饱和期甚至</w:t>
      </w:r>
      <w:r>
        <w:rPr>
          <w:spacing w:val="-9"/>
        </w:rPr>
        <w:t>衰退期，有的业务处于初创期、成长期， 各种业务模式的经营特</w:t>
      </w:r>
      <w:r>
        <w:rPr>
          <w:spacing w:val="-8"/>
        </w:rPr>
        <w:t>点也不尽相同。对于多元化经营的科技企业，</w:t>
      </w:r>
      <w:r>
        <w:rPr>
          <w:spacing w:val="-32"/>
        </w:rPr>
        <w:t xml:space="preserve"> </w:t>
      </w:r>
      <w:r>
        <w:rPr>
          <w:spacing w:val="-8"/>
        </w:rPr>
        <w:t>具有多个业务且各</w:t>
      </w:r>
      <w:r>
        <w:rPr>
          <w:spacing w:val="-4"/>
        </w:rPr>
        <w:t>业务的发展阶段、盈利水平不同，资本市场通常不是采用单一估</w:t>
      </w:r>
      <w:r>
        <w:rPr>
          <w:spacing w:val="-4"/>
        </w:rPr>
        <w:t>值方法，而是采用分部估值法，分业务板块采用多种方法进行估</w:t>
      </w:r>
      <w:r>
        <w:rPr>
          <w:spacing w:val="-4"/>
        </w:rPr>
        <w:t>值：老业务老方法，新业务新方法。</w:t>
      </w:r>
    </w:p>
    <w:p>
      <w:pPr>
        <w:pStyle w:val="BodyText"/>
        <w:ind w:left="27" w:right="232" w:firstLine="602"/>
        <w:spacing w:before="271" w:line="259" w:lineRule="auto"/>
        <w:jc w:val="both"/>
        <w:rPr/>
      </w:pPr>
      <w:r>
        <w:rPr>
          <w:spacing w:val="-4"/>
        </w:rPr>
        <w:t>分部估值法（</w:t>
      </w:r>
      <w:r>
        <w:rPr>
          <w:rFonts w:ascii="Times New Roman" w:hAnsi="Times New Roman" w:eastAsia="Times New Roman" w:cs="Times New Roman"/>
          <w:spacing w:val="-4"/>
        </w:rPr>
        <w:t>SOTP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-4"/>
        </w:rPr>
        <w:t>，</w:t>
      </w:r>
      <w:r>
        <w:rPr>
          <w:rFonts w:ascii="Times New Roman" w:hAnsi="Times New Roman" w:eastAsia="Times New Roman" w:cs="Times New Roman"/>
          <w:spacing w:val="-4"/>
        </w:rPr>
        <w:t>Sum of</w:t>
      </w:r>
      <w:r>
        <w:rPr>
          <w:rFonts w:ascii="Times New Roman" w:hAnsi="Times New Roman" w:eastAsia="Times New Roman" w:cs="Times New Roman"/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the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Part</w:t>
      </w:r>
      <w:r>
        <w:rPr>
          <w:spacing w:val="-79"/>
        </w:rPr>
        <w:t>），</w:t>
      </w:r>
      <w:r>
        <w:rPr>
          <w:spacing w:val="-4"/>
        </w:rPr>
        <w:t>又称分段估</w:t>
      </w:r>
      <w:r>
        <w:rPr>
          <w:spacing w:val="-5"/>
        </w:rPr>
        <w:t>值法、分</w:t>
      </w:r>
      <w:r>
        <w:rPr>
          <w:spacing w:val="-4"/>
        </w:rPr>
        <w:t>部加总估值法，就是对企业的不同业务板块分别估值，最后加总</w:t>
      </w:r>
      <w:r>
        <w:rPr>
          <w:spacing w:val="-4"/>
        </w:rPr>
        <w:t>得到企业整体估值。例如，资本市场对阿里巴巴、亚马逊都是采</w:t>
      </w:r>
      <w:r>
        <w:rPr>
          <w:spacing w:val="-7"/>
        </w:rPr>
        <w:t>用分部估值法。</w:t>
      </w:r>
    </w:p>
    <w:p>
      <w:pPr>
        <w:pStyle w:val="BodyText"/>
        <w:ind w:left="19" w:right="232" w:firstLine="601"/>
        <w:spacing w:before="274" w:line="261" w:lineRule="auto"/>
        <w:jc w:val="both"/>
        <w:rPr/>
      </w:pPr>
      <w:r>
        <w:rPr>
          <w:rFonts w:ascii="Times New Roman" w:hAnsi="Times New Roman" w:eastAsia="Times New Roman" w:cs="Times New Roman"/>
          <w:spacing w:val="-2"/>
        </w:rPr>
        <w:t>2019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2"/>
        </w:rPr>
        <w:t>年，阿里巴巴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IPO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spacing w:val="-2"/>
        </w:rPr>
        <w:t>时，资本市场对其传统业务、新业</w:t>
      </w:r>
      <w:r>
        <w:rPr>
          <w:spacing w:val="-4"/>
        </w:rPr>
        <w:t>务采用不同的估值方法——对核心业务、阿里云业务、战略投资</w:t>
      </w:r>
      <w:r>
        <w:rPr>
          <w:spacing w:val="-9"/>
        </w:rPr>
        <w:t>分别估值并加总，得到公司整体估值。核心业务比较稳定， 采用</w:t>
      </w:r>
      <w:r>
        <w:rPr>
          <w:rFonts w:ascii="Times New Roman" w:hAnsi="Times New Roman" w:eastAsia="Times New Roman" w:cs="Times New Roman"/>
          <w:spacing w:val="-2"/>
        </w:rPr>
        <w:t>DCF </w:t>
      </w:r>
      <w:r>
        <w:rPr>
          <w:spacing w:val="-2"/>
        </w:rPr>
        <w:t>估值；阿里云尚处于投入阶段，采用</w:t>
      </w:r>
      <w:r>
        <w:rPr>
          <w:rFonts w:ascii="Times New Roman" w:hAnsi="Times New Roman" w:eastAsia="Times New Roman" w:cs="Times New Roman"/>
          <w:spacing w:val="-2"/>
        </w:rPr>
        <w:t>2025 </w:t>
      </w:r>
      <w:r>
        <w:rPr>
          <w:spacing w:val="-2"/>
        </w:rPr>
        <w:t>年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4.4 </w:t>
      </w:r>
      <w:r>
        <w:rPr>
          <w:spacing w:val="-2"/>
        </w:rPr>
        <w:t>倍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EV/S </w:t>
      </w:r>
      <w:r>
        <w:rPr>
          <w:spacing w:val="-2"/>
        </w:rPr>
        <w:t>进</w:t>
      </w:r>
      <w:r>
        <w:rPr>
          <w:spacing w:val="-2"/>
        </w:rPr>
        <w:t>行估值，并折现到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2019 </w:t>
      </w:r>
      <w:r>
        <w:rPr>
          <w:spacing w:val="-2"/>
        </w:rPr>
        <w:t>年；战略投资按市场价值估算。</w:t>
      </w:r>
    </w:p>
    <w:p>
      <w:pPr>
        <w:pStyle w:val="BodyText"/>
        <w:ind w:left="26" w:firstLine="602"/>
        <w:spacing w:before="262" w:line="258" w:lineRule="auto"/>
        <w:jc w:val="both"/>
        <w:rPr/>
      </w:pPr>
      <w:r>
        <w:rPr>
          <w:spacing w:val="-3"/>
        </w:rPr>
        <w:t>亚马逊成立于 </w:t>
      </w:r>
      <w:r>
        <w:rPr>
          <w:rFonts w:ascii="Times New Roman" w:hAnsi="Times New Roman" w:eastAsia="Times New Roman" w:cs="Times New Roman"/>
          <w:spacing w:val="-3"/>
        </w:rPr>
        <w:t>1995</w:t>
      </w:r>
      <w:r>
        <w:rPr>
          <w:rFonts w:ascii="Times New Roman" w:hAnsi="Times New Roman" w:eastAsia="Times New Roman" w:cs="Times New Roman"/>
          <w:spacing w:val="48"/>
          <w:w w:val="101"/>
        </w:rPr>
        <w:t xml:space="preserve"> </w:t>
      </w:r>
      <w:r>
        <w:rPr>
          <w:spacing w:val="-3"/>
        </w:rPr>
        <w:t>年，目前是全球商品品种最多的网上零</w:t>
      </w:r>
      <w:r>
        <w:rPr>
          <w:spacing w:val="-6"/>
        </w:rPr>
        <w:t>售商和全球第二大互联网企业。亚马逊的发展历程分为三个阶段，</w:t>
      </w:r>
      <w:r>
        <w:rPr>
          <w:spacing w:val="-2"/>
        </w:rPr>
        <w:t>各阶段的估值方法不同。</w:t>
      </w:r>
    </w:p>
    <w:p>
      <w:pPr>
        <w:pStyle w:val="BodyText"/>
        <w:ind w:left="20" w:right="231" w:firstLine="599"/>
        <w:spacing w:before="284" w:line="259" w:lineRule="auto"/>
        <w:jc w:val="both"/>
        <w:rPr/>
      </w:pPr>
      <w:r>
        <w:rPr>
          <w:rFonts w:ascii="Times New Roman" w:hAnsi="Times New Roman" w:eastAsia="Times New Roman" w:cs="Times New Roman"/>
          <w:spacing w:val="-6"/>
        </w:rPr>
        <w:t>2001 </w:t>
      </w:r>
      <w:r>
        <w:rPr>
          <w:spacing w:val="-6"/>
        </w:rPr>
        <w:t>年前，亚马逊专注于电商业务，处于注重规模扩张的成</w:t>
      </w:r>
      <w:r>
        <w:rPr>
          <w:spacing w:val="-3"/>
        </w:rPr>
        <w:t>长初期，营业收入快速增长，从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1995 </w:t>
      </w:r>
      <w:r>
        <w:rPr>
          <w:spacing w:val="-3"/>
        </w:rPr>
        <w:t>年的</w:t>
      </w:r>
      <w:r>
        <w:rPr>
          <w:rFonts w:ascii="Times New Roman" w:hAnsi="Times New Roman" w:eastAsia="Times New Roman" w:cs="Times New Roman"/>
          <w:spacing w:val="-3"/>
        </w:rPr>
        <w:t>50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3"/>
        </w:rPr>
        <w:t>万美元迅速扩大到</w:t>
      </w:r>
      <w:r>
        <w:rPr>
          <w:rFonts w:ascii="Times New Roman" w:hAnsi="Times New Roman" w:eastAsia="Times New Roman" w:cs="Times New Roman"/>
          <w:spacing w:val="-2"/>
        </w:rPr>
        <w:t>2001</w:t>
      </w:r>
      <w:r>
        <w:rPr>
          <w:rFonts w:ascii="Times New Roman" w:hAnsi="Times New Roman" w:eastAsia="Times New Roman" w:cs="Times New Roman"/>
          <w:spacing w:val="45"/>
          <w:w w:val="101"/>
        </w:rPr>
        <w:t xml:space="preserve"> </w:t>
      </w:r>
      <w:r>
        <w:rPr>
          <w:spacing w:val="-2"/>
        </w:rPr>
        <w:t>年的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31.2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2"/>
        </w:rPr>
        <w:t>亿美元，而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EBITDA</w:t>
      </w:r>
      <w:r>
        <w:rPr>
          <w:spacing w:val="-2"/>
        </w:rPr>
        <w:t>、净利润持续为负值。该阶</w:t>
      </w:r>
      <w:r>
        <w:rPr>
          <w:spacing w:val="-5"/>
        </w:rPr>
        <w:t>段的主流估值方法是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PS</w:t>
      </w:r>
      <w:r>
        <w:rPr>
          <w:spacing w:val="-5"/>
        </w:rPr>
        <w:t>。互联网泡沫前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PS </w:t>
      </w:r>
      <w:r>
        <w:rPr>
          <w:spacing w:val="-5"/>
        </w:rPr>
        <w:t>在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10~30 </w:t>
      </w:r>
      <w:r>
        <w:rPr>
          <w:spacing w:val="-5"/>
        </w:rPr>
        <w:t>倍，互联网</w:t>
      </w:r>
      <w:r>
        <w:rPr>
          <w:spacing w:val="-5"/>
        </w:rPr>
        <w:t>泡沫破灭后，逐渐回落至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 </w:t>
      </w:r>
      <w:r>
        <w:rPr>
          <w:spacing w:val="-5"/>
        </w:rPr>
        <w:t>倍左右。</w:t>
      </w:r>
    </w:p>
    <w:p>
      <w:pPr>
        <w:pStyle w:val="BodyText"/>
        <w:ind w:left="16" w:right="231" w:firstLine="603"/>
        <w:spacing w:before="272" w:line="261" w:lineRule="auto"/>
        <w:jc w:val="both"/>
        <w:rPr/>
      </w:pPr>
      <w:r>
        <w:rPr>
          <w:rFonts w:ascii="Times New Roman" w:hAnsi="Times New Roman" w:eastAsia="Times New Roman" w:cs="Times New Roman"/>
        </w:rPr>
        <w:t>2002 </w:t>
      </w:r>
      <w:r>
        <w:rPr/>
        <w:t>年至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</w:rPr>
        <w:t>2014 </w:t>
      </w:r>
      <w:r>
        <w:rPr/>
        <w:t>年，电商业务实现盈利，</w:t>
      </w:r>
      <w:r>
        <w:rPr>
          <w:rFonts w:ascii="Times New Roman" w:hAnsi="Times New Roman" w:eastAsia="Times New Roman" w:cs="Times New Roman"/>
        </w:rPr>
        <w:t>EBITD</w:t>
      </w:r>
      <w:r>
        <w:rPr>
          <w:rFonts w:ascii="Times New Roman" w:hAnsi="Times New Roman" w:eastAsia="Times New Roman" w:cs="Times New Roman"/>
          <w:spacing w:val="-1"/>
        </w:rPr>
        <w:t>A </w:t>
      </w:r>
      <w:r>
        <w:rPr>
          <w:spacing w:val="-1"/>
        </w:rPr>
        <w:t>利润率开</w:t>
      </w:r>
      <w:r>
        <w:rPr>
          <w:spacing w:val="3"/>
        </w:rPr>
        <w:t>始上升，并稳定在 </w:t>
      </w:r>
      <w:r>
        <w:rPr>
          <w:rFonts w:ascii="Times New Roman" w:hAnsi="Times New Roman" w:eastAsia="Times New Roman" w:cs="Times New Roman"/>
          <w:spacing w:val="3"/>
        </w:rPr>
        <w:t>5~6%</w:t>
      </w:r>
      <w:r>
        <w:rPr>
          <w:spacing w:val="3"/>
        </w:rPr>
        <w:t>左右。</w:t>
      </w:r>
      <w:r>
        <w:rPr>
          <w:rFonts w:ascii="Times New Roman" w:hAnsi="Times New Roman" w:eastAsia="Times New Roman" w:cs="Times New Roman"/>
          <w:spacing w:val="3"/>
        </w:rPr>
        <w:t>2006  </w:t>
      </w:r>
      <w:r>
        <w:rPr>
          <w:spacing w:val="3"/>
        </w:rPr>
        <w:t>年亚马</w:t>
      </w:r>
      <w:r>
        <w:rPr>
          <w:spacing w:val="2"/>
        </w:rPr>
        <w:t>逊推出云计算业务</w:t>
      </w:r>
      <w:r>
        <w:rPr>
          <w:rFonts w:ascii="Times New Roman" w:hAnsi="Times New Roman" w:eastAsia="Times New Roman" w:cs="Times New Roman"/>
        </w:rPr>
        <w:t>AWS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21"/>
        </w:rPr>
        <w:t>，建设了许多数据中心，</w:t>
      </w:r>
      <w:r>
        <w:rPr>
          <w:spacing w:val="-60"/>
        </w:rPr>
        <w:t xml:space="preserve"> </w:t>
      </w:r>
      <w:r>
        <w:rPr>
          <w:spacing w:val="21"/>
        </w:rPr>
        <w:t>这导致折旧摊销快速上升，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8"/>
        </w:rPr>
        <w:t>EV/EBITDA </w:t>
      </w:r>
      <w:r>
        <w:rPr>
          <w:spacing w:val="-8"/>
        </w:rPr>
        <w:t>与</w:t>
      </w:r>
      <w:r>
        <w:rPr>
          <w:spacing w:val="-77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PS </w:t>
      </w:r>
      <w:r>
        <w:rPr>
          <w:spacing w:val="-8"/>
        </w:rPr>
        <w:t>成为主要估值方法。这</w:t>
      </w:r>
      <w:r>
        <w:rPr>
          <w:spacing w:val="-9"/>
        </w:rPr>
        <w:t>一时期</w:t>
      </w:r>
      <w:r>
        <w:rPr>
          <w:spacing w:val="-78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PS</w:t>
      </w:r>
      <w:r>
        <w:rPr>
          <w:spacing w:val="-9"/>
        </w:rPr>
        <w:t>、</w:t>
      </w:r>
      <w:r>
        <w:rPr>
          <w:rFonts w:ascii="Times New Roman" w:hAnsi="Times New Roman" w:eastAsia="Times New Roman" w:cs="Times New Roman"/>
          <w:spacing w:val="-9"/>
        </w:rPr>
        <w:t>EV/EBITDA</w:t>
      </w:r>
      <w:r>
        <w:rPr>
          <w:spacing w:val="-5"/>
        </w:rPr>
        <w:t>的波动基本一致，前者在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1~3 </w:t>
      </w:r>
      <w:r>
        <w:rPr>
          <w:spacing w:val="-5"/>
        </w:rPr>
        <w:t>倍区间波动，后者在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20~60 </w:t>
      </w:r>
      <w:r>
        <w:rPr>
          <w:spacing w:val="-5"/>
        </w:rPr>
        <w:t>倍区间</w:t>
      </w:r>
    </w:p>
    <w:p>
      <w:pPr>
        <w:spacing w:line="261" w:lineRule="auto"/>
        <w:sectPr>
          <w:pgSz w:w="11907" w:h="16839"/>
          <w:pgMar w:top="1431" w:right="1566" w:bottom="0" w:left="1785" w:header="0" w:footer="0" w:gutter="0"/>
        </w:sectPr>
        <w:rPr/>
      </w:pPr>
    </w:p>
    <w:p>
      <w:pPr>
        <w:pStyle w:val="BodyText"/>
        <w:ind w:left="27"/>
        <w:spacing w:before="87" w:line="220" w:lineRule="auto"/>
        <w:rPr/>
      </w:pPr>
      <w:r>
        <w:rPr>
          <w:spacing w:val="-13"/>
        </w:rPr>
        <w:t>波动。</w:t>
      </w:r>
    </w:p>
    <w:p>
      <w:pPr>
        <w:pStyle w:val="BodyText"/>
        <w:ind w:left="27" w:firstLine="593"/>
        <w:spacing w:before="334" w:line="261" w:lineRule="auto"/>
        <w:jc w:val="both"/>
        <w:rPr/>
      </w:pPr>
      <w:r>
        <w:rPr>
          <w:rFonts w:ascii="Times New Roman" w:hAnsi="Times New Roman" w:eastAsia="Times New Roman" w:cs="Times New Roman"/>
          <w:spacing w:val="-6"/>
        </w:rPr>
        <w:t>2015 </w:t>
      </w:r>
      <w:r>
        <w:rPr>
          <w:spacing w:val="-6"/>
        </w:rPr>
        <w:t>年以来，电商业务逐渐稳定成熟，云计算业务步入</w:t>
      </w:r>
      <w:r>
        <w:rPr>
          <w:spacing w:val="-7"/>
        </w:rPr>
        <w:t>成长</w:t>
      </w:r>
      <w:r>
        <w:rPr>
          <w:spacing w:val="-3"/>
        </w:rPr>
        <w:t>中后期。随着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AWS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3"/>
        </w:rPr>
        <w:t>的迅猛发展，净利率水平显著提升，自由现</w:t>
      </w:r>
      <w:r>
        <w:rPr>
          <w:spacing w:val="-4"/>
        </w:rPr>
        <w:t>金流大幅增长，自由现金流成为反映公司创造价值能力的核心指</w:t>
      </w:r>
      <w:r>
        <w:rPr>
          <w:spacing w:val="-2"/>
        </w:rPr>
        <w:t>标，有些分析师采用</w:t>
      </w:r>
      <w:r>
        <w:rPr>
          <w:rFonts w:ascii="Times New Roman" w:hAnsi="Times New Roman" w:eastAsia="Times New Roman" w:cs="Times New Roman"/>
          <w:spacing w:val="-2"/>
        </w:rPr>
        <w:t>P/FCF </w:t>
      </w:r>
      <w:r>
        <w:rPr>
          <w:spacing w:val="-2"/>
        </w:rPr>
        <w:t>估值。随着亚马逊核心业务</w:t>
      </w:r>
      <w:r>
        <w:rPr>
          <w:spacing w:val="-3"/>
        </w:rPr>
        <w:t>都发展到</w:t>
      </w:r>
      <w:r>
        <w:rPr>
          <w:spacing w:val="-4"/>
        </w:rPr>
        <w:t>一定规模，越来越多的分析师采用分部估值法，对不同业务采用</w:t>
      </w:r>
      <w:r>
        <w:rPr>
          <w:spacing w:val="-2"/>
        </w:rPr>
        <w:t>不同估值方法。例如，高盛对发展比较成熟的北美</w:t>
      </w:r>
      <w:r>
        <w:rPr>
          <w:spacing w:val="-3"/>
        </w:rPr>
        <w:t>业务、</w:t>
      </w:r>
      <w:r>
        <w:rPr>
          <w:rFonts w:ascii="Times New Roman" w:hAnsi="Times New Roman" w:eastAsia="Times New Roman" w:cs="Times New Roman"/>
          <w:spacing w:val="-3"/>
        </w:rPr>
        <w:t>AWS</w:t>
      </w:r>
      <w:r>
        <w:rPr>
          <w:spacing w:val="-3"/>
        </w:rPr>
        <w:t>、</w:t>
      </w:r>
      <w:r>
        <w:rPr>
          <w:spacing w:val="-2"/>
        </w:rPr>
        <w:t>实体商店业务采用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EV/EBITDA </w:t>
      </w:r>
      <w:r>
        <w:rPr>
          <w:spacing w:val="-2"/>
        </w:rPr>
        <w:t>估值，而对发展初期、尚未盈利</w:t>
      </w:r>
      <w:r>
        <w:rPr>
          <w:spacing w:val="-2"/>
        </w:rPr>
        <w:t>的国际业务采用 </w:t>
      </w:r>
      <w:r>
        <w:rPr>
          <w:rFonts w:ascii="Times New Roman" w:hAnsi="Times New Roman" w:eastAsia="Times New Roman" w:cs="Times New Roman"/>
          <w:spacing w:val="-2"/>
        </w:rPr>
        <w:t>EV/S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-2"/>
        </w:rPr>
        <w:t>。</w:t>
      </w:r>
      <w:r>
        <w:rPr>
          <w:rFonts w:ascii="Times New Roman" w:hAnsi="Times New Roman" w:eastAsia="Times New Roman" w:cs="Times New Roman"/>
          <w:spacing w:val="-2"/>
        </w:rPr>
        <w:t>JP  </w:t>
      </w:r>
      <w:r>
        <w:rPr>
          <w:spacing w:val="-2"/>
        </w:rPr>
        <w:t>摩根对北美及</w:t>
      </w:r>
      <w:r>
        <w:rPr>
          <w:spacing w:val="-3"/>
        </w:rPr>
        <w:t>国际业务采用 </w:t>
      </w:r>
      <w:r>
        <w:rPr>
          <w:rFonts w:ascii="Times New Roman" w:hAnsi="Times New Roman" w:eastAsia="Times New Roman" w:cs="Times New Roman"/>
          <w:spacing w:val="-3"/>
        </w:rPr>
        <w:t>P/GMV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2"/>
        </w:rPr>
        <w:t>（市值</w:t>
      </w:r>
      <w:r>
        <w:rPr>
          <w:rFonts w:ascii="Times New Roman" w:hAnsi="Times New Roman" w:eastAsia="Times New Roman" w:cs="Times New Roman"/>
          <w:spacing w:val="-2"/>
        </w:rPr>
        <w:t>/</w:t>
      </w:r>
      <w:r>
        <w:rPr>
          <w:spacing w:val="-2"/>
        </w:rPr>
        <w:t>交易流水）估值，对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AWS </w:t>
      </w:r>
      <w:r>
        <w:rPr>
          <w:spacing w:val="-2"/>
        </w:rPr>
        <w:t>用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EV/EBIT</w:t>
      </w:r>
      <w:r>
        <w:rPr>
          <w:rFonts w:ascii="Times New Roman" w:hAnsi="Times New Roman" w:eastAsia="Times New Roman" w:cs="Times New Roman"/>
          <w:spacing w:val="-3"/>
        </w:rPr>
        <w:t>DA </w:t>
      </w:r>
      <w:r>
        <w:rPr>
          <w:spacing w:val="-3"/>
        </w:rPr>
        <w:t>进行估值。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三、选择适合“新主业”的估值方法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6" w:right="111" w:firstLine="598"/>
        <w:spacing w:before="97" w:line="261" w:lineRule="auto"/>
        <w:rPr/>
      </w:pPr>
      <w:r>
        <w:rPr>
          <w:spacing w:val="-15"/>
        </w:rPr>
        <w:t>对于多元化科技企业，估值的重点是科技创新（以下简</w:t>
      </w:r>
      <w:r>
        <w:rPr>
          <w:spacing w:val="-16"/>
        </w:rPr>
        <w:t>称“科</w:t>
      </w:r>
      <w:r>
        <w:rPr>
          <w:spacing w:val="-27"/>
        </w:rPr>
        <w:t>创”）业务。</w:t>
      </w:r>
    </w:p>
    <w:p>
      <w:pPr>
        <w:pStyle w:val="BodyText"/>
        <w:ind w:left="26" w:right="26" w:firstLine="612"/>
        <w:spacing w:before="272" w:line="259" w:lineRule="auto"/>
        <w:jc w:val="both"/>
        <w:rPr/>
      </w:pPr>
      <w:r>
        <w:rPr>
          <w:spacing w:val="-5"/>
        </w:rPr>
        <w:t>资本市场对科创企业的估值，通常采取相对估值法，即比较</w:t>
      </w:r>
      <w:r>
        <w:rPr>
          <w:spacing w:val="-3"/>
        </w:rPr>
        <w:t>可比公司的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PE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PS </w:t>
      </w:r>
      <w:r>
        <w:rPr>
          <w:spacing w:val="-3"/>
        </w:rPr>
        <w:t>等指标，以差距（波动）小的指标作为主要</w:t>
      </w:r>
      <w:r>
        <w:rPr>
          <w:spacing w:val="-4"/>
        </w:rPr>
        <w:t>估值方法。也就是说，如果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4"/>
        </w:rPr>
        <w:t>股同类公司的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PE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4"/>
        </w:rPr>
        <w:t>波动相</w:t>
      </w:r>
      <w:r>
        <w:rPr>
          <w:spacing w:val="-5"/>
        </w:rPr>
        <w:t>对较大，</w:t>
      </w:r>
      <w:r>
        <w:rPr>
          <w:spacing w:val="-9"/>
        </w:rPr>
        <w:t>而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PS </w:t>
      </w:r>
      <w:r>
        <w:rPr>
          <w:spacing w:val="-9"/>
        </w:rPr>
        <w:t>波动区间相对较小，则以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PS </w:t>
      </w:r>
      <w:r>
        <w:rPr>
          <w:spacing w:val="-9"/>
        </w:rPr>
        <w:t>为主进行估</w:t>
      </w:r>
      <w:r>
        <w:rPr>
          <w:spacing w:val="-10"/>
        </w:rPr>
        <w:t>值。同时，</w:t>
      </w:r>
      <w:r>
        <w:rPr>
          <w:spacing w:val="-43"/>
        </w:rPr>
        <w:t xml:space="preserve"> </w:t>
      </w:r>
      <w:r>
        <w:rPr>
          <w:spacing w:val="-10"/>
        </w:rPr>
        <w:t>结合研</w:t>
      </w:r>
      <w:r>
        <w:rPr>
          <w:spacing w:val="-3"/>
        </w:rPr>
        <w:t>发能力、市场情绪波动等因素，对估值予以调整。</w:t>
      </w:r>
    </w:p>
    <w:p>
      <w:pPr>
        <w:pStyle w:val="BodyText"/>
        <w:ind w:left="23" w:right="111" w:firstLine="638"/>
        <w:spacing w:before="273" w:line="260" w:lineRule="auto"/>
        <w:jc w:val="both"/>
        <w:rPr/>
      </w:pPr>
      <w:r>
        <w:rPr>
          <w:spacing w:val="-6"/>
        </w:rPr>
        <w:t>由于每种估值方法各有利弊，且适用场景不同，对科创企业</w:t>
      </w:r>
      <w:r>
        <w:rPr>
          <w:spacing w:val="-4"/>
        </w:rPr>
        <w:t>进行估值时，不能拘泥于单一估值方法，这也是海外市场的普遍</w:t>
      </w:r>
      <w:r>
        <w:rPr>
          <w:spacing w:val="-4"/>
        </w:rPr>
        <w:t>做法，特别是对于利润波动较大的成长期企业，资本市场常选用</w:t>
      </w:r>
      <w:r>
        <w:rPr>
          <w:spacing w:val="-3"/>
        </w:rPr>
        <w:t>多个指标进行估值，增加估值结果的说服力。</w:t>
      </w:r>
    </w:p>
    <w:p>
      <w:pPr>
        <w:pStyle w:val="BodyText"/>
        <w:ind w:left="28" w:right="3" w:firstLine="625"/>
        <w:spacing w:before="276" w:line="259" w:lineRule="auto"/>
        <w:jc w:val="both"/>
        <w:rPr/>
      </w:pPr>
      <w:r>
        <w:rPr>
          <w:spacing w:val="-21"/>
        </w:rPr>
        <w:t>中国电信的“新主业”（云计算、</w:t>
      </w:r>
      <w:r>
        <w:rPr>
          <w:rFonts w:ascii="Times New Roman" w:hAnsi="Times New Roman" w:eastAsia="Times New Roman" w:cs="Times New Roman"/>
          <w:spacing w:val="-21"/>
        </w:rPr>
        <w:t>AI</w:t>
      </w:r>
      <w:r>
        <w:rPr>
          <w:spacing w:val="-21"/>
        </w:rPr>
        <w:t>、安全、金融等） 普遍处</w:t>
      </w:r>
      <w:r>
        <w:rPr>
          <w:spacing w:val="-11"/>
        </w:rPr>
        <w:t>于生命周期中前期阶段，面临市场数据缺失、早期不盈利或微利、</w:t>
      </w:r>
      <w:r>
        <w:rPr>
          <w:spacing w:val="-3"/>
        </w:rPr>
        <w:t>现金流不稳定等情况，现金流贴现模型（</w:t>
      </w:r>
      <w:r>
        <w:rPr>
          <w:rFonts w:ascii="Times New Roman" w:hAnsi="Times New Roman" w:eastAsia="Times New Roman" w:cs="Times New Roman"/>
          <w:spacing w:val="-3"/>
        </w:rPr>
        <w:t>DCF</w:t>
      </w:r>
      <w:r>
        <w:rPr>
          <w:spacing w:val="-3"/>
        </w:rPr>
        <w:t>）等绝</w:t>
      </w:r>
      <w:r>
        <w:rPr>
          <w:spacing w:val="-4"/>
        </w:rPr>
        <w:t>对估值方法</w:t>
      </w:r>
      <w:r>
        <w:rPr>
          <w:spacing w:val="-8"/>
        </w:rPr>
        <w:t>以及常用的市盈率（</w:t>
      </w:r>
      <w:r>
        <w:rPr>
          <w:rFonts w:ascii="Times New Roman" w:hAnsi="Times New Roman" w:eastAsia="Times New Roman" w:cs="Times New Roman"/>
          <w:spacing w:val="-8"/>
        </w:rPr>
        <w:t>PE</w:t>
      </w:r>
      <w:r>
        <w:rPr>
          <w:spacing w:val="-8"/>
        </w:rPr>
        <w:t>）、市净率（</w:t>
      </w:r>
      <w:r>
        <w:rPr>
          <w:rFonts w:ascii="Times New Roman" w:hAnsi="Times New Roman" w:eastAsia="Times New Roman" w:cs="Times New Roman"/>
          <w:spacing w:val="-8"/>
        </w:rPr>
        <w:t>PB</w:t>
      </w:r>
      <w:r>
        <w:rPr>
          <w:spacing w:val="-8"/>
        </w:rPr>
        <w:t>）等相对估值法的适用性</w:t>
      </w:r>
      <w:r>
        <w:rPr>
          <w:spacing w:val="-4"/>
        </w:rPr>
        <w:t>不强，要采用适合科创企业的估值方法。</w:t>
      </w:r>
    </w:p>
    <w:p>
      <w:pPr>
        <w:spacing w:line="259" w:lineRule="auto"/>
        <w:sectPr>
          <w:pgSz w:w="11907" w:h="16839"/>
          <w:pgMar w:top="1431" w:right="1690" w:bottom="0" w:left="1785" w:header="0" w:footer="0" w:gutter="0"/>
        </w:sectPr>
        <w:rPr/>
      </w:pPr>
    </w:p>
    <w:p>
      <w:pPr>
        <w:ind w:left="731"/>
        <w:spacing w:before="7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四、资本市场对中国电信的估值方法：分部估值法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8" w:right="27" w:firstLine="628"/>
        <w:spacing w:before="97" w:line="260" w:lineRule="auto"/>
        <w:jc w:val="both"/>
        <w:rPr/>
      </w:pPr>
      <w:r>
        <w:rPr>
          <w:spacing w:val="-5"/>
        </w:rPr>
        <w:t>中国电信需要把握资本市场的脉搏，掌握资本市</w:t>
      </w:r>
      <w:r>
        <w:rPr>
          <w:spacing w:val="-6"/>
        </w:rPr>
        <w:t>场对自己的</w:t>
      </w:r>
      <w:r>
        <w:rPr>
          <w:spacing w:val="-11"/>
        </w:rPr>
        <w:t>估值方法，只有这样，才能让资本市场充分认识自己</w:t>
      </w:r>
      <w:r>
        <w:rPr>
          <w:spacing w:val="-12"/>
        </w:rPr>
        <w:t>的内在价值，</w:t>
      </w:r>
      <w:r>
        <w:rPr>
          <w:spacing w:val="-7"/>
        </w:rPr>
        <w:t>实现高质量发展。</w:t>
      </w:r>
    </w:p>
    <w:p>
      <w:pPr>
        <w:pStyle w:val="BodyText"/>
        <w:ind w:left="67" w:right="1" w:firstLine="595"/>
        <w:spacing w:before="276" w:line="260" w:lineRule="auto"/>
        <w:jc w:val="both"/>
        <w:rPr/>
      </w:pPr>
      <w:r>
        <w:rPr>
          <w:rFonts w:ascii="Times New Roman" w:hAnsi="Times New Roman" w:eastAsia="Times New Roman" w:cs="Times New Roman"/>
          <w:spacing w:val="-6"/>
        </w:rPr>
        <w:t>2022 </w:t>
      </w:r>
      <w:r>
        <w:rPr>
          <w:spacing w:val="-6"/>
        </w:rPr>
        <w:t>年下半年以来，伴随运营商传统业务持续改善，云</w:t>
      </w:r>
      <w:r>
        <w:rPr>
          <w:spacing w:val="-7"/>
        </w:rPr>
        <w:t>计算</w:t>
      </w:r>
      <w:r>
        <w:rPr/>
        <w:t>业务竞争力不断凸显，运营商业绩取得良好增长。在数字经济、</w:t>
      </w:r>
      <w:r>
        <w:rPr>
          <w:spacing w:val="-4"/>
        </w:rPr>
        <w:t>国央企估值重塑、</w:t>
      </w:r>
      <w:r>
        <w:rPr>
          <w:rFonts w:ascii="Times New Roman" w:hAnsi="Times New Roman" w:eastAsia="Times New Roman" w:cs="Times New Roman"/>
          <w:spacing w:val="-4"/>
        </w:rPr>
        <w:t>ChatGPT </w:t>
      </w:r>
      <w:r>
        <w:rPr>
          <w:spacing w:val="-4"/>
        </w:rPr>
        <w:t>驱动算力爆发等多种因素催化下，资</w:t>
      </w:r>
      <w:r>
        <w:rPr>
          <w:spacing w:val="-3"/>
        </w:rPr>
        <w:t>本市场逐渐转变对运营商的估值方法，从传统的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PE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PB </w:t>
      </w:r>
      <w:r>
        <w:rPr>
          <w:spacing w:val="-3"/>
        </w:rPr>
        <w:t>估值法</w:t>
      </w:r>
      <w:r>
        <w:rPr>
          <w:spacing w:val="-9"/>
        </w:rPr>
        <w:t>转变为分部估值法，这导致运营商的市值大幅提升。例如， 中国</w:t>
      </w:r>
      <w:r>
        <w:rPr>
          <w:spacing w:val="4"/>
        </w:rPr>
        <w:t>电信凭借</w:t>
      </w:r>
      <w:r>
        <w:rPr>
          <w:rFonts w:ascii="Times New Roman" w:hAnsi="Times New Roman" w:eastAsia="Times New Roman" w:cs="Times New Roman"/>
          <w:spacing w:val="4"/>
        </w:rPr>
        <w:t>“5G+</w:t>
      </w:r>
      <w:r>
        <w:rPr>
          <w:spacing w:val="4"/>
        </w:rPr>
        <w:t>云</w:t>
      </w:r>
      <w:r>
        <w:rPr>
          <w:rFonts w:ascii="Times New Roman" w:hAnsi="Times New Roman" w:eastAsia="Times New Roman" w:cs="Times New Roman"/>
          <w:spacing w:val="4"/>
        </w:rPr>
        <w:t>+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4"/>
        </w:rPr>
        <w:t>”</w:t>
      </w:r>
      <w:r>
        <w:rPr>
          <w:spacing w:val="4"/>
        </w:rPr>
        <w:t>的综合竞争优势，有</w:t>
      </w:r>
      <w:r>
        <w:rPr>
          <w:spacing w:val="3"/>
        </w:rPr>
        <w:t>望实现业务的广泛拓</w:t>
      </w:r>
      <w:r>
        <w:rPr>
          <w:spacing w:val="-5"/>
        </w:rPr>
        <w:t>展与高速增长，</w:t>
      </w:r>
      <w:r>
        <w:rPr>
          <w:rFonts w:ascii="Times New Roman" w:hAnsi="Times New Roman" w:eastAsia="Times New Roman" w:cs="Times New Roman"/>
          <w:spacing w:val="-5"/>
        </w:rPr>
        <w:t>2022 </w:t>
      </w:r>
      <w:r>
        <w:rPr>
          <w:spacing w:val="-5"/>
        </w:rPr>
        <w:t>年下半年以来，中国电信</w:t>
      </w:r>
      <w:r>
        <w:rPr>
          <w:spacing w:val="-6"/>
        </w:rPr>
        <w:t>（</w:t>
      </w:r>
      <w:r>
        <w:rPr>
          <w:rFonts w:ascii="Times New Roman" w:hAnsi="Times New Roman" w:eastAsia="Times New Roman" w:cs="Times New Roman"/>
          <w:spacing w:val="-6"/>
        </w:rPr>
        <w:t>601728</w:t>
      </w:r>
      <w:r>
        <w:rPr>
          <w:spacing w:val="-6"/>
        </w:rPr>
        <w:t>）的股价</w:t>
      </w:r>
      <w:r>
        <w:rPr>
          <w:spacing w:val="-4"/>
        </w:rPr>
        <w:t>上涨最高超过了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100%</w:t>
      </w:r>
      <w:r>
        <w:rPr>
          <w:spacing w:val="-4"/>
        </w:rPr>
        <w:t>。</w:t>
      </w:r>
    </w:p>
    <w:p>
      <w:pPr>
        <w:pStyle w:val="BodyText"/>
        <w:ind w:left="67" w:right="108" w:firstLine="604"/>
        <w:spacing w:before="259" w:line="256" w:lineRule="auto"/>
        <w:jc w:val="both"/>
        <w:rPr/>
      </w:pPr>
      <w:r>
        <w:rPr>
          <w:spacing w:val="-10"/>
        </w:rPr>
        <w:t>为了反映运营商的这些新资产、新优势， 国内头部券商开始</w:t>
      </w:r>
      <w:r>
        <w:rPr>
          <w:spacing w:val="-3"/>
        </w:rPr>
        <w:t>对运营商采用分部估值法。</w:t>
      </w:r>
      <w:r>
        <w:rPr>
          <w:rFonts w:ascii="Times New Roman" w:hAnsi="Times New Roman" w:eastAsia="Times New Roman" w:cs="Times New Roman"/>
          <w:spacing w:val="-3"/>
        </w:rPr>
        <w:t>2023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3"/>
        </w:rPr>
        <w:t>年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-3"/>
        </w:rPr>
        <w:t>月</w:t>
      </w:r>
      <w:r>
        <w:rPr>
          <w:rFonts w:ascii="Times New Roman" w:hAnsi="Times New Roman" w:eastAsia="Times New Roman" w:cs="Times New Roman"/>
          <w:spacing w:val="-3"/>
        </w:rPr>
        <w:t>,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spacing w:val="-3"/>
        </w:rPr>
        <w:t>中金公司、中信证券的</w:t>
      </w:r>
      <w:r>
        <w:rPr>
          <w:spacing w:val="-6"/>
        </w:rPr>
        <w:t>研报对中国电信的估值如下：</w:t>
      </w:r>
    </w:p>
    <w:p>
      <w:pPr>
        <w:pStyle w:val="BodyText"/>
        <w:ind w:firstLine="667"/>
        <w:spacing w:before="289" w:line="258" w:lineRule="auto"/>
        <w:jc w:val="both"/>
        <w:rPr/>
      </w:pPr>
      <w:r>
        <w:rPr>
          <w:spacing w:val="-3"/>
        </w:rPr>
        <w:t>对中国电信采用分部估值法，给予传统业务 </w:t>
      </w:r>
      <w:r>
        <w:rPr>
          <w:rFonts w:ascii="Times New Roman" w:hAnsi="Times New Roman" w:eastAsia="Times New Roman" w:cs="Times New Roman"/>
          <w:spacing w:val="-3"/>
        </w:rPr>
        <w:t>2023</w:t>
      </w:r>
      <w:r>
        <w:rPr>
          <w:rFonts w:ascii="Times New Roman" w:hAnsi="Times New Roman" w:eastAsia="Times New Roman" w:cs="Times New Roman"/>
          <w:spacing w:val="70"/>
          <w:w w:val="101"/>
        </w:rPr>
        <w:t xml:space="preserve"> </w:t>
      </w:r>
      <w:r>
        <w:rPr>
          <w:spacing w:val="-3"/>
        </w:rPr>
        <w:t>年 </w:t>
      </w:r>
      <w:r>
        <w:rPr>
          <w:rFonts w:ascii="Times New Roman" w:hAnsi="Times New Roman" w:eastAsia="Times New Roman" w:cs="Times New Roman"/>
          <w:spacing w:val="-3"/>
        </w:rPr>
        <w:t>14</w:t>
      </w:r>
      <w:r>
        <w:rPr>
          <w:rFonts w:ascii="Times New Roman" w:hAnsi="Times New Roman" w:eastAsia="Times New Roman" w:cs="Times New Roman"/>
          <w:spacing w:val="65"/>
        </w:rPr>
        <w:t xml:space="preserve"> </w:t>
      </w:r>
      <w:r>
        <w:rPr>
          <w:spacing w:val="-3"/>
        </w:rPr>
        <w:t>倍</w:t>
      </w:r>
      <w:r>
        <w:rPr>
          <w:rFonts w:ascii="Times New Roman" w:hAnsi="Times New Roman" w:eastAsia="Times New Roman" w:cs="Times New Roman"/>
          <w:spacing w:val="-3"/>
        </w:rPr>
        <w:t>PE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3"/>
        </w:rPr>
        <w:t>。预计中国电信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2023 </w:t>
      </w:r>
      <w:r>
        <w:rPr>
          <w:spacing w:val="-3"/>
        </w:rPr>
        <w:t>年利润增速超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13%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3"/>
        </w:rPr>
        <w:t>，我们认为电信作为</w:t>
      </w:r>
      <w:r>
        <w:rPr>
          <w:spacing w:val="-7"/>
        </w:rPr>
        <w:t>优质央企，成长空间较大，因此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PEG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7"/>
        </w:rPr>
        <w:t>略高于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</w:t>
      </w:r>
      <w:r>
        <w:rPr>
          <w:spacing w:val="-7"/>
        </w:rPr>
        <w:t>。参考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AWS </w:t>
      </w:r>
      <w:r>
        <w:rPr>
          <w:rFonts w:ascii="Times New Roman" w:hAnsi="Times New Roman" w:eastAsia="Times New Roman" w:cs="Times New Roman"/>
          <w:spacing w:val="-8"/>
        </w:rPr>
        <w:t>7-8 </w:t>
      </w:r>
      <w:r>
        <w:rPr>
          <w:spacing w:val="-8"/>
        </w:rPr>
        <w:t>倍</w:t>
      </w:r>
      <w:r>
        <w:rPr>
          <w:rFonts w:ascii="Times New Roman" w:hAnsi="Times New Roman" w:eastAsia="Times New Roman" w:cs="Times New Roman"/>
        </w:rPr>
        <w:t>PS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2"/>
        </w:rPr>
        <w:t>的估值水平，考虑到天翼云和海外云计算龙头的技术和盈利</w:t>
      </w:r>
      <w:r>
        <w:rPr>
          <w:spacing w:val="-3"/>
        </w:rPr>
        <w:t>能力差距，</w:t>
      </w:r>
      <w:r>
        <w:rPr>
          <w:spacing w:val="-79"/>
        </w:rPr>
        <w:t xml:space="preserve"> </w:t>
      </w:r>
      <w:r>
        <w:rPr>
          <w:spacing w:val="-3"/>
        </w:rPr>
        <w:t>我们保守给予中国电信云计算业</w:t>
      </w:r>
      <w:r>
        <w:rPr>
          <w:spacing w:val="-4"/>
        </w:rPr>
        <w:t>务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2023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4"/>
        </w:rPr>
        <w:t>年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4"/>
        </w:rPr>
        <w:t>倍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PS</w:t>
      </w:r>
      <w:r>
        <w:rPr>
          <w:spacing w:val="-4"/>
        </w:rPr>
        <w:t>。</w:t>
      </w:r>
      <w:r>
        <w:rPr>
          <w:spacing w:val="-2"/>
        </w:rPr>
        <w:t>加总后得到总市值，对应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2023 </w:t>
      </w:r>
      <w:r>
        <w:rPr>
          <w:spacing w:val="-2"/>
        </w:rPr>
        <w:t>年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EV/EBITDA </w:t>
      </w:r>
      <w:r>
        <w:rPr>
          <w:spacing w:val="-2"/>
        </w:rPr>
        <w:t>为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4.5 </w:t>
      </w:r>
      <w:r>
        <w:rPr>
          <w:spacing w:val="-2"/>
        </w:rPr>
        <w:t>倍，比较合</w:t>
      </w:r>
      <w:r>
        <w:rPr>
          <w:spacing w:val="-3"/>
        </w:rPr>
        <w:t>理。综合考虑，给予中国电信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 </w:t>
      </w:r>
      <w:r>
        <w:rPr>
          <w:spacing w:val="-3"/>
        </w:rPr>
        <w:t>股的合理目标价为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XX </w:t>
      </w:r>
      <w:r>
        <w:rPr>
          <w:spacing w:val="-3"/>
        </w:rPr>
        <w:t>元，维持</w:t>
      </w:r>
      <w:r>
        <w:rPr>
          <w:rFonts w:ascii="Times New Roman" w:hAnsi="Times New Roman" w:eastAsia="Times New Roman" w:cs="Times New Roman"/>
          <w:spacing w:val="8"/>
        </w:rPr>
        <w:t>“</w:t>
      </w:r>
      <w:r>
        <w:rPr>
          <w:spacing w:val="8"/>
        </w:rPr>
        <w:t>买入</w:t>
      </w:r>
      <w:r>
        <w:rPr>
          <w:rFonts w:ascii="Times New Roman" w:hAnsi="Times New Roman" w:eastAsia="Times New Roman" w:cs="Times New Roman"/>
          <w:spacing w:val="8"/>
        </w:rPr>
        <w:t>”</w:t>
      </w:r>
      <w:r>
        <w:rPr>
          <w:spacing w:val="8"/>
        </w:rPr>
        <w:t>评级。</w:t>
      </w:r>
    </w:p>
    <w:p>
      <w:pPr>
        <w:pStyle w:val="BodyText"/>
        <w:ind w:left="67" w:right="23" w:firstLine="602"/>
        <w:spacing w:before="287" w:line="261" w:lineRule="auto"/>
        <w:jc w:val="both"/>
        <w:rPr/>
      </w:pPr>
      <w:r>
        <w:rPr>
          <w:spacing w:val="-4"/>
        </w:rPr>
        <w:t>作为大型科技型集团公司，中国电信的业务种</w:t>
      </w:r>
      <w:r>
        <w:rPr>
          <w:spacing w:val="-5"/>
        </w:rPr>
        <w:t>类繁多，既有</w:t>
      </w:r>
      <w:r>
        <w:rPr>
          <w:spacing w:val="-7"/>
        </w:rPr>
        <w:t>处于成熟期、成长后期的传统业务（宽带、</w:t>
      </w:r>
      <w:r>
        <w:rPr>
          <w:rFonts w:ascii="Times New Roman" w:hAnsi="Times New Roman" w:eastAsia="Times New Roman" w:cs="Times New Roman"/>
          <w:spacing w:val="-7"/>
        </w:rPr>
        <w:t>5G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IDC</w:t>
      </w:r>
      <w:r>
        <w:rPr>
          <w:spacing w:val="-75"/>
          <w:w w:val="95"/>
        </w:rPr>
        <w:t>），</w:t>
      </w:r>
      <w:r>
        <w:rPr>
          <w:spacing w:val="-8"/>
        </w:rPr>
        <w:t>又有处于</w:t>
      </w:r>
      <w:r>
        <w:rPr>
          <w:spacing w:val="-5"/>
        </w:rPr>
        <w:t>初创期、成长前期的“新主业”（云计算、</w:t>
      </w:r>
      <w:r>
        <w:rPr>
          <w:rFonts w:ascii="Times New Roman" w:hAnsi="Times New Roman" w:eastAsia="Times New Roman" w:cs="Times New Roman"/>
          <w:spacing w:val="-5"/>
        </w:rPr>
        <w:t>AI</w:t>
      </w:r>
      <w:r>
        <w:rPr>
          <w:spacing w:val="-5"/>
        </w:rPr>
        <w:t>、安全、金融等</w:t>
      </w:r>
      <w:r>
        <w:rPr>
          <w:spacing w:val="-72"/>
          <w:w w:val="91"/>
        </w:rPr>
        <w:t>），</w:t>
      </w:r>
      <w:r>
        <w:rPr>
          <w:spacing w:val="-4"/>
        </w:rPr>
        <w:t>资本市场会对不同业务采用不同估值方法，“老业务老方法，新</w:t>
      </w:r>
      <w:r>
        <w:rPr>
          <w:spacing w:val="-8"/>
        </w:rPr>
        <w:t>业务新方法”——采用包含多种估值方法的分部估值法（</w:t>
      </w:r>
      <w:r>
        <w:rPr>
          <w:rFonts w:ascii="Times New Roman" w:hAnsi="Times New Roman" w:eastAsia="Times New Roman" w:cs="Times New Roman"/>
          <w:spacing w:val="-9"/>
        </w:rPr>
        <w:t>SOTP</w:t>
      </w:r>
      <w:r>
        <w:rPr>
          <w:spacing w:val="-68"/>
          <w:w w:val="86"/>
        </w:rPr>
        <w:t>），</w:t>
      </w:r>
      <w:r>
        <w:rPr>
          <w:spacing w:val="-8"/>
        </w:rPr>
        <w:t>具体做法是：传统业务（宽带、</w:t>
      </w:r>
      <w:r>
        <w:rPr>
          <w:rFonts w:ascii="Times New Roman" w:hAnsi="Times New Roman" w:eastAsia="Times New Roman" w:cs="Times New Roman"/>
          <w:spacing w:val="-8"/>
        </w:rPr>
        <w:t>5G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IDC</w:t>
      </w:r>
      <w:r>
        <w:rPr>
          <w:spacing w:val="-8"/>
        </w:rPr>
        <w:t>）按照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PB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PE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PEG</w:t>
      </w:r>
      <w:r>
        <w:rPr>
          <w:spacing w:val="-8"/>
        </w:rPr>
        <w:t>、</w:t>
      </w:r>
    </w:p>
    <w:p>
      <w:pPr>
        <w:spacing w:line="261" w:lineRule="auto"/>
        <w:sectPr>
          <w:pgSz w:w="11907" w:h="16839"/>
          <w:pgMar w:top="1431" w:right="1690" w:bottom="0" w:left="1743" w:header="0" w:footer="0" w:gutter="0"/>
        </w:sectPr>
        <w:rPr/>
      </w:pPr>
    </w:p>
    <w:p>
      <w:pPr>
        <w:pStyle w:val="BodyText"/>
        <w:ind w:left="27" w:right="11" w:hanging="7"/>
        <w:spacing w:before="88" w:line="259" w:lineRule="auto"/>
        <w:jc w:val="both"/>
        <w:rPr/>
      </w:pPr>
      <w:r>
        <w:rPr>
          <w:rFonts w:ascii="Times New Roman" w:hAnsi="Times New Roman" w:eastAsia="Times New Roman" w:cs="Times New Roman"/>
          <w:spacing w:val="-10"/>
        </w:rPr>
        <w:t>EV/EBITDA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spacing w:val="-10"/>
        </w:rPr>
        <w:t>等估值方法，“新主业”（云计算、</w:t>
      </w:r>
      <w:r>
        <w:rPr>
          <w:rFonts w:ascii="Times New Roman" w:hAnsi="Times New Roman" w:eastAsia="Times New Roman" w:cs="Times New Roman"/>
          <w:spacing w:val="-10"/>
        </w:rPr>
        <w:t>AI</w:t>
      </w:r>
      <w:r>
        <w:rPr>
          <w:spacing w:val="-11"/>
        </w:rPr>
        <w:t>、安全、金融</w:t>
      </w:r>
      <w:r>
        <w:rPr>
          <w:spacing w:val="-2"/>
        </w:rPr>
        <w:t>等）要结合业务形态、生命周期、业绩表现等</w:t>
      </w:r>
      <w:r>
        <w:rPr>
          <w:spacing w:val="-3"/>
        </w:rPr>
        <w:t>采用 </w:t>
      </w:r>
      <w:r>
        <w:rPr>
          <w:rFonts w:ascii="Times New Roman" w:hAnsi="Times New Roman" w:eastAsia="Times New Roman" w:cs="Times New Roman"/>
          <w:spacing w:val="-3"/>
        </w:rPr>
        <w:t>PS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P/MAU</w:t>
      </w:r>
      <w:r>
        <w:rPr>
          <w:spacing w:val="-4"/>
        </w:rPr>
        <w:t>等估值方法，加总后得到总体估值，再考虑市场情绪等因素予以</w:t>
      </w:r>
      <w:r>
        <w:rPr>
          <w:spacing w:val="-5"/>
        </w:rPr>
        <w:t>调整，最终得到目标估值。</w:t>
      </w:r>
    </w:p>
    <w:p>
      <w:pPr>
        <w:pStyle w:val="BodyText"/>
        <w:ind w:left="25" w:right="13" w:firstLine="629"/>
        <w:spacing w:before="277" w:line="260" w:lineRule="auto"/>
        <w:jc w:val="both"/>
        <w:rPr/>
      </w:pPr>
      <w:r>
        <w:rPr>
          <w:spacing w:val="-16"/>
        </w:rPr>
        <w:t>中国电信要利用资本市场加快培育“第二增长曲线”</w:t>
      </w:r>
      <w:r>
        <w:rPr>
          <w:spacing w:val="-17"/>
        </w:rPr>
        <w:t>，“新主</w:t>
      </w:r>
      <w:r>
        <w:rPr>
          <w:spacing w:val="-5"/>
        </w:rPr>
        <w:t>业”各板块要定位为科创板拟上市公司，以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IPO </w:t>
      </w:r>
      <w:r>
        <w:rPr>
          <w:spacing w:val="-5"/>
        </w:rPr>
        <w:t>为目标，掌握适</w:t>
      </w:r>
      <w:r>
        <w:rPr>
          <w:spacing w:val="-4"/>
        </w:rPr>
        <w:t>合自己的估值方法，未雨绸缪，以提高估值水平作为公司经营发</w:t>
      </w:r>
      <w:r>
        <w:rPr>
          <w:spacing w:val="-8"/>
        </w:rPr>
        <w:t>展的指南针。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2023-04-17T17:34:35Z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2025-11-04T15:55:39</vt:filetime>
  </property>
</Properties>
</file>