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940"/>
        </w:tabs>
        <w:jc w:val="center"/>
        <w:outlineLvl w:val="0"/>
        <w:rPr>
          <w:rFonts w:hint="default" w:ascii="仿宋" w:hAnsi="仿宋" w:eastAsia="仿宋"/>
          <w:b/>
          <w:bCs/>
          <w:color w:val="000000" w:themeColor="text1"/>
          <w:sz w:val="32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OLE_LINK1"/>
      <w:r>
        <w:rPr>
          <w:rFonts w:hint="eastAsia" w:ascii="仿宋" w:hAnsi="仿宋" w:eastAsia="仿宋"/>
          <w:b/>
          <w:bCs/>
          <w:color w:val="000000" w:themeColor="text1"/>
          <w:sz w:val="32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运营商应对AI碳排放的清洁能源战略及启示</w:t>
      </w:r>
      <w:bookmarkEnd w:id="0"/>
    </w:p>
    <w:p>
      <w:pPr>
        <w:tabs>
          <w:tab w:val="left" w:pos="2940"/>
        </w:tabs>
        <w:jc w:val="center"/>
        <w:rPr>
          <w:rFonts w:hint="default" w:ascii="仿宋" w:hAnsi="仿宋" w:eastAsia="仿宋"/>
          <w:b w:val="0"/>
          <w:bCs w:val="0"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魏娜</w:t>
      </w:r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560"/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AI的迅猛发展使其成为高能耗、高碳排放的新兴领域。据斯坦福大学HAI研究中心《2025年AI指数报告》显示，Meta的Llama3.1模型训练排放约8930吨CO₂。2025年全球AIforGood峰会上ITU秘书长强调，AI的发展必须与环境保护等议题紧密结合。面对这一挑战，运营商正通过清洁能源战略平衡AI发展与碳中和的目标，本文结合相关战略，探讨其对行业低碳转型的启示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68" w:firstLine="561" w:firstLineChars="0"/>
        <w:textAlignment w:val="auto"/>
        <w:outlineLvl w:val="0"/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OLE_LINK2"/>
      <w:r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AI发展的碳排放挑战</w:t>
      </w:r>
      <w:bookmarkEnd w:id="1"/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当前AI发展正面临“杰文斯悖论”的困境：尽管单次计算能效提升了成百上千倍，但全球AI总能耗仍以每年18%</w:t>
      </w:r>
      <w:r>
        <w:rPr>
          <w:rStyle w:val="7"/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0"/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的速度激增。这种矛盾源于三个结构性挑战：</w:t>
      </w:r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一是模型训练的高碳排放。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OpenAIGPT-3单次训练耗电约1287兆瓦时，排放550吨CO₂</w:t>
      </w:r>
      <w:r>
        <w:rPr>
          <w:rStyle w:val="7"/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1"/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GPT-4单次训练的碳排放量突破1000吨，而行业仍在追求万亿级参数的“更大模型”，进一步推高能耗。国际能源署预测，到2030年AI耗电量将占全球发电量的4.5%-10%，这种指数级增长的能源需求主要依赖化石能源支撑。</w:t>
      </w:r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二是基础设施的高水资源占用。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数据中心作为AI的物理载体，其冷却系统耗水量惊人。Meta公司2022年仅数据中心冷却就消耗260万立方米水资源。中国“东数西算”工程测算显示，2030年智算中心年用电量将达0.6-1.3万亿千瓦时，相当于三峡电站年发电量的6-13倍</w:t>
      </w:r>
      <w:r>
        <w:rPr>
          <w:rStyle w:val="7"/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2"/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三是应用场景的高隐性成本。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日常AI交互同样蕴含高碳代价：ChatGPT单次响应耗电2.96瓦时，是传统搜索的10倍</w:t>
      </w:r>
      <w:r>
        <w:rPr>
          <w:rStyle w:val="7"/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3"/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；整合AI搜索后能耗达8.9瓦时/次</w:t>
      </w:r>
      <w:r>
        <w:rPr>
          <w:rStyle w:val="7"/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4"/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。当这类应用日均调用量突破百亿次时，其累计碳排放将超过多数制造业门类。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68" w:firstLine="561" w:firstLineChars="0"/>
        <w:textAlignment w:val="auto"/>
        <w:outlineLvl w:val="0"/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OLE_LINK4"/>
      <w:r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政策协同与标准化对企业的影响与作用</w:t>
      </w:r>
      <w:bookmarkEnd w:id="2"/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碳管理政策引导企业能源战略方向。</w:t>
      </w: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欧盟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委员会等机构推动欧盟排放交易体系等政策的制定与实施。碳边境调节机制要求进口产品的碳排放需符合欧盟标准，这使得微软、谷歌等企业在全球供应链布局时，必须考虑原材料采购、产品生产运输等环节的碳排放。加拿大《碳管理战略》设立50亿加元基金支持碳捕集商业化。</w:t>
      </w: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美国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《大而美法案》保留核能支持；《通胀削减法案》向18个州32个新能源项目追加50亿美元拨款。</w:t>
      </w:r>
    </w:p>
    <w:p>
      <w:pPr>
        <w:ind w:firstLine="560"/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环境管理标准提升碳管理科学性与透明度。</w:t>
      </w: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如ISO14064《温室气体第1部分：组织层次上对温室气体排放和清除的量化和报告的规范及指南》，在全球范围内被广泛认可与应用。谷歌、亚马逊等企业在全球运营中，均遵循该标准，进行碳排放的量化、监测与报告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68" w:firstLine="561" w:firstLineChars="0"/>
        <w:textAlignment w:val="auto"/>
        <w:outlineLvl w:val="0"/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运营商的清洁能源战略与实践</w:t>
      </w:r>
    </w:p>
    <w:p>
      <w:pPr>
        <w:ind w:firstLine="560"/>
        <w:rPr>
          <w:rFonts w:hint="default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面对技术红利与环境责任之间的矛盾，运营商积极布局清洁能源战略并付诸实践，已形成差异化布局和共性实践。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1、中国移动C²三能计划2.0，实现从“用能”到“产能”的全链路绿色算网</w:t>
      </w:r>
    </w:p>
    <w:p>
      <w:pPr>
        <w:ind w:firstLine="560"/>
        <w:rPr>
          <w:rFonts w:hint="default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洁能领域实行自建与直采的双轮驱动战略，有效提升能源利用效率与清洁度。在“风光氢储”一体化布局方面，中国移动重点在内蒙古、宁夏、青海三大区域布局，累计投入建设规模达到2.1GW的风光发电装机容量，配套建设了300MWh的全钒液流电池储能系统，计划到2025年将绿电在总电力消费中的占比提升至55%；在绿电直采方面，与国家电投、华能签署10年期PPA，锁定12TWh绿电，并在京津冀、长三角、粤港澳三大AI算力枢纽建设3条100%绿电直供专线</w:t>
      </w:r>
      <w:r>
        <w:rPr>
          <w:rStyle w:val="7"/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5"/>
      </w: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hint="default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节能领域构建极致PUE+AI节能大脑。新建智算中心全面采用液冷+间接蒸发冷却，PUE设计值1.15，存量数据中心2027年完成改造，PUE从1.47降至1.32</w:t>
      </w:r>
      <w:r>
        <w:rPr>
          <w:rStyle w:val="7"/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6"/>
      </w: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hint="default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赋能传统行业，将碳减排做成第二收入曲线。中国移动对外输出“AI+能效”SaaS，2024年已签约6大钢铁集团、4大港口、2大机场，帮助社会减排7.8亿吨CO₂e</w:t>
      </w:r>
      <w:r>
        <w:rPr>
          <w:rStyle w:val="7"/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footnoteReference w:id="7"/>
      </w:r>
      <w:r>
        <w:rPr>
          <w:rFonts w:hint="eastAsia" w:ascii="仿宋" w:hAnsi="仿宋" w:eastAsia="仿宋"/>
          <w:b w:val="0"/>
          <w:bCs w:val="0"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。同时打造5G工厂能源管理样板（三一重工北京桩机工厂），实现单台设备能耗下降31%。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2、中国联通构建3+5+1+1绿色低碳数智体系</w:t>
      </w:r>
    </w:p>
    <w:p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推进3大行动，网络、数据中心、办公场所同步节能。网络方面，5G基站AI节能“智控”平台接入42万个站址，年节电2.1亿kWh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8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；数据中心方面，天津、重庆、呼和浩特三大智算中心全部液冷，PUE从1.40降至1.25，其中天津中心实现100%绿电直供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9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；办公场所方面，推进分布式光伏供电技术、锂电池储能等多种储能技术试点应用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10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打造5大平台，筑牢数字底座。能耗监测平台方面，分钟级采集200万个能耗点位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11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；AI节能平台方面，基于联邦学习，跨域共享节能模型，节能率提升12%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12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；碳资产管理平台方面，自动生成碳排报告，对接全国碳市场；绿色供应链平台方面，对500家核心供应商进行碳足迹评级，纳入招标评分15%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13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；绿色金融平台方面，与国开行、工行合作，绿色贷款利率下浮20-30个基点</w:t>
      </w:r>
      <w:r>
        <w:rPr>
          <w:rStyle w:val="7"/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footnoteReference w:id="14"/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构建1个生态，成立零碳联盟。联合华为、中兴、爱立信、联想等30家伙伴成立零碳联盟，并发布《零碳ICT行动倡议》。该联盟旨在推动产业链上下游企业共同践行绿色低碳理念，通过技术创新和合作模式，降低整个ICT行业的碳排放。</w:t>
      </w:r>
    </w:p>
    <w:p>
      <w:pPr>
        <w:numPr>
          <w:ilvl w:val="-1"/>
          <w:numId w:val="0"/>
        </w:numPr>
        <w:ind w:firstLine="560" w:firstLineChars="200"/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牵头制定1套标准。牵头制定YD/T《通信机房碳排放评价技术规范》，首次将AI训练功率密度纳入碳排因子实时计算，2024年9月已发布行业标准。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68" w:firstLine="561" w:firstLineChars="0"/>
        <w:textAlignment w:val="auto"/>
        <w:outlineLvl w:val="0"/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对中国电信的启示与建议</w:t>
      </w:r>
    </w:p>
    <w:p>
      <w:pPr>
        <w:ind w:firstLine="560"/>
        <w:rPr>
          <w:rFonts w:hint="default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1、社会赋能，提高影响力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通过开放“零碳算力体验中心”展示中国电信在绿色计算领域的最新成果和技术优势，吸引更多的开发者和政企客户参与进来，在提升中国电信品牌形象的同时，促进产业链上下游企业的紧密合作。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通过培养开发者，中国电信可以推动绿色技术的创新和应用，为行业注入新的活力。同时，向政企客户复制输出绿色机房、节能基站、碳管理平台等解决方案，将有效带动整个产业链的节能减排工作，实现更加广泛的环保效益。</w:t>
      </w:r>
    </w:p>
    <w:p>
      <w:pPr>
        <w:ind w:firstLine="560"/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2、人才储备与标准修订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通过设立“零碳算力首席科学家”岗位，吸引顶尖科研人才加入，专注于零碳算力领域的前沿技术研究，推动技术创新和突破。同时，联合清华大学、浙江大学等知名高校共建“绿色算力联合实验室”，整合优质教育资源与科研力量，共同开展绿色算力技术的研发与应用探索。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牵头修订《绿色数据中心评价标准》，把AI负载碳排因子纳入国标。</w:t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通过制定更为严格的绿色数据中心评价标准，推动整个行业向更加环保、低碳的方向发展。而纳入AI负载碳排因子，意味着在评价数据中心的绿色程度时，将充分考虑AI技术应用所带来的碳排放影响，从而引导数据中心在设计、建设和运营过程中更加注重节能减排，提高能源利用效率。</w:t>
      </w:r>
    </w:p>
    <w:p>
      <w:pPr>
        <w:ind w:firstLine="560"/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3、AI节能系统升级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把“翼节能”平台升级为“碳擎大模型”，接入全网机房、基站数据，利用强化学习动态调节制冷与功率，目标再提效10%</w:t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同时，在“碳擎大模型”集成预测算法，基于历史能耗数据和天气预报信息，精准预测未来能耗趋势，进一步优化能源分配策略。并接入远程监控与智能预警功能，一旦发现能耗异常或设备故障，立即通知运维人员进行处理，确保数据中心运行的稳定性和安全性。</w:t>
      </w:r>
    </w:p>
    <w:p>
      <w:pPr>
        <w:ind w:firstLine="560"/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4、绿能可溯源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在现有青海“全国首个 100% 绿电可溯源数据中心”基础上，建立“绿电-算力”实时匹配平台，</w:t>
      </w: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通过智能调度算法，根据风光资源的实时变化情况，动态调整训练任务的分布，确保在风光资源最为丰富的时段，数据中心能够充分利用绿色能源进行计算，从而最大化减少对传统能源的依赖。同时，基于平台记录并展示每个训练任务所使用的绿色能源量，实现绿能的全程可追溯，增加数据的透明度和可信度。</w:t>
      </w:r>
    </w:p>
    <w:p>
      <w:pPr>
        <w:ind w:firstLine="560"/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theme="minorBidi"/>
          <w:color w:val="000000" w:themeColor="text1"/>
          <w:kern w:val="2"/>
          <w:sz w:val="28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对外发布并推广“零碳算力标签”，旨在为客户提供明确、透明的选择标准，使其能够根据自身需求和环保要求，精准地选购符合“零碳”标准的AI算力服务。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30">
    <w:p>
      <w:r>
        <w:separator/>
      </w:r>
    </w:p>
  </w:footnote>
  <w:footnote w:type="continuationSeparator" w:id="31">
    <w:p>
      <w:r>
        <w:continuationSeparator/>
      </w:r>
    </w:p>
  </w:footnote>
  <w:footnote w:id="0">
    <w:p>
      <w:pPr>
        <w:pStyle w:val="3"/>
        <w:bidi w:val="0"/>
      </w:pPr>
      <w:r>
        <w:rPr>
          <w:rStyle w:val="7"/>
        </w:rPr>
        <w:footnoteRef/>
      </w:r>
      <w:r>
        <w:rPr>
          <w:rFonts w:hint="eastAsia"/>
          <w:lang w:val="en-US" w:eastAsia="zh-CN"/>
        </w:rPr>
        <w:t xml:space="preserve"> 信息来源：</w:t>
      </w:r>
      <w:r>
        <w:rPr>
          <w:rFonts w:hint="eastAsia"/>
        </w:rPr>
        <w:t>国际能源署（IEA）数据</w:t>
      </w:r>
    </w:p>
  </w:footnote>
  <w:footnote w:id="1">
    <w:p>
      <w:pPr>
        <w:pStyle w:val="3"/>
        <w:bidi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rPr>
          <w:rFonts w:hint="eastAsia"/>
          <w:lang w:val="en-US" w:eastAsia="zh-CN"/>
        </w:rPr>
        <w:t xml:space="preserve"> 信息来源：</w:t>
      </w:r>
      <w:r>
        <w:t>The“No-Excuse”FrameworktoAcceleratethePathtoNet-ZeroManufacturingandValueChain</w:t>
      </w:r>
      <w:r>
        <w:rPr>
          <w:rFonts w:hint="eastAsia"/>
          <w:lang w:val="en-US" w:eastAsia="zh-CN"/>
        </w:rPr>
        <w:t>s</w:t>
      </w:r>
    </w:p>
  </w:footnote>
  <w:footnote w:id="2">
    <w:p>
      <w:pPr>
        <w:pStyle w:val="3"/>
        <w:snapToGrid w:val="0"/>
        <w:rPr>
          <w:rFonts w:hint="default" w:eastAsiaTheme="minorEastAsia"/>
          <w:lang w:val="en-US" w:eastAsia="zh-CN"/>
        </w:rPr>
      </w:pPr>
      <w:r>
        <w:rPr>
          <w:rStyle w:val="7"/>
        </w:rPr>
        <w:footnoteRef/>
      </w:r>
      <w:r>
        <w:rPr>
          <w:rFonts w:hint="eastAsia"/>
          <w:lang w:val="en-US" w:eastAsia="zh-CN"/>
        </w:rPr>
        <w:t xml:space="preserve"> 信息来源：</w:t>
      </w:r>
      <w:r>
        <w:rPr>
          <w:rFonts w:hint="eastAsia"/>
          <w:lang w:eastAsia="zh-CN"/>
        </w:rPr>
        <w:t>《</w:t>
      </w:r>
      <w:r>
        <w:rPr>
          <w:rFonts w:hint="eastAsia"/>
        </w:rPr>
        <w:t>碳达峰碳中和蓝皮书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2025）》</w:t>
      </w:r>
    </w:p>
  </w:footnote>
  <w:footnote w:id="3">
    <w:p>
      <w:pPr>
        <w:pStyle w:val="3"/>
        <w:snapToGrid w:val="0"/>
      </w:pPr>
      <w:r>
        <w:rPr>
          <w:rStyle w:val="7"/>
        </w:rPr>
        <w:footnoteRef/>
      </w:r>
      <w:r>
        <w:rPr>
          <w:rFonts w:hint="eastAsia"/>
          <w:lang w:val="en-US" w:eastAsia="zh-CN"/>
        </w:rPr>
        <w:t xml:space="preserve"> 信息来源：</w:t>
      </w:r>
      <w:r>
        <w:rPr>
          <w:rFonts w:hint="eastAsia"/>
          <w:color w:val="auto"/>
        </w:rPr>
        <w:t>https://www.fromgeek.com/telecom/664690.html</w:t>
      </w:r>
    </w:p>
  </w:footnote>
  <w:footnote w:id="4">
    <w:p>
      <w:pPr>
        <w:pStyle w:val="3"/>
        <w:snapToGrid w:val="0"/>
      </w:pPr>
      <w:r>
        <w:rPr>
          <w:rStyle w:val="7"/>
        </w:rPr>
        <w:footnoteRef/>
      </w:r>
      <w:r>
        <w:rPr>
          <w:rFonts w:hint="eastAsia"/>
          <w:lang w:val="en-US" w:eastAsia="zh-CN"/>
        </w:rPr>
        <w:t xml:space="preserve"> 信息来源：</w:t>
      </w:r>
      <w:r>
        <w:rPr>
          <w:rFonts w:hint="eastAsia"/>
        </w:rPr>
        <w:t>https://xueqiu.com/4926075175/288976794</w:t>
      </w:r>
    </w:p>
  </w:footnote>
  <w:footnote w:id="5">
    <w:p>
      <w:pPr>
        <w:pStyle w:val="3"/>
        <w:snapToGrid w:val="0"/>
        <w:rPr>
          <w:rFonts w:hint="default" w:eastAsiaTheme="minorEastAsia"/>
          <w:lang w:val="en-US" w:eastAsia="zh-CN"/>
        </w:rPr>
      </w:pPr>
      <w:bookmarkStart w:id="3" w:name="_GoBack"/>
      <w:r>
        <w:rPr>
          <w:rStyle w:val="7"/>
        </w:rPr>
        <w:footnoteRef/>
      </w:r>
      <w:r>
        <w:t xml:space="preserve"> </w:t>
      </w:r>
      <w:bookmarkEnd w:id="3"/>
      <w:r>
        <w:rPr>
          <w:rFonts w:hint="eastAsia"/>
          <w:lang w:val="en-US" w:eastAsia="zh-CN"/>
        </w:rPr>
        <w:t>数据来源：中国移动有限公司2024年可持续发展报告</w:t>
      </w:r>
    </w:p>
  </w:footnote>
  <w:footnote w:id="6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信息来源：https://www.bjcia.org.cn/47/202405/19654.html</w:t>
      </w:r>
    </w:p>
  </w:footnote>
  <w:footnote w:id="7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信息来源：https://www.bjcia.org.cn/47/202405/19654.html</w:t>
      </w:r>
    </w:p>
  </w:footnote>
  <w:footnote w:id="8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信息来源：https://www.cww.net.cn/article?id=586842</w:t>
      </w:r>
    </w:p>
  </w:footnote>
  <w:footnote w:id="9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信息来源：https://mp.weixin.qq.com/s/UXahsGT_svN5xaNyri8Zqg?</w:t>
      </w:r>
    </w:p>
  </w:footnote>
  <w:footnote w:id="10">
    <w:p>
      <w:pPr>
        <w:pStyle w:val="3"/>
        <w:snapToGrid w:val="0"/>
        <w:rPr>
          <w:rFonts w:hint="default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信息来源：中国联通2024年可持续发展报告</w:t>
      </w:r>
    </w:p>
  </w:footnote>
  <w:footnote w:id="11">
    <w:p>
      <w:pPr>
        <w:pStyle w:val="3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信息来源：中国联通2024年可持续发展报告</w:t>
      </w:r>
    </w:p>
  </w:footnote>
  <w:footnote w:id="12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信息来源：《用AI联通：当通信网络遇见AI》</w:t>
      </w:r>
    </w:p>
  </w:footnote>
  <w:footnote w:id="13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信息来源：《2025年中央企业采购与供应链管理对标评估A级企业名单》</w:t>
      </w:r>
    </w:p>
  </w:footnote>
  <w:footnote w:id="14">
    <w:p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信息来源：《中国联通绿色金融发展报告（2024）》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5239D"/>
    <w:multiLevelType w:val="singleLevel"/>
    <w:tmpl w:val="09B5239D"/>
    <w:lvl w:ilvl="0" w:tentative="0">
      <w:start w:val="1"/>
      <w:numFmt w:val="chineseCounting"/>
      <w:suff w:val="nothing"/>
      <w:lvlText w:val="%1、"/>
      <w:lvlJc w:val="left"/>
      <w:pPr>
        <w:ind w:left="68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30"/>
    <w:footnote w:id="3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6979E5"/>
    <w:rsid w:val="01187BDA"/>
    <w:rsid w:val="03D03C4D"/>
    <w:rsid w:val="04C424C5"/>
    <w:rsid w:val="054312E4"/>
    <w:rsid w:val="079E3E7E"/>
    <w:rsid w:val="083E6008"/>
    <w:rsid w:val="090D306A"/>
    <w:rsid w:val="0A8119D2"/>
    <w:rsid w:val="0ADD6C61"/>
    <w:rsid w:val="0B60380B"/>
    <w:rsid w:val="0B725406"/>
    <w:rsid w:val="0C010205"/>
    <w:rsid w:val="0C491737"/>
    <w:rsid w:val="0C8F4CB0"/>
    <w:rsid w:val="0C9B3C30"/>
    <w:rsid w:val="0CA248E3"/>
    <w:rsid w:val="0E8B73B1"/>
    <w:rsid w:val="0F4D6079"/>
    <w:rsid w:val="10B4201D"/>
    <w:rsid w:val="10C1060B"/>
    <w:rsid w:val="118916FB"/>
    <w:rsid w:val="11CC0F45"/>
    <w:rsid w:val="132D4308"/>
    <w:rsid w:val="13BF042A"/>
    <w:rsid w:val="13DF4CA5"/>
    <w:rsid w:val="15406575"/>
    <w:rsid w:val="16134C45"/>
    <w:rsid w:val="175E7186"/>
    <w:rsid w:val="182F038D"/>
    <w:rsid w:val="193B777F"/>
    <w:rsid w:val="1A4511A7"/>
    <w:rsid w:val="1A6F1974"/>
    <w:rsid w:val="1B2B737F"/>
    <w:rsid w:val="1B50295E"/>
    <w:rsid w:val="1C0D1E3F"/>
    <w:rsid w:val="1C830E7B"/>
    <w:rsid w:val="1D8077A1"/>
    <w:rsid w:val="1DF148B0"/>
    <w:rsid w:val="1E6979E5"/>
    <w:rsid w:val="1F503866"/>
    <w:rsid w:val="21CD0C84"/>
    <w:rsid w:val="2205092A"/>
    <w:rsid w:val="222A65E3"/>
    <w:rsid w:val="22BA5184"/>
    <w:rsid w:val="23144B9D"/>
    <w:rsid w:val="23FB28DD"/>
    <w:rsid w:val="248A31A3"/>
    <w:rsid w:val="2674607E"/>
    <w:rsid w:val="26A50454"/>
    <w:rsid w:val="27E2526A"/>
    <w:rsid w:val="2A9A6739"/>
    <w:rsid w:val="2B14398C"/>
    <w:rsid w:val="2C626979"/>
    <w:rsid w:val="2CD5539D"/>
    <w:rsid w:val="2DF53F49"/>
    <w:rsid w:val="2EAA38DB"/>
    <w:rsid w:val="2EFA5A9E"/>
    <w:rsid w:val="2F2C0CD3"/>
    <w:rsid w:val="2FA923BE"/>
    <w:rsid w:val="2FC4426D"/>
    <w:rsid w:val="31876ED9"/>
    <w:rsid w:val="31F6203D"/>
    <w:rsid w:val="32A02D30"/>
    <w:rsid w:val="33A87AFE"/>
    <w:rsid w:val="34285A1D"/>
    <w:rsid w:val="34A75771"/>
    <w:rsid w:val="35410B17"/>
    <w:rsid w:val="3762240D"/>
    <w:rsid w:val="37B214EF"/>
    <w:rsid w:val="38026CF0"/>
    <w:rsid w:val="38BA258A"/>
    <w:rsid w:val="395A3541"/>
    <w:rsid w:val="398E775A"/>
    <w:rsid w:val="3A6D4E67"/>
    <w:rsid w:val="3A9B69B4"/>
    <w:rsid w:val="3C2970C0"/>
    <w:rsid w:val="3C7060DA"/>
    <w:rsid w:val="3D0E20C9"/>
    <w:rsid w:val="3D2E2080"/>
    <w:rsid w:val="3D785FFC"/>
    <w:rsid w:val="3DF257B2"/>
    <w:rsid w:val="3E235F81"/>
    <w:rsid w:val="3E3B7F54"/>
    <w:rsid w:val="40104C12"/>
    <w:rsid w:val="417276C9"/>
    <w:rsid w:val="41C61794"/>
    <w:rsid w:val="42112CF3"/>
    <w:rsid w:val="427B0BC9"/>
    <w:rsid w:val="43F809F6"/>
    <w:rsid w:val="452C5A6A"/>
    <w:rsid w:val="46152F37"/>
    <w:rsid w:val="47461F7B"/>
    <w:rsid w:val="48AD0F4E"/>
    <w:rsid w:val="49043881"/>
    <w:rsid w:val="494574C2"/>
    <w:rsid w:val="4AAA17BF"/>
    <w:rsid w:val="4B1A0735"/>
    <w:rsid w:val="4BC93EC7"/>
    <w:rsid w:val="4CC41F0D"/>
    <w:rsid w:val="4DD208BB"/>
    <w:rsid w:val="4E0B1D1A"/>
    <w:rsid w:val="5176689F"/>
    <w:rsid w:val="521E54EC"/>
    <w:rsid w:val="524A1D0E"/>
    <w:rsid w:val="53251DD8"/>
    <w:rsid w:val="53AB5C87"/>
    <w:rsid w:val="549E660B"/>
    <w:rsid w:val="54FA6DF0"/>
    <w:rsid w:val="56783B41"/>
    <w:rsid w:val="56877B05"/>
    <w:rsid w:val="56A619D5"/>
    <w:rsid w:val="577C6A0F"/>
    <w:rsid w:val="58CB22BD"/>
    <w:rsid w:val="58F01F41"/>
    <w:rsid w:val="58FA1B08"/>
    <w:rsid w:val="5A0031AA"/>
    <w:rsid w:val="5A1D1FAE"/>
    <w:rsid w:val="5A8F5421"/>
    <w:rsid w:val="5BDF7159"/>
    <w:rsid w:val="5D1D5D61"/>
    <w:rsid w:val="5DEB5F1F"/>
    <w:rsid w:val="5EA90260"/>
    <w:rsid w:val="5EB44F8C"/>
    <w:rsid w:val="5ED61A7F"/>
    <w:rsid w:val="5F056BF5"/>
    <w:rsid w:val="5F0B7580"/>
    <w:rsid w:val="616A31C3"/>
    <w:rsid w:val="617A1A94"/>
    <w:rsid w:val="622C3B9E"/>
    <w:rsid w:val="623A6737"/>
    <w:rsid w:val="63470BFE"/>
    <w:rsid w:val="63A32486"/>
    <w:rsid w:val="63B84F56"/>
    <w:rsid w:val="661F2C0A"/>
    <w:rsid w:val="662621EA"/>
    <w:rsid w:val="66B141AA"/>
    <w:rsid w:val="66B87515"/>
    <w:rsid w:val="67087D3C"/>
    <w:rsid w:val="67535261"/>
    <w:rsid w:val="67D16185"/>
    <w:rsid w:val="68016A6B"/>
    <w:rsid w:val="69182864"/>
    <w:rsid w:val="696C43B8"/>
    <w:rsid w:val="69C37EA1"/>
    <w:rsid w:val="6B6535FA"/>
    <w:rsid w:val="6D4C1FCA"/>
    <w:rsid w:val="6DBD3434"/>
    <w:rsid w:val="6E480585"/>
    <w:rsid w:val="6F6E2C8D"/>
    <w:rsid w:val="6FAF3458"/>
    <w:rsid w:val="72031996"/>
    <w:rsid w:val="72964253"/>
    <w:rsid w:val="737308E6"/>
    <w:rsid w:val="750B717B"/>
    <w:rsid w:val="75C500C8"/>
    <w:rsid w:val="7618684D"/>
    <w:rsid w:val="768947FB"/>
    <w:rsid w:val="76D10E1C"/>
    <w:rsid w:val="76FD5AE1"/>
    <w:rsid w:val="7ADB139D"/>
    <w:rsid w:val="7B2814D5"/>
    <w:rsid w:val="7B336314"/>
    <w:rsid w:val="7DFE760C"/>
    <w:rsid w:val="7EF9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otnote reference"/>
    <w:basedOn w:val="5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6</Pages>
  <Words>2816</Words>
  <Characters>3089</Characters>
  <Lines>0</Lines>
  <Paragraphs>0</Paragraphs>
  <TotalTime>23</TotalTime>
  <ScaleCrop>false</ScaleCrop>
  <LinksUpToDate>false</LinksUpToDate>
  <CharactersWithSpaces>3091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2025-07-11T23:00:00Z</dcterms:created>
  <dc:creator>HP</dc:creator>
  <cp:lastModifiedBy>HP</cp:lastModifiedBy>
  <dcterms:modified xsi:type="dcterms:W3CDTF">2025-09-03T08:04:39Z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9973ED51069E4CBB8A2935861F01F527_13</vt:lpwstr>
  </property>
  <property fmtid="{D5CDD505-2E9C-101B-9397-08002B2CF9AE}" pid="4" name="KSOTemplateDocerSaveRecord">
    <vt:lpwstr>eyJoZGlkIjoiM2QzYjc0ZjRiYTI1MWRhZGVlZjdkYWVhYTEwOWQzZWIiLCJ1c2VySWQiOiIyNzQ4NDk3MzEifQ==</vt:lpwstr>
  </property>
</Properties>
</file>