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B126B">
      <w:pPr>
        <w:spacing w:line="360" w:lineRule="auto"/>
        <w:jc w:val="center"/>
        <w:outlineLvl w:val="0"/>
        <w:rPr>
          <w:rFonts w:hint="default" w:ascii="微软雅黑" w:hAnsi="微软雅黑" w:eastAsia="微软雅黑" w:cs="Times New Roman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sz w:val="44"/>
          <w:szCs w:val="44"/>
          <w:lang w:val="en-US" w:eastAsia="zh-CN"/>
        </w:rPr>
        <w:t>运营商政企专线业务服务感知调研报告</w:t>
      </w:r>
    </w:p>
    <w:p w14:paraId="7683E267">
      <w:pPr>
        <w:spacing w:before="100" w:beforeAutospacing="1" w:after="468" w:afterLines="150" w:line="500" w:lineRule="exact"/>
        <w:jc w:val="center"/>
        <w:rPr>
          <w:rFonts w:hint="default" w:ascii="华文楷体" w:hAnsi="华文楷体" w:eastAsia="华文楷体" w:cs="微软雅黑"/>
          <w:sz w:val="30"/>
          <w:szCs w:val="30"/>
          <w:lang w:val="en-US" w:eastAsia="zh-CN"/>
        </w:rPr>
      </w:pPr>
      <w:r>
        <w:rPr>
          <w:rFonts w:hint="eastAsia" w:ascii="华文楷体" w:hAnsi="华文楷体" w:eastAsia="华文楷体" w:cs="微软雅黑"/>
          <w:sz w:val="30"/>
          <w:szCs w:val="30"/>
          <w:lang w:val="en-US" w:eastAsia="zh-CN"/>
        </w:rPr>
        <w:t>文/王文治</w:t>
      </w:r>
    </w:p>
    <w:p w14:paraId="1EE1B182">
      <w:pPr>
        <w:pStyle w:val="2"/>
        <w:keepNext/>
        <w:keepLines/>
        <w:numPr>
          <w:ilvl w:val="0"/>
          <w:numId w:val="1"/>
        </w:numPr>
        <w:bidi w:val="0"/>
        <w:spacing w:before="340" w:beforeAutospacing="0" w:after="330" w:afterAutospacing="0" w:line="578" w:lineRule="auto"/>
        <w:ind w:left="0" w:leftChars="0" w:firstLine="420" w:firstLineChars="0"/>
        <w:jc w:val="both"/>
        <w:outlineLvl w:val="0"/>
        <w:rPr>
          <w:rFonts w:hint="default" w:ascii="黑体" w:hAnsi="黑体" w:eastAsia="黑体" w:cs="黑体"/>
          <w:sz w:val="32"/>
          <w:szCs w:val="20"/>
          <w:lang w:val="en-US" w:eastAsia="zh-CN" w:bidi="ar-SA"/>
        </w:rPr>
      </w:pPr>
      <w:bookmarkStart w:id="0" w:name="_Toc27464"/>
      <w:r>
        <w:rPr>
          <w:rFonts w:hint="eastAsia" w:ascii="黑体" w:hAnsi="黑体" w:eastAsia="黑体" w:cs="黑体"/>
          <w:sz w:val="32"/>
          <w:szCs w:val="20"/>
          <w:lang w:val="en-US" w:eastAsia="zh-CN" w:bidi="ar-SA"/>
        </w:rPr>
        <w:t>调研基本情况</w:t>
      </w:r>
      <w:bookmarkEnd w:id="0"/>
    </w:p>
    <w:p w14:paraId="026AE088">
      <w:pPr>
        <w:pStyle w:val="3"/>
        <w:keepNext/>
        <w:keepLines/>
        <w:numPr>
          <w:ilvl w:val="0"/>
          <w:numId w:val="2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bookmarkStart w:id="1" w:name="_Toc7977"/>
      <w:r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  <w:t>调研主题</w:t>
      </w:r>
      <w:bookmarkEnd w:id="1"/>
    </w:p>
    <w:p w14:paraId="3DA1F193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通过对行业头部客户及内部人员进行政企专线业务服务感知调研，收集客户及一线对产品和服务的评价和反馈，深入了解服务感知现状及痛点，综合多种维度评估贯穿售前咨询、售中开通、售后出障等全生命周期服务感知，分析当前存在的主要问题、感知短板、竞争信息、意见或建议，并提出下一步优化举措。</w:t>
      </w:r>
    </w:p>
    <w:p w14:paraId="0E9D6A05">
      <w:pPr>
        <w:pStyle w:val="3"/>
        <w:keepNext/>
        <w:keepLines/>
        <w:numPr>
          <w:ilvl w:val="0"/>
          <w:numId w:val="2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bookmarkStart w:id="2" w:name="_Toc27801"/>
      <w:r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  <w:t>调研方式</w:t>
      </w:r>
      <w:bookmarkEnd w:id="2"/>
    </w:p>
    <w:p w14:paraId="575DBA1D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采用大样本定量调研与典型客户定性调研的方式，通过调研河北、安徽、天津等30省979家行业客户，总结目前中国电信政企专线存在的客户感知问题；同时通过典型问题客户深度访谈的方式，梳理政企专线服务/产品短板，同时总结政企专线市场在教育、工业、医疗等不同领域以及大型企业、中小型企业等不同规模企业对政企专线的需求及重点应用方向。</w:t>
      </w:r>
    </w:p>
    <w:p w14:paraId="56B5990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lang w:val="en-US" w:eastAsia="zh-CN"/>
        </w:rPr>
      </w:pPr>
      <w:r>
        <w:drawing>
          <wp:inline distT="0" distB="0" distL="114300" distR="114300">
            <wp:extent cx="5611495" cy="1202055"/>
            <wp:effectExtent l="0" t="0" r="825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C385">
      <w:pPr>
        <w:pStyle w:val="2"/>
        <w:keepNext/>
        <w:keepLines/>
        <w:numPr>
          <w:ilvl w:val="0"/>
          <w:numId w:val="1"/>
        </w:numPr>
        <w:bidi w:val="0"/>
        <w:spacing w:before="340" w:beforeAutospacing="0" w:after="330" w:afterAutospacing="0" w:line="578" w:lineRule="auto"/>
        <w:ind w:left="0" w:leftChars="0" w:firstLine="420" w:firstLineChars="0"/>
        <w:jc w:val="both"/>
        <w:outlineLvl w:val="0"/>
        <w:rPr>
          <w:rFonts w:hint="default" w:ascii="黑体" w:hAnsi="黑体" w:eastAsia="黑体" w:cs="黑体"/>
          <w:sz w:val="32"/>
          <w:szCs w:val="20"/>
          <w:lang w:val="en-US" w:eastAsia="zh-CN" w:bidi="ar-SA"/>
        </w:rPr>
      </w:pPr>
      <w:bookmarkStart w:id="3" w:name="_Toc15103"/>
      <w:r>
        <w:rPr>
          <w:rFonts w:hint="eastAsia" w:ascii="黑体" w:hAnsi="黑体" w:eastAsia="黑体" w:cs="黑体"/>
          <w:sz w:val="32"/>
          <w:szCs w:val="20"/>
          <w:lang w:val="en-US" w:eastAsia="zh-CN" w:bidi="ar-SA"/>
        </w:rPr>
        <w:t>调研核心发现</w:t>
      </w:r>
      <w:bookmarkEnd w:id="3"/>
    </w:p>
    <w:p w14:paraId="3497D316">
      <w:pPr>
        <w:pStyle w:val="3"/>
        <w:keepNext/>
        <w:keepLines/>
        <w:numPr>
          <w:ilvl w:val="0"/>
          <w:numId w:val="3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bookmarkStart w:id="4" w:name="_Toc5599"/>
      <w:r>
        <w:rPr>
          <w:rFonts w:hint="eastAsia" w:cs="宋体"/>
          <w:bCs w:val="0"/>
          <w:kern w:val="2"/>
          <w:sz w:val="30"/>
          <w:szCs w:val="30"/>
          <w:lang w:val="en-US" w:eastAsia="zh-CN" w:bidi="ar-SA"/>
        </w:rPr>
        <w:t>互联网一部、工业、车联网、金融、卫健、文宣等行业客户感知相对其他行业略低</w:t>
      </w:r>
      <w:bookmarkEnd w:id="4"/>
    </w:p>
    <w:p w14:paraId="2EC1E012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专线业务客户认可中国电信的产品和服务，综合满意度得分为9.73分，且行业间满意度评分差距较小。互联网一部、工业、车联网、金融、卫健、文宣客户感知相对其他行业略低，仍然需要加强客户服务感知的提升。</w:t>
      </w:r>
    </w:p>
    <w:p w14:paraId="6BC91A3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615305" cy="1282700"/>
            <wp:effectExtent l="0" t="0" r="44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566C">
      <w:pPr>
        <w:pStyle w:val="3"/>
        <w:keepNext/>
        <w:keepLines/>
        <w:numPr>
          <w:ilvl w:val="0"/>
          <w:numId w:val="3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z w:val="30"/>
          <w:szCs w:val="30"/>
          <w:lang w:val="en-US" w:eastAsia="zh-CN"/>
        </w:rPr>
        <w:t>方案设计、日常维护、故障处理等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相对其他环节满意度略低</w:t>
      </w:r>
    </w:p>
    <w:p w14:paraId="6048FA8F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整体来看，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val="en-US" w:eastAsia="zh-CN"/>
        </w:rPr>
        <w:t>客户经理服务、10009服务以及对专线业务本身的功能、易用性等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的满意度高于其他服务环节，客户提出的感知痛点少于其他环节；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val="en-US" w:eastAsia="zh-CN"/>
        </w:rPr>
        <w:t>方案设计、日常维护、故障处理等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相对其他环节满意度略低，主要原因在于响应不及时及故障处理时间长等。</w:t>
      </w:r>
    </w:p>
    <w:p w14:paraId="23F92AA9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5615940" cy="1315720"/>
            <wp:effectExtent l="0" t="0" r="381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2DF7">
      <w:pPr>
        <w:pStyle w:val="2"/>
        <w:keepNext/>
        <w:keepLines/>
        <w:numPr>
          <w:ilvl w:val="0"/>
          <w:numId w:val="1"/>
        </w:numPr>
        <w:bidi w:val="0"/>
        <w:spacing w:before="340" w:beforeAutospacing="0" w:after="330" w:afterAutospacing="0" w:line="578" w:lineRule="auto"/>
        <w:ind w:left="0" w:leftChars="0" w:firstLine="420" w:firstLineChars="0"/>
        <w:jc w:val="both"/>
        <w:outlineLvl w:val="0"/>
        <w:rPr>
          <w:rFonts w:hint="eastAsia" w:ascii="黑体" w:hAnsi="黑体" w:eastAsia="黑体" w:cs="黑体"/>
          <w:sz w:val="32"/>
          <w:szCs w:val="20"/>
          <w:lang w:val="en-US" w:eastAsia="zh-CN" w:bidi="ar-SA"/>
        </w:rPr>
      </w:pPr>
      <w:bookmarkStart w:id="5" w:name="_Toc32308"/>
      <w:r>
        <w:rPr>
          <w:rFonts w:hint="eastAsia" w:ascii="黑体" w:hAnsi="黑体" w:eastAsia="黑体" w:cs="黑体"/>
          <w:sz w:val="32"/>
          <w:szCs w:val="20"/>
          <w:lang w:val="en-US" w:eastAsia="zh-CN" w:bidi="ar-SA"/>
        </w:rPr>
        <w:t>调研发现展开分析</w:t>
      </w:r>
    </w:p>
    <w:p w14:paraId="44433967">
      <w:pPr>
        <w:pStyle w:val="3"/>
        <w:keepNext/>
        <w:keepLines/>
        <w:numPr>
          <w:ilvl w:val="0"/>
          <w:numId w:val="4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  <w:t>方案设计环节，个性化服务、服务效果、业务专业性方面是客户感知痛点</w:t>
      </w:r>
    </w:p>
    <w:p w14:paraId="0DAE3DF4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在专线业务的方案设计环节，共133人反馈该环节感知痛点，集中于方案不能满足本单位个性化需求（15人，占比11.3%）、方案与需求不匹配（6人，占比4.5%）、方案设计人员不专业（6人，占比4.5%）等服务感知痛点。</w:t>
      </w:r>
    </w:p>
    <w:p w14:paraId="05726B4A">
      <w:pPr>
        <w:pStyle w:val="3"/>
        <w:keepNext/>
        <w:keepLines/>
        <w:numPr>
          <w:ilvl w:val="0"/>
          <w:numId w:val="4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  <w:t>日常维护环节，响应效率、主动服务、业务专业性、服务效果方面是客户感知痛点</w:t>
      </w:r>
    </w:p>
    <w:p w14:paraId="301E1F57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在日常维护环节，共128人反馈该环节感知痛点，集中于维护人员响应不及时（28人，占比21.9%）、不能提供定期巡检等日常维护工作（12人，占比9.4%）、维护人员专业技能较差（6人，占比4.7%）等服务感知痛点。</w:t>
      </w:r>
    </w:p>
    <w:p w14:paraId="3DE3F1D4">
      <w:pPr>
        <w:pStyle w:val="3"/>
        <w:keepNext/>
        <w:keepLines/>
        <w:numPr>
          <w:ilvl w:val="0"/>
          <w:numId w:val="4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  <w:t>故障处理环节，响应效率、业务专业性、服务效果方面是客户感知痛点</w:t>
      </w:r>
    </w:p>
    <w:p w14:paraId="40684524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在故障处理环节，共133人反馈该环节感知痛点，集中于故障修复时间长（24人，占比18%）、报障后无人跟进或反馈不及时（13人，占比9.8%）、专业技能较差（11人，占比8.3%）等服务感知痛点。</w:t>
      </w:r>
    </w:p>
    <w:p w14:paraId="64551646">
      <w:pPr>
        <w:pStyle w:val="3"/>
        <w:keepNext/>
        <w:keepLines/>
        <w:numPr>
          <w:ilvl w:val="0"/>
          <w:numId w:val="4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bookmarkStart w:id="6" w:name="_Toc1705"/>
      <w:r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  <w:t>客户在“时效、专业、便捷、稳定、主动”等五方面对中国电信赋予更高期望</w:t>
      </w:r>
      <w:bookmarkEnd w:id="6"/>
    </w:p>
    <w:p w14:paraId="54348212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时效性方面，主要体现在各服务环节的响应速度，客户痛点集中于“响应效率低”，如产品咨询环节共11家客户反馈响应不及时，占比9.8%；</w:t>
      </w:r>
    </w:p>
    <w:p w14:paraId="7F2ECBDE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专业性方面，主要体现在服务渠道、业务能力和解决问题能力，客户痛点集中于“专业能力弱、服务效果差”，如在需求沟通环节共12加客户反馈需求理解不到位、沟通人员不专业，占比11.7%；</w:t>
      </w:r>
    </w:p>
    <w:p w14:paraId="7788B491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便捷性方面，主要体现在流程、手续、交付物、服务渠道转接等方面的便利性，客户痛点集中于“效应效率低、产品操作便利性弱”，如在合同签订环节共29个客户反馈合同太模式化，不够灵活，占比25.4%；</w:t>
      </w:r>
    </w:p>
    <w:p w14:paraId="1DAB0402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稳定性方面，主要体现在产品的质量、功能和稳定性，客户痛点集中于“产品稳定性弱、产品功能不足、产品自助功能不完善”，如在产品性能环节共16个客户反馈运行不稳定易出故障，以及信号不稳定等，占比16.3%；</w:t>
      </w:r>
    </w:p>
    <w:p w14:paraId="3EB41017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主动性方面，主要体现在需求沟通、定期巡检、账单发票等方面是否灵活主动，客户痛点集中于“缺少主动服务、缺少个性化服务”，如在产品咨询环节共5个客户提出服务人员主动性差，占比4.6%。</w:t>
      </w:r>
    </w:p>
    <w:p w14:paraId="7F4BEA86">
      <w:pPr>
        <w:pStyle w:val="2"/>
        <w:keepNext/>
        <w:keepLines/>
        <w:numPr>
          <w:ilvl w:val="0"/>
          <w:numId w:val="1"/>
        </w:numPr>
        <w:bidi w:val="0"/>
        <w:spacing w:before="340" w:beforeAutospacing="0" w:after="330" w:afterAutospacing="0" w:line="578" w:lineRule="auto"/>
        <w:ind w:left="0" w:leftChars="0" w:firstLine="420" w:firstLineChars="0"/>
        <w:jc w:val="both"/>
        <w:outlineLvl w:val="0"/>
        <w:rPr>
          <w:rFonts w:hint="eastAsia" w:ascii="黑体" w:hAnsi="黑体" w:eastAsia="黑体" w:cs="黑体"/>
          <w:sz w:val="32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sz w:val="32"/>
          <w:szCs w:val="20"/>
          <w:lang w:val="en-US" w:eastAsia="zh-CN" w:bidi="ar-SA"/>
        </w:rPr>
        <w:t>专线业务服务问题梳理与提升策略建议</w:t>
      </w:r>
      <w:bookmarkEnd w:id="5"/>
    </w:p>
    <w:p w14:paraId="4119B53E">
      <w:pPr>
        <w:pStyle w:val="3"/>
        <w:keepNext/>
        <w:keepLines/>
        <w:numPr>
          <w:ilvl w:val="0"/>
          <w:numId w:val="5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bookmarkStart w:id="7" w:name="_Toc56"/>
      <w:r>
        <w:rPr>
          <w:rFonts w:hint="eastAsia" w:cs="宋体"/>
          <w:bCs w:val="0"/>
          <w:kern w:val="2"/>
          <w:sz w:val="30"/>
          <w:szCs w:val="30"/>
          <w:lang w:val="en-US" w:eastAsia="zh-CN" w:bidi="ar-SA"/>
        </w:rPr>
        <w:t>当前存在问题：</w:t>
      </w:r>
      <w:r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  <w:t>战略转型贯彻不充分，专线业务的产品、服务仍存痛点</w:t>
      </w:r>
      <w:bookmarkEnd w:id="7"/>
    </w:p>
    <w:p w14:paraId="4A8E9F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640" w:lineRule="exact"/>
        <w:ind w:firstLine="602" w:firstLineChars="200"/>
        <w:jc w:val="both"/>
        <w:textAlignment w:val="auto"/>
        <w:outlineLvl w:val="1"/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</w:pPr>
      <w:bookmarkStart w:id="8" w:name="_Toc4720"/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  <w:t>1）服务方面，仍以资源销售为核心，向服务驱动转型不充分</w:t>
      </w:r>
      <w:bookmarkEnd w:id="8"/>
    </w:p>
    <w:p w14:paraId="4447343F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30"/>
          <w:szCs w:val="30"/>
          <w:lang w:val="en-US" w:eastAsia="zh-CN"/>
        </w:rPr>
        <w:t>响应效率低。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流程冗余，内部流程繁琐，跨部门协作效率低，同时缺乏优先级管理，紧急工单未快速响应；另一方面技术支持不足，系统未实现自动化，缺乏实时监控和预警功能。</w:t>
      </w:r>
    </w:p>
    <w:p w14:paraId="04B6517A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服务效果差。一线服务团队培训不足，缺乏对专线业务复杂问题的解决能力，技术支持团队响应滞后，资源分配不合理（如人力不足，无法快速覆盖需求或偏远地区响应困难）；服务质量监控缺失，缺乏服务过程的数据追踪和闭环反馈机制，未设置服务质量考核指标，如首次修复率、到场准时率等。</w:t>
      </w:r>
    </w:p>
    <w:p w14:paraId="4ACC4470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专业能力差。专线技术知识更新滞后，服务人员对新技术的掌握不足，无法提供专业方案，故障判断及修复能力弱；行业洞察不足，未针对不同行业客户定制解决方案。</w:t>
      </w:r>
    </w:p>
    <w:p w14:paraId="6356A4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640" w:lineRule="exact"/>
        <w:ind w:firstLine="602" w:firstLineChars="200"/>
        <w:jc w:val="both"/>
        <w:textAlignment w:val="auto"/>
        <w:outlineLvl w:val="1"/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</w:pPr>
      <w:bookmarkStart w:id="9" w:name="_Toc10985"/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  <w:t>2)产品方面，仍以传统通信服务为核心，向数字化服务提供商转型不充分</w:t>
      </w:r>
      <w:bookmarkEnd w:id="9"/>
    </w:p>
    <w:p w14:paraId="496D76BE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产品稳定性弱。研发与测试环节薄弱，测试环境与真实场景脱节，未覆盖企业客户的复杂使用场景，且故障预警机制不健全，被动修复为主，缺乏主动监控（如未部署AI驱动的异常检测系统）；技术资源投入不足，研发团队对新技术的掌握不足或技术人员不足，导致产品技术迭代缓慢。</w:t>
      </w:r>
    </w:p>
    <w:p w14:paraId="67A58676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产品功能不足。需求管理不足，未深入调研企业客户实际业务场景（如制造业对低时延、高可靠网络的特殊需求），同时一线部门与研发团队协作断层，客户的反馈未有效转化为产品功能；产品规划不足，注重短期营收目标，忽视长期功能生态建设。</w:t>
      </w:r>
    </w:p>
    <w:p w14:paraId="145DD827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产品自助功能不完善。技术平台能力限制，专线自助服务平台功能单一（如仅支持账单查询，缺乏故障自诊断、带宽动态调整等高级功能）；另外，数据驱动能力薄弱，未利用客户使用数据优化自助服务（如未根据历史工单推荐专线方案）。</w:t>
      </w:r>
    </w:p>
    <w:p w14:paraId="7BA446DF">
      <w:pPr>
        <w:pStyle w:val="3"/>
        <w:keepNext/>
        <w:keepLines/>
        <w:numPr>
          <w:ilvl w:val="0"/>
          <w:numId w:val="5"/>
        </w:numPr>
        <w:bidi w:val="0"/>
        <w:spacing w:before="260" w:beforeLines="0" w:beforeAutospacing="0" w:after="260" w:afterLines="0" w:afterAutospacing="0" w:line="413" w:lineRule="auto"/>
        <w:ind w:left="1265" w:leftChars="0" w:hanging="425" w:firstLineChars="0"/>
        <w:jc w:val="both"/>
        <w:outlineLvl w:val="1"/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</w:pPr>
      <w:bookmarkStart w:id="10" w:name="_Toc27726"/>
      <w:r>
        <w:rPr>
          <w:rFonts w:hint="eastAsia" w:cs="宋体"/>
          <w:bCs w:val="0"/>
          <w:kern w:val="2"/>
          <w:sz w:val="30"/>
          <w:szCs w:val="30"/>
          <w:lang w:val="en-US" w:eastAsia="zh-CN" w:bidi="ar-SA"/>
        </w:rPr>
        <w:t>优化建议与策略：</w:t>
      </w:r>
      <w:r>
        <w:rPr>
          <w:rFonts w:hint="eastAsia" w:ascii="宋体" w:hAnsi="宋体" w:eastAsia="宋体" w:cs="宋体"/>
          <w:bCs w:val="0"/>
          <w:kern w:val="2"/>
          <w:sz w:val="30"/>
          <w:szCs w:val="30"/>
          <w:lang w:val="en-US" w:eastAsia="zh-CN" w:bidi="ar-SA"/>
        </w:rPr>
        <w:t>“流程优化+技术创新+知识储备”，提升政企专线客户服务满意度</w:t>
      </w:r>
      <w:bookmarkEnd w:id="10"/>
    </w:p>
    <w:p w14:paraId="3D86CC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640" w:lineRule="exact"/>
        <w:ind w:firstLine="602" w:firstLineChars="200"/>
        <w:jc w:val="both"/>
        <w:textAlignment w:val="auto"/>
        <w:outlineLvl w:val="1"/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</w:pPr>
      <w:bookmarkStart w:id="11" w:name="_Toc24354"/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  <w:t>1)优化流程机制</w:t>
      </w:r>
      <w:bookmarkEnd w:id="11"/>
    </w:p>
    <w:p w14:paraId="15781664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强化考核管理。搭建服务质量KPI体系，将专线业务故障按时修复率、产品等续约率纳入考核，激励长期价值导向。同时将客户NPS（净推荐值）、产品使用率纳入研发团队KPI。</w:t>
      </w:r>
    </w:p>
    <w:p w14:paraId="032A2E7F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升级SLA标准，增强服务承诺。构建差异化SLA等级，如钻石级为99.999%可用性，故障恢复时间≤15分钟，赔付标准为月费的200%；黄金级为</w:t>
      </w:r>
      <w:r>
        <w:rPr>
          <w:rFonts w:hint="default" w:ascii="宋体" w:hAnsi="宋体" w:eastAsia="宋体" w:cs="宋体"/>
          <w:sz w:val="30"/>
          <w:szCs w:val="30"/>
          <w:lang w:val="en-US" w:eastAsia="zh-CN"/>
        </w:rPr>
        <w:t>99.99%可用性，故障恢复时间≤1小时，赔付月费的100%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。同时每月向客户发送SLA达成率报告，使服务透明化，包含故障原因分析及改进措施，提升信任度。</w:t>
      </w:r>
    </w:p>
    <w:p w14:paraId="6D2D8F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640" w:lineRule="exact"/>
        <w:ind w:firstLine="602" w:firstLineChars="200"/>
        <w:jc w:val="both"/>
        <w:textAlignment w:val="auto"/>
        <w:outlineLvl w:val="1"/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</w:pPr>
      <w:bookmarkStart w:id="12" w:name="_Toc15303"/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  <w:t>2)融合技术创新</w:t>
      </w:r>
      <w:bookmarkEnd w:id="12"/>
    </w:p>
    <w:p w14:paraId="17B3D634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全流程数字化服务。开发政企专线自助服务平台，实现“在线下单-自动开通-实时监控”全流程数字化，提高政企专线业务线上服务能力。</w:t>
      </w:r>
    </w:p>
    <w:p w14:paraId="1E3CC3A4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引入AI能力。搭建智能化服</w:t>
      </w:r>
      <w:bookmarkStart w:id="14" w:name="_GoBack"/>
      <w:bookmarkEnd w:id="14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务平台，整合AI客服、预测性运维、产品资源展示等能力，为客户提供智能化服务。</w:t>
      </w:r>
    </w:p>
    <w:p w14:paraId="74059C12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融合云网能力，提供增值服务。构建“专线+云”一体化，将天翼云资源池与政企专线直连，推出“云专线”套餐，企业访问云服务的时延降低至5ms以内；叠加安全服务，捆绑销售专线与云防火墙、DDoS防护等安全服务。</w:t>
      </w:r>
    </w:p>
    <w:p w14:paraId="2D01489A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深入洞察客户业务需求，打造个性化产品。邀请行业代表性客户，围绕专线业务应用场景开展沟通，了解他们对现有产品的使用体验、痛点以及期望的功能改进，同时挖掘潜在需求，通过产品灵活配置、专属客服团队等为客户提供个性化服务，提升服务感知。</w:t>
      </w:r>
    </w:p>
    <w:p w14:paraId="3B7A46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640" w:lineRule="exact"/>
        <w:ind w:firstLine="602" w:firstLineChars="200"/>
        <w:jc w:val="both"/>
        <w:textAlignment w:val="auto"/>
        <w:outlineLvl w:val="1"/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</w:pPr>
      <w:bookmarkStart w:id="13" w:name="_Toc25248"/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 w:bidi="ar-SA"/>
        </w:rPr>
        <w:t>3)提高知识储备</w:t>
      </w:r>
      <w:bookmarkEnd w:id="13"/>
    </w:p>
    <w:p w14:paraId="5EFE7ECB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强化培训体系。建立政企专线业务分层培训体系，提升服务人员能力与专业性，按客户需求配置专属技术团队，从而提高客户满意度和产品的竞争力。</w:t>
      </w:r>
    </w:p>
    <w:p w14:paraId="25E0BB4F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结合AI能力，构建政企专线知识图谱。部署AI知识图谱，结合DeepSeek能力，实现智能推荐与自助问题解决。同时与厂商合作开展技术认证培训，建立内部知识库进一步训练模型能力。</w:t>
      </w:r>
    </w:p>
    <w:sectPr>
      <w:footerReference r:id="rId3" w:type="default"/>
      <w:pgSz w:w="11906" w:h="16838"/>
      <w:pgMar w:top="2098" w:right="1474" w:bottom="1984" w:left="1587" w:header="851" w:footer="141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9E78113-87E9-4937-9034-B9060C6CDE7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38953844-D53E-4B71-B6A5-A0F3F31444A0}"/>
  </w:font>
  <w:font w:name="华文楷体">
    <w:altName w:val="楷体_GB2312"/>
    <w:panose1 w:val="02010600040101010101"/>
    <w:charset w:val="86"/>
    <w:family w:val="auto"/>
    <w:pitch w:val="default"/>
    <w:sig w:usb0="00000000" w:usb1="00000000" w:usb2="00000000" w:usb3="00000000" w:csb0="0004009F" w:csb1="DFD70000"/>
    <w:embedRegular r:id="rId3" w:fontKey="{706E06D9-A9EB-43E7-960A-CEBC42620603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6A64AC0D-2EB0-4898-8216-CED5F2F5C23F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FF3C2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A1340C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A1340C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E24E4"/>
    <w:multiLevelType w:val="singleLevel"/>
    <w:tmpl w:val="9F1E24E4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C3846F42"/>
    <w:multiLevelType w:val="singleLevel"/>
    <w:tmpl w:val="C3846F42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>
    <w:nsid w:val="F96CE4FD"/>
    <w:multiLevelType w:val="singleLevel"/>
    <w:tmpl w:val="F96CE4F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1CAE9FFA"/>
    <w:multiLevelType w:val="singleLevel"/>
    <w:tmpl w:val="1CAE9FFA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">
    <w:nsid w:val="3FCF9732"/>
    <w:multiLevelType w:val="singleLevel"/>
    <w:tmpl w:val="3FCF9732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008D4EE8"/>
    <w:rsid w:val="02025C81"/>
    <w:rsid w:val="079C73C7"/>
    <w:rsid w:val="0A1F6B6C"/>
    <w:rsid w:val="0CFF78C8"/>
    <w:rsid w:val="0F60511A"/>
    <w:rsid w:val="14BD0E96"/>
    <w:rsid w:val="150B272D"/>
    <w:rsid w:val="150B46D4"/>
    <w:rsid w:val="186173E9"/>
    <w:rsid w:val="1D5327A2"/>
    <w:rsid w:val="1D9D47DB"/>
    <w:rsid w:val="1DE03523"/>
    <w:rsid w:val="1F2255B5"/>
    <w:rsid w:val="200E498A"/>
    <w:rsid w:val="20727512"/>
    <w:rsid w:val="215A128D"/>
    <w:rsid w:val="2B5441A0"/>
    <w:rsid w:val="2B967C97"/>
    <w:rsid w:val="2C0A4098"/>
    <w:rsid w:val="2D503A25"/>
    <w:rsid w:val="2EF32A07"/>
    <w:rsid w:val="30855154"/>
    <w:rsid w:val="30E63E22"/>
    <w:rsid w:val="332B3F69"/>
    <w:rsid w:val="333A161F"/>
    <w:rsid w:val="35AA5F26"/>
    <w:rsid w:val="417346E2"/>
    <w:rsid w:val="462F2D51"/>
    <w:rsid w:val="496E39A0"/>
    <w:rsid w:val="4B201B80"/>
    <w:rsid w:val="4CF1473C"/>
    <w:rsid w:val="512E3C8B"/>
    <w:rsid w:val="539F6DBD"/>
    <w:rsid w:val="58A7679B"/>
    <w:rsid w:val="5A8B6324"/>
    <w:rsid w:val="5BC23F1C"/>
    <w:rsid w:val="5F811138"/>
    <w:rsid w:val="61DA55B7"/>
    <w:rsid w:val="6A4F15F3"/>
    <w:rsid w:val="6F9735B6"/>
    <w:rsid w:val="71FF3EDE"/>
    <w:rsid w:val="7C00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FollowedHyperlink"/>
    <w:basedOn w:val="17"/>
    <w:qFormat/>
    <w:uiPriority w:val="0"/>
    <w:rPr>
      <w:color w:val="800080"/>
      <w:u w:val="single"/>
    </w:rPr>
  </w:style>
  <w:style w:type="character" w:styleId="20">
    <w:name w:val="Emphasis"/>
    <w:basedOn w:val="17"/>
    <w:qFormat/>
    <w:uiPriority w:val="0"/>
    <w:rPr>
      <w:i/>
    </w:rPr>
  </w:style>
  <w:style w:type="character" w:styleId="21">
    <w:name w:val="Hyperlink"/>
    <w:basedOn w:val="17"/>
    <w:qFormat/>
    <w:uiPriority w:val="0"/>
    <w:rPr>
      <w:color w:val="0000FF"/>
      <w:u w:val="single"/>
    </w:rPr>
  </w:style>
  <w:style w:type="character" w:styleId="22">
    <w:name w:val="footnote reference"/>
    <w:basedOn w:val="17"/>
    <w:qFormat/>
    <w:uiPriority w:val="0"/>
    <w:rPr>
      <w:vertAlign w:val="superscript"/>
    </w:rPr>
  </w:style>
  <w:style w:type="paragraph" w:customStyle="1" w:styleId="23">
    <w:name w:val="仿宋正文"/>
    <w:qFormat/>
    <w:uiPriority w:val="0"/>
    <w:pPr>
      <w:spacing w:line="576" w:lineRule="exact"/>
      <w:ind w:firstLine="200" w:firstLineChars="200"/>
      <w:jc w:val="both"/>
    </w:pPr>
    <w:rPr>
      <w:rFonts w:ascii="仿宋_GB2312" w:hAnsi="仿宋_GB2312" w:eastAsia="仿宋_GB2312" w:cs="仿宋_GB2312"/>
      <w:bCs/>
      <w:kern w:val="44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2685</Words>
  <Characters>2788</Characters>
  <Lines>0</Lines>
  <Paragraphs>0</Paragraphs>
  <TotalTime>33</TotalTime>
  <ScaleCrop>false</ScaleCrop>
  <LinksUpToDate>false</LinksUpToDate>
  <CharactersWithSpaces>2788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2024-11-10T02:32:00Z</dcterms:created>
  <dc:creator>huawei</dc:creator>
  <cp:lastModifiedBy>无聊的咸菜</cp:lastModifiedBy>
  <dcterms:modified xsi:type="dcterms:W3CDTF">2025-05-20T08:58:47Z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BEF2C3370200489CA8FCF46A225E2D65_13</vt:lpwstr>
  </property>
  <property fmtid="{D5CDD505-2E9C-101B-9397-08002B2CF9AE}" pid="4" name="KSOTemplateDocerSaveRecord">
    <vt:lpwstr>eyJoZGlkIjoiM2QzYjc0ZjRiYTI1MWRhZGVlZjdkYWVhYTEwOWQzZWIiLCJ1c2VySWQiOiIyNzQ4NDk3MzEifQ==</vt:lpwstr>
  </property>
</Properties>
</file>