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37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锻造成长基因：卫宁健康产品能力体系</w:t>
      </w:r>
    </w:p>
    <w:p>
      <w:pPr>
        <w:ind w:left="1971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演进路径及其启示借鉴</w:t>
      </w:r>
    </w:p>
    <w:p>
      <w:pPr>
        <w:ind w:left="2557"/>
        <w:spacing w:before="332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廖文凯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李泰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李国钦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3" w:right="12" w:firstLine="605"/>
        <w:spacing w:before="97" w:line="331" w:lineRule="auto"/>
        <w:jc w:val="both"/>
        <w:rPr/>
      </w:pPr>
      <w:r>
        <w:rPr>
          <w:spacing w:val="-3"/>
        </w:rPr>
        <w:t>卫宁健康作为我国医疗信息化行业龙头企业，自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2011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3"/>
        </w:rPr>
        <w:t>年上</w:t>
      </w:r>
      <w:r>
        <w:rPr>
          <w:spacing w:val="-4"/>
        </w:rPr>
        <w:t>市以来，完成产品能力体系的三次迭代升级，实现由传</w:t>
      </w:r>
      <w:r>
        <w:rPr>
          <w:spacing w:val="-5"/>
        </w:rPr>
        <w:t>统软件开</w:t>
      </w:r>
      <w:r>
        <w:rPr>
          <w:spacing w:val="4"/>
        </w:rPr>
        <w:t>发企业向综合数字化医疗服务企业的转变，在</w:t>
      </w:r>
      <w:r>
        <w:rPr>
          <w:spacing w:val="3"/>
        </w:rPr>
        <w:t>医疗卫生信息化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-5"/>
        </w:rPr>
        <w:t>数字化领域持续保持市场领先。</w:t>
      </w:r>
      <w:r>
        <w:rPr>
          <w:rFonts w:ascii="Times New Roman" w:hAnsi="Times New Roman" w:eastAsia="Times New Roman" w:cs="Times New Roman"/>
          <w:spacing w:val="-5"/>
        </w:rPr>
        <w:t>IDC2022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5"/>
        </w:rPr>
        <w:t>年发布的《中国医院核</w:t>
      </w:r>
      <w:r>
        <w:rPr>
          <w:spacing w:val="-9"/>
        </w:rPr>
        <w:t>心管理系统市场份额，</w:t>
      </w:r>
      <w:r>
        <w:rPr>
          <w:rFonts w:ascii="Times New Roman" w:hAnsi="Times New Roman" w:eastAsia="Times New Roman" w:cs="Times New Roman"/>
          <w:spacing w:val="-9"/>
        </w:rPr>
        <w:t>2021</w:t>
      </w:r>
      <w:r>
        <w:rPr>
          <w:spacing w:val="-9"/>
        </w:rPr>
        <w:t>：支持医疗数字化转型》显示，</w:t>
      </w:r>
      <w:r>
        <w:rPr>
          <w:spacing w:val="-9"/>
        </w:rPr>
        <w:t xml:space="preserve"> </w:t>
      </w:r>
      <w:r>
        <w:rPr>
          <w:spacing w:val="-9"/>
        </w:rPr>
        <w:t>卫宁</w:t>
      </w:r>
      <w:r>
        <w:rPr>
          <w:spacing w:val="7"/>
        </w:rPr>
        <w:t>健康连续两年在中国医院核心管理系统市场份额排名中位</w:t>
      </w:r>
      <w:r>
        <w:rPr>
          <w:spacing w:val="6"/>
        </w:rPr>
        <w:t>列第</w:t>
      </w:r>
      <w:r>
        <w:rPr>
          <w:spacing w:val="-3"/>
        </w:rPr>
        <w:t>一。卫宁健康服务各类医疗卫生机构用户达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6000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3"/>
        </w:rPr>
        <w:t>余家，用户遍</w:t>
      </w:r>
      <w:r>
        <w:rPr>
          <w:spacing w:val="-2"/>
        </w:rPr>
        <w:t>布全国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32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2"/>
        </w:rPr>
        <w:t>个省市自治区及特别行政区，是同行业客户覆盖最广</w:t>
      </w:r>
      <w:r>
        <w:rPr>
          <w:spacing w:val="-4"/>
        </w:rPr>
        <w:t>的公司之一。</w:t>
      </w:r>
    </w:p>
    <w:p>
      <w:pPr>
        <w:pStyle w:val="BodyText"/>
        <w:ind w:left="2" w:right="13" w:firstLine="632"/>
        <w:spacing w:before="292" w:line="333" w:lineRule="auto"/>
        <w:jc w:val="both"/>
        <w:rPr/>
      </w:pPr>
      <w:r>
        <w:rPr>
          <w:spacing w:val="7"/>
        </w:rPr>
        <w:t>本文梳理了卫宁健康产品能力体系演进基本历程，并基于</w:t>
      </w:r>
      <w:r>
        <w:rPr>
          <w:spacing w:val="-1"/>
        </w:rPr>
        <w:t>“技术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产品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市场</w:t>
      </w:r>
      <w:r>
        <w:rPr>
          <w:spacing w:val="-104"/>
        </w:rPr>
        <w:t xml:space="preserve"> </w:t>
      </w:r>
      <w:r>
        <w:rPr>
          <w:spacing w:val="-1"/>
        </w:rPr>
        <w:t>”分析框架，对卫宁健康产品能力体系建设路</w:t>
      </w:r>
      <w:r>
        <w:rPr>
          <w:spacing w:val="-3"/>
        </w:rPr>
        <w:t>径和经验进行了总结，以期为中国电信打造优质数字化平台</w:t>
      </w:r>
      <w:r>
        <w:rPr>
          <w:spacing w:val="-4"/>
        </w:rPr>
        <w:t>、提</w:t>
      </w:r>
      <w:r>
        <w:rPr>
          <w:spacing w:val="-2"/>
        </w:rPr>
        <w:t>升行业数字化供给能力提供借鉴参考。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一、卫宁健康产品能力体系演进发展历程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5" w:right="13" w:firstLine="650"/>
        <w:spacing w:before="98" w:line="32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自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2011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年上市以来，卫宁健康实现了三次产品能力体系的</w:t>
      </w:r>
      <w:r>
        <w:rPr>
          <w:rFonts w:ascii="SimSun" w:hAnsi="SimSun" w:eastAsia="SimSun" w:cs="SimSun"/>
          <w:sz w:val="30"/>
          <w:szCs w:val="30"/>
          <w:spacing w:val="-13"/>
        </w:rPr>
        <w:t>迭代升级：</w:t>
      </w:r>
    </w:p>
    <w:p>
      <w:pPr>
        <w:ind w:left="39" w:right="15" w:firstLine="597"/>
        <w:spacing w:before="303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．第一次迭代升级（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2011~2014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b/>
          <w:bCs/>
          <w:spacing w:val="-26"/>
        </w:rPr>
        <w:t>）：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网络化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与产品线拓展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阶段</w:t>
      </w:r>
    </w:p>
    <w:p>
      <w:pPr>
        <w:spacing w:line="277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3" w:firstLine="601"/>
        <w:spacing w:before="179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适应网络化发展趋势，卫宁健康持续巩固壮大医院信</w:t>
      </w:r>
      <w:r>
        <w:rPr>
          <w:rFonts w:ascii="SimSun" w:hAnsi="SimSun" w:eastAsia="SimSun" w:cs="SimSun"/>
          <w:sz w:val="30"/>
          <w:szCs w:val="30"/>
          <w:spacing w:val="-5"/>
        </w:rPr>
        <w:t>息管理</w:t>
      </w:r>
      <w:r>
        <w:rPr>
          <w:rFonts w:ascii="SimSun" w:hAnsi="SimSun" w:eastAsia="SimSun" w:cs="SimSun"/>
          <w:sz w:val="30"/>
          <w:szCs w:val="30"/>
          <w:spacing w:val="-4"/>
        </w:rPr>
        <w:t>系统和医技信息管理系统产品线优势，丰富和完善公共卫生信息</w:t>
      </w:r>
      <w:r>
        <w:rPr>
          <w:rFonts w:ascii="SimSun" w:hAnsi="SimSun" w:eastAsia="SimSun" w:cs="SimSun"/>
          <w:sz w:val="30"/>
          <w:szCs w:val="30"/>
          <w:spacing w:val="-8"/>
        </w:rPr>
        <w:t>管理系统产品线，主要产品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PACS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LIMS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MISS</w:t>
      </w:r>
      <w:r>
        <w:rPr>
          <w:rFonts w:ascii="SimSun" w:hAnsi="SimSun" w:eastAsia="SimSun" w:cs="SimSun"/>
          <w:sz w:val="30"/>
          <w:szCs w:val="30"/>
          <w:spacing w:val="-8"/>
        </w:rPr>
        <w:t>、医院、移动医</w:t>
      </w:r>
      <w:r>
        <w:rPr>
          <w:rFonts w:ascii="SimSun" w:hAnsi="SimSun" w:eastAsia="SimSun" w:cs="SimSun"/>
          <w:sz w:val="30"/>
          <w:szCs w:val="30"/>
          <w:spacing w:val="-4"/>
        </w:rPr>
        <w:t>疗信息系统都得到全面完善和提升，启动智慧医疗信息系统一期</w:t>
      </w:r>
      <w:r>
        <w:rPr>
          <w:rFonts w:ascii="SimSun" w:hAnsi="SimSun" w:eastAsia="SimSun" w:cs="SimSun"/>
          <w:sz w:val="30"/>
          <w:szCs w:val="30"/>
          <w:spacing w:val="-4"/>
        </w:rPr>
        <w:t>工程，建设智慧医疗基础平台，发布智慧医疗信息平台、卫宁医</w:t>
      </w:r>
      <w:r>
        <w:rPr>
          <w:rFonts w:ascii="SimSun" w:hAnsi="SimSun" w:eastAsia="SimSun" w:cs="SimSun"/>
          <w:sz w:val="30"/>
          <w:szCs w:val="30"/>
          <w:spacing w:val="-4"/>
        </w:rPr>
        <w:t>院信息平台、血透信息管理、绩效考核系统、医讯通、优生优育</w:t>
      </w:r>
      <w:r>
        <w:rPr>
          <w:rFonts w:ascii="SimSun" w:hAnsi="SimSun" w:eastAsia="SimSun" w:cs="SimSun"/>
          <w:sz w:val="30"/>
          <w:szCs w:val="30"/>
          <w:spacing w:val="-4"/>
        </w:rPr>
        <w:t>健康服务平台等多个新产品，并推动公共卫生信息管理系统逐步</w:t>
      </w:r>
      <w:r>
        <w:rPr>
          <w:rFonts w:ascii="SimSun" w:hAnsi="SimSun" w:eastAsia="SimSun" w:cs="SimSun"/>
          <w:sz w:val="30"/>
          <w:szCs w:val="30"/>
          <w:spacing w:val="-4"/>
        </w:rPr>
        <w:t>覆盖医疗机构、公共卫生、社区卫生等医疗卫生机构，实现由医</w:t>
      </w:r>
      <w:r>
        <w:rPr>
          <w:rFonts w:ascii="SimSun" w:hAnsi="SimSun" w:eastAsia="SimSun" w:cs="SimSun"/>
          <w:sz w:val="30"/>
          <w:szCs w:val="30"/>
          <w:spacing w:val="-2"/>
        </w:rPr>
        <w:t>疗卫生软件开发商向提供医疗行业整体解决方案商转型。</w:t>
      </w:r>
    </w:p>
    <w:p>
      <w:pPr>
        <w:ind w:left="27" w:right="14" w:firstLine="596"/>
        <w:spacing w:before="273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．第二次迭代升级（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2015~2019 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年</w:t>
      </w:r>
      <w:r>
        <w:rPr>
          <w:rFonts w:ascii="SimSun" w:hAnsi="SimSun" w:eastAsia="SimSun" w:cs="SimSun"/>
          <w:sz w:val="30"/>
          <w:szCs w:val="30"/>
          <w:b/>
          <w:bCs/>
          <w:spacing w:val="-77"/>
          <w:w w:val="95"/>
        </w:rPr>
        <w:t>）：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云化与“互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联网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0"/>
        </w:rPr>
        <w:t>+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”阶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段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19" w:right="13" w:firstLine="613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实施“双轮驱动</w:t>
      </w:r>
      <w:r>
        <w:rPr>
          <w:rFonts w:ascii="SimSun" w:hAnsi="SimSun" w:eastAsia="SimSun" w:cs="SimSun"/>
          <w:sz w:val="30"/>
          <w:szCs w:val="30"/>
          <w:spacing w:val="-10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”战略，在快速发展传统医疗卫生信息化业</w:t>
      </w:r>
      <w:r>
        <w:rPr>
          <w:rFonts w:ascii="SimSun" w:hAnsi="SimSun" w:eastAsia="SimSun" w:cs="SimSun"/>
          <w:sz w:val="30"/>
          <w:szCs w:val="30"/>
          <w:spacing w:val="-5"/>
        </w:rPr>
        <w:t>务的同时，积极布局互联网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健康服务业务，推动互联网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模式下</w:t>
      </w:r>
      <w:r>
        <w:rPr>
          <w:rFonts w:ascii="SimSun" w:hAnsi="SimSun" w:eastAsia="SimSun" w:cs="SimSun"/>
          <w:sz w:val="30"/>
          <w:szCs w:val="30"/>
          <w:spacing w:val="-4"/>
        </w:rPr>
        <w:t>的医疗健康云服务发展，助力医院适应复杂多变的应用需求和业</w:t>
      </w:r>
      <w:r>
        <w:rPr>
          <w:rFonts w:ascii="SimSun" w:hAnsi="SimSun" w:eastAsia="SimSun" w:cs="SimSun"/>
          <w:sz w:val="30"/>
          <w:szCs w:val="30"/>
          <w:spacing w:val="-4"/>
        </w:rPr>
        <w:t>务场景，初步构建了线上线下融合、云端协同、开放互联的医疗</w:t>
      </w:r>
      <w:r>
        <w:rPr>
          <w:rFonts w:ascii="SimSun" w:hAnsi="SimSun" w:eastAsia="SimSun" w:cs="SimSun"/>
          <w:sz w:val="30"/>
          <w:szCs w:val="30"/>
          <w:spacing w:val="-10"/>
        </w:rPr>
        <w:t>服务生态。明确“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4+1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”产品体系布局（</w:t>
      </w:r>
      <w:r>
        <w:rPr>
          <w:rFonts w:ascii="SimSun" w:hAnsi="SimSun" w:eastAsia="SimSun" w:cs="SimSun"/>
          <w:sz w:val="30"/>
          <w:szCs w:val="30"/>
          <w:spacing w:val="-11"/>
        </w:rPr>
        <w:t>云医、云康、云险、云药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+</w:t>
      </w:r>
      <w:r>
        <w:rPr>
          <w:rFonts w:ascii="SimSun" w:hAnsi="SimSun" w:eastAsia="SimSun" w:cs="SimSun"/>
          <w:sz w:val="30"/>
          <w:szCs w:val="30"/>
          <w:spacing w:val="-10"/>
        </w:rPr>
        <w:t>创新服务平台</w:t>
      </w:r>
      <w:r>
        <w:rPr>
          <w:rFonts w:ascii="SimSun" w:hAnsi="SimSun" w:eastAsia="SimSun" w:cs="SimSun"/>
          <w:sz w:val="30"/>
          <w:szCs w:val="30"/>
          <w:spacing w:val="-1"/>
        </w:rPr>
        <w:t>），</w:t>
      </w:r>
      <w:r>
        <w:rPr>
          <w:rFonts w:ascii="SimSun" w:hAnsi="SimSun" w:eastAsia="SimSun" w:cs="SimSun"/>
          <w:sz w:val="30"/>
          <w:szCs w:val="30"/>
          <w:spacing w:val="-10"/>
        </w:rPr>
        <w:t>协同推进网络医院、健康管理、药品服务、医</w:t>
      </w:r>
      <w:r>
        <w:rPr>
          <w:rFonts w:ascii="SimSun" w:hAnsi="SimSun" w:eastAsia="SimSun" w:cs="SimSun"/>
          <w:sz w:val="30"/>
          <w:szCs w:val="30"/>
          <w:spacing w:val="-4"/>
        </w:rPr>
        <w:t>保控费新型子行业拓展，形成医疗、医药、健康、保险四维一体</w:t>
      </w:r>
      <w:r>
        <w:rPr>
          <w:rFonts w:ascii="SimSun" w:hAnsi="SimSun" w:eastAsia="SimSun" w:cs="SimSun"/>
          <w:sz w:val="30"/>
          <w:szCs w:val="30"/>
          <w:spacing w:val="-4"/>
        </w:rPr>
        <w:t>的新一代医疗健康信息服务体系，支撑医、药、险等资源在数字</w:t>
      </w:r>
      <w:r>
        <w:rPr>
          <w:rFonts w:ascii="SimSun" w:hAnsi="SimSun" w:eastAsia="SimSun" w:cs="SimSun"/>
          <w:sz w:val="30"/>
          <w:szCs w:val="30"/>
          <w:spacing w:val="-3"/>
        </w:rPr>
        <w:t>空间交融，赋能医疗健康全生态。</w:t>
      </w:r>
    </w:p>
    <w:p>
      <w:pPr>
        <w:spacing w:line="332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ind w:firstLine="298"/>
        <w:spacing w:line="2926" w:lineRule="exact"/>
        <w:rPr/>
      </w:pPr>
      <w:r>
        <w:rPr>
          <w:position w:val="-58"/>
        </w:rPr>
        <w:drawing>
          <wp:inline distT="0" distB="0" distL="0" distR="0">
            <wp:extent cx="4860669" cy="185786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0669" cy="185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5603"/>
        <w:spacing w:before="68" w:line="21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数据来源：根据公开数据梳理</w:t>
      </w:r>
    </w:p>
    <w:p>
      <w:pPr>
        <w:ind w:left="1466"/>
        <w:spacing w:before="261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    </w:t>
      </w:r>
      <w:r>
        <w:rPr>
          <w:rFonts w:ascii="KaiTi" w:hAnsi="KaiTi" w:eastAsia="KaiTi" w:cs="KaiTi"/>
          <w:sz w:val="30"/>
          <w:szCs w:val="30"/>
          <w:spacing w:val="-6"/>
        </w:rPr>
        <w:t>卫宁健康“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4+1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”产品能力体系布局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39" w:right="79" w:firstLine="582"/>
        <w:spacing w:before="98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．第三次迭代升级（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2020~2022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b/>
          <w:bCs/>
          <w:spacing w:val="-20"/>
        </w:rPr>
        <w:t>）：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中台化与数字化服务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阶段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20" w:firstLine="610"/>
        <w:spacing w:before="97" w:line="33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打造新一代智能数字化医疗健康科技产品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WiNEX</w:t>
      </w:r>
      <w:r>
        <w:rPr>
          <w:rFonts w:ascii="SimSun" w:hAnsi="SimSun" w:eastAsia="SimSun" w:cs="SimSun"/>
          <w:sz w:val="30"/>
          <w:szCs w:val="30"/>
          <w:spacing w:val="-2"/>
        </w:rPr>
        <w:t>，基于中</w:t>
      </w:r>
      <w:r>
        <w:rPr>
          <w:rFonts w:ascii="SimSun" w:hAnsi="SimSun" w:eastAsia="SimSun" w:cs="SimSun"/>
          <w:sz w:val="30"/>
          <w:szCs w:val="30"/>
          <w:spacing w:val="-5"/>
        </w:rPr>
        <w:t>台思想，构建“高内聚、低耦合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”微服务体系，形成知识</w:t>
      </w:r>
      <w:r>
        <w:rPr>
          <w:rFonts w:ascii="SimSun" w:hAnsi="SimSun" w:eastAsia="SimSun" w:cs="SimSun"/>
          <w:sz w:val="30"/>
          <w:szCs w:val="30"/>
          <w:spacing w:val="-6"/>
        </w:rPr>
        <w:t>驱动型</w:t>
      </w:r>
      <w:r>
        <w:rPr>
          <w:rFonts w:ascii="SimSun" w:hAnsi="SimSun" w:eastAsia="SimSun" w:cs="SimSun"/>
          <w:sz w:val="30"/>
          <w:szCs w:val="30"/>
          <w:spacing w:val="5"/>
        </w:rPr>
        <w:t>数据服务闭环，实现医疗信息化向医疗数字化服务模式跃升。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 </w:t>
      </w:r>
      <w:r>
        <w:rPr>
          <w:rFonts w:ascii="SimSun" w:hAnsi="SimSun" w:eastAsia="SimSun" w:cs="SimSun"/>
          <w:sz w:val="30"/>
          <w:szCs w:val="30"/>
          <w:spacing w:val="-7"/>
        </w:rPr>
        <w:t>年初，卫宁健康正式将“双轮驱动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”战略升级为“</w:t>
      </w:r>
      <w:r>
        <w:rPr>
          <w:rFonts w:ascii="SimSun" w:hAnsi="SimSun" w:eastAsia="SimSun" w:cs="SimSun"/>
          <w:sz w:val="30"/>
          <w:szCs w:val="30"/>
          <w:spacing w:val="-1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1+X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”战</w:t>
      </w:r>
      <w:r>
        <w:rPr>
          <w:rFonts w:ascii="SimSun" w:hAnsi="SimSun" w:eastAsia="SimSun" w:cs="SimSun"/>
          <w:sz w:val="30"/>
          <w:szCs w:val="30"/>
          <w:spacing w:val="-5"/>
        </w:rPr>
        <w:t>略，同时继续深化“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4+1</w:t>
      </w:r>
      <w:r>
        <w:rPr>
          <w:rFonts w:ascii="SimSun" w:hAnsi="SimSun" w:eastAsia="SimSun" w:cs="SimSun"/>
          <w:sz w:val="30"/>
          <w:szCs w:val="30"/>
          <w:spacing w:val="-5"/>
        </w:rPr>
        <w:t>”产品体系布局。“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</w:t>
      </w:r>
      <w:r>
        <w:rPr>
          <w:rFonts w:ascii="SimSun" w:hAnsi="SimSun" w:eastAsia="SimSun" w:cs="SimSun"/>
          <w:sz w:val="30"/>
          <w:szCs w:val="30"/>
          <w:spacing w:val="-6"/>
        </w:rPr>
        <w:t>是基于统一中台</w:t>
      </w:r>
      <w:r>
        <w:rPr>
          <w:rFonts w:ascii="SimSun" w:hAnsi="SimSun" w:eastAsia="SimSun" w:cs="SimSun"/>
          <w:sz w:val="30"/>
          <w:szCs w:val="30"/>
          <w:spacing w:val="-6"/>
        </w:rPr>
        <w:t>的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WiNEX  </w:t>
      </w:r>
      <w:r>
        <w:rPr>
          <w:rFonts w:ascii="SimSun" w:hAnsi="SimSun" w:eastAsia="SimSun" w:cs="SimSun"/>
          <w:sz w:val="30"/>
          <w:szCs w:val="30"/>
          <w:spacing w:val="-6"/>
        </w:rPr>
        <w:t>系列产品，实现医疗卫生服务资源数字化；依托开放</w:t>
      </w:r>
      <w:r>
        <w:rPr>
          <w:rFonts w:ascii="SimSun" w:hAnsi="SimSun" w:eastAsia="SimSun" w:cs="SimSun"/>
          <w:sz w:val="30"/>
          <w:szCs w:val="30"/>
          <w:spacing w:val="-12"/>
        </w:rPr>
        <w:t>互联的卫宁数字健康平台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WinDHP</w:t>
      </w:r>
      <w:r>
        <w:rPr>
          <w:rFonts w:ascii="SimSun" w:hAnsi="SimSun" w:eastAsia="SimSun" w:cs="SimSun"/>
          <w:sz w:val="30"/>
          <w:szCs w:val="30"/>
          <w:spacing w:val="-12"/>
        </w:rPr>
        <w:t>，构建行业数字基</w:t>
      </w:r>
      <w:r>
        <w:rPr>
          <w:rFonts w:ascii="SimSun" w:hAnsi="SimSun" w:eastAsia="SimSun" w:cs="SimSun"/>
          <w:sz w:val="30"/>
          <w:szCs w:val="30"/>
          <w:spacing w:val="-13"/>
        </w:rPr>
        <w:t>座“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+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”，汇</w:t>
      </w:r>
      <w:r>
        <w:rPr>
          <w:rFonts w:ascii="SimSun" w:hAnsi="SimSun" w:eastAsia="SimSun" w:cs="SimSun"/>
          <w:sz w:val="30"/>
          <w:szCs w:val="30"/>
          <w:spacing w:val="-4"/>
        </w:rPr>
        <w:t>聚数字化医药健险各方能力；通过能力交换兑现价值，在数字空</w:t>
      </w:r>
      <w:r>
        <w:rPr>
          <w:rFonts w:ascii="SimSun" w:hAnsi="SimSun" w:eastAsia="SimSun" w:cs="SimSun"/>
          <w:sz w:val="30"/>
          <w:szCs w:val="30"/>
          <w:spacing w:val="-4"/>
        </w:rPr>
        <w:t>间构建出数字化产品、数据服务创新、互联网医院、医药险联动</w:t>
      </w:r>
      <w:r>
        <w:rPr>
          <w:rFonts w:ascii="SimSun" w:hAnsi="SimSun" w:eastAsia="SimSun" w:cs="SimSun"/>
          <w:sz w:val="30"/>
          <w:szCs w:val="30"/>
          <w:spacing w:val="-2"/>
        </w:rPr>
        <w:t>等“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”个数字健康应用场景，充分释放医疗机构能力，持续丰</w:t>
      </w:r>
      <w:r>
        <w:rPr>
          <w:rFonts w:ascii="SimSun" w:hAnsi="SimSun" w:eastAsia="SimSun" w:cs="SimSun"/>
          <w:sz w:val="30"/>
          <w:szCs w:val="30"/>
          <w:spacing w:val="-1"/>
        </w:rPr>
        <w:t>富医疗数字化生态。借助中台等新兴技术推动新一代产品发展，</w:t>
      </w:r>
      <w:r>
        <w:rPr>
          <w:rFonts w:ascii="SimSun" w:hAnsi="SimSun" w:eastAsia="SimSun" w:cs="SimSun"/>
          <w:sz w:val="30"/>
          <w:szCs w:val="30"/>
          <w:spacing w:val="-3"/>
        </w:rPr>
        <w:t>加快推进新型智慧医院、区域基层医疗云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SaaS  </w:t>
      </w:r>
      <w:r>
        <w:rPr>
          <w:rFonts w:ascii="SimSun" w:hAnsi="SimSun" w:eastAsia="SimSun" w:cs="SimSun"/>
          <w:sz w:val="30"/>
          <w:szCs w:val="30"/>
          <w:spacing w:val="-4"/>
        </w:rPr>
        <w:t>服务模式、基层</w:t>
      </w:r>
      <w:r>
        <w:rPr>
          <w:rFonts w:ascii="SimSun" w:hAnsi="SimSun" w:eastAsia="SimSun" w:cs="SimSun"/>
          <w:sz w:val="30"/>
          <w:szCs w:val="30"/>
          <w:spacing w:val="-4"/>
        </w:rPr>
        <w:t>医疗数字化建设，促进传统医疗信息化产品云化转型与完善，实</w:t>
      </w:r>
      <w:r>
        <w:rPr>
          <w:rFonts w:ascii="SimSun" w:hAnsi="SimSun" w:eastAsia="SimSun" w:cs="SimSun"/>
          <w:sz w:val="30"/>
          <w:szCs w:val="30"/>
          <w:spacing w:val="-4"/>
        </w:rPr>
        <w:t>现公司产品服务体系双态并进。</w:t>
      </w:r>
    </w:p>
    <w:p>
      <w:pPr>
        <w:spacing w:line="332" w:lineRule="auto"/>
        <w:sectPr>
          <w:pgSz w:w="11907" w:h="16839"/>
          <w:pgMar w:top="1431" w:right="171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14"/>
        <w:spacing w:before="30" w:line="4325" w:lineRule="exact"/>
        <w:rPr/>
      </w:pPr>
      <w:r>
        <w:rPr>
          <w:position w:val="-86"/>
        </w:rPr>
        <w:drawing>
          <wp:inline distT="0" distB="0" distL="0" distR="0">
            <wp:extent cx="5274563" cy="27462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74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23"/>
        <w:spacing w:before="151" w:line="21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数据来源：卫宁健康官网</w:t>
      </w:r>
    </w:p>
    <w:p>
      <w:pPr>
        <w:ind w:left="1812"/>
        <w:spacing w:before="261" w:line="23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    </w:t>
      </w:r>
      <w:r>
        <w:rPr>
          <w:rFonts w:ascii="KaiTi" w:hAnsi="KaiTi" w:eastAsia="KaiTi" w:cs="KaiTi"/>
          <w:sz w:val="30"/>
          <w:szCs w:val="30"/>
          <w:spacing w:val="-7"/>
        </w:rPr>
        <w:t>卫宁健康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WiNEX</w:t>
      </w:r>
      <w:r>
        <w:rPr>
          <w:rFonts w:ascii="KaiTi" w:hAnsi="KaiTi" w:eastAsia="KaiTi" w:cs="KaiTi"/>
          <w:sz w:val="30"/>
          <w:szCs w:val="30"/>
          <w:spacing w:val="-7"/>
        </w:rPr>
        <w:t>“</w:t>
      </w:r>
      <w:r>
        <w:rPr>
          <w:rFonts w:ascii="KaiTi" w:hAnsi="KaiTi" w:eastAsia="KaiTi" w:cs="KaiTi"/>
          <w:sz w:val="30"/>
          <w:szCs w:val="30"/>
          <w:spacing w:val="-1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1+X</w:t>
      </w:r>
      <w:r>
        <w:rPr>
          <w:rFonts w:ascii="Times New Roman" w:hAnsi="Times New Roman" w:eastAsia="Times New Roman" w:cs="Times New Roman"/>
          <w:sz w:val="30"/>
          <w:szCs w:val="30"/>
          <w:spacing w:val="-3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”架构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二、卫宁健康产品能力演进路径及基本经验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（一）卫宁健康产品能力体系演进路径诠释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9" w:firstLine="598"/>
        <w:spacing w:before="98" w:line="339" w:lineRule="auto"/>
        <w:tabs>
          <w:tab w:val="left" w:pos="8620"/>
        </w:tabs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卫宁健康产品能力体系的三次迭代形成对“技术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-</w:t>
      </w:r>
      <w:r>
        <w:rPr>
          <w:rFonts w:ascii="SimSun" w:hAnsi="SimSun" w:eastAsia="SimSun" w:cs="SimSun"/>
          <w:sz w:val="30"/>
          <w:szCs w:val="30"/>
          <w:spacing w:val="-2"/>
        </w:rPr>
        <w:t>产品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-</w:t>
      </w:r>
      <w:r>
        <w:rPr>
          <w:rFonts w:ascii="SimSun" w:hAnsi="SimSun" w:eastAsia="SimSun" w:cs="SimSun"/>
          <w:sz w:val="30"/>
          <w:szCs w:val="30"/>
          <w:spacing w:val="-2"/>
        </w:rPr>
        <w:t>需求</w:t>
      </w:r>
      <w:r>
        <w:rPr>
          <w:rFonts w:ascii="SimSun" w:hAnsi="SimSun" w:eastAsia="SimSun" w:cs="SimSun"/>
          <w:sz w:val="30"/>
          <w:szCs w:val="30"/>
          <w:spacing w:val="-10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4"/>
        </w:rPr>
        <w:t>分析框架的有力诠释，亦即产品能力体系的持续演进依赖于企业</w:t>
      </w: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组织对市场需求变化和技术发展趋势的准确把握与有效应对（如</w:t>
      </w: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2"/>
        </w:rPr>
        <w:t>图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>3</w:t>
      </w:r>
      <w:r>
        <w:rPr>
          <w:rFonts w:ascii="SimSun" w:hAnsi="SimSun" w:eastAsia="SimSun" w:cs="SimSun"/>
          <w:sz w:val="30"/>
          <w:szCs w:val="30"/>
          <w:spacing w:val="-32"/>
        </w:rPr>
        <w:t>）。</w:t>
      </w:r>
    </w:p>
    <w:p>
      <w:pPr>
        <w:ind w:left="26" w:right="296" w:firstLine="602"/>
        <w:spacing w:before="241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就技术趋势而言，过去十年，互联网（移动互联网）、云计</w:t>
      </w:r>
      <w:r>
        <w:rPr>
          <w:rFonts w:ascii="SimSun" w:hAnsi="SimSun" w:eastAsia="SimSun" w:cs="SimSun"/>
          <w:sz w:val="30"/>
          <w:szCs w:val="30"/>
          <w:spacing w:val="-9"/>
        </w:rPr>
        <w:t>算、大数据、人工智能等技术不断成熟， 卫宁健康亦持续推动自</w:t>
      </w:r>
      <w:r>
        <w:rPr>
          <w:rFonts w:ascii="SimSun" w:hAnsi="SimSun" w:eastAsia="SimSun" w:cs="SimSun"/>
          <w:sz w:val="30"/>
          <w:szCs w:val="30"/>
          <w:spacing w:val="-1"/>
        </w:rPr>
        <w:t>身产品能力体系的网络化、云化、数智化升级，尤其是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15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</w:t>
      </w:r>
      <w:r>
        <w:rPr>
          <w:rFonts w:ascii="SimSun" w:hAnsi="SimSun" w:eastAsia="SimSun" w:cs="SimSun"/>
          <w:sz w:val="30"/>
          <w:szCs w:val="30"/>
          <w:spacing w:val="-1"/>
        </w:rPr>
        <w:t>国家“互联网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”战略的实施，卫宁健康更是加快自身能力的云</w:t>
      </w:r>
      <w:r>
        <w:rPr>
          <w:rFonts w:ascii="SimSun" w:hAnsi="SimSun" w:eastAsia="SimSun" w:cs="SimSun"/>
          <w:sz w:val="30"/>
          <w:szCs w:val="30"/>
          <w:spacing w:val="-4"/>
        </w:rPr>
        <w:t>化与平台化，推动人工智能技术的研发与应用，确保技术能力与</w:t>
      </w:r>
      <w:r>
        <w:rPr>
          <w:rFonts w:ascii="SimSun" w:hAnsi="SimSun" w:eastAsia="SimSun" w:cs="SimSun"/>
          <w:sz w:val="30"/>
          <w:szCs w:val="30"/>
          <w:spacing w:val="-5"/>
        </w:rPr>
        <w:t>服务模式的持续领先。</w:t>
      </w:r>
    </w:p>
    <w:p>
      <w:pPr>
        <w:spacing w:line="331" w:lineRule="auto"/>
        <w:sectPr>
          <w:pgSz w:w="11907" w:h="16839"/>
          <w:pgMar w:top="1431" w:right="149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69" w:firstLine="602"/>
        <w:spacing w:before="183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就市场需求而言，过去十年，我国医疗健康事业高速发展，</w:t>
      </w:r>
      <w:r>
        <w:rPr>
          <w:rFonts w:ascii="SimSun" w:hAnsi="SimSun" w:eastAsia="SimSun" w:cs="SimSun"/>
          <w:sz w:val="30"/>
          <w:szCs w:val="30"/>
          <w:spacing w:val="-17"/>
        </w:rPr>
        <w:t>医院、医保、医药“三医</w:t>
      </w:r>
      <w:r>
        <w:rPr>
          <w:rFonts w:ascii="SimSun" w:hAnsi="SimSun" w:eastAsia="SimSun" w:cs="SimSun"/>
          <w:sz w:val="30"/>
          <w:szCs w:val="30"/>
          <w:spacing w:val="-10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”信息化水平大幅度提升，“十四五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”期</w:t>
      </w:r>
      <w:r>
        <w:rPr>
          <w:rFonts w:ascii="SimSun" w:hAnsi="SimSun" w:eastAsia="SimSun" w:cs="SimSun"/>
          <w:sz w:val="30"/>
          <w:szCs w:val="30"/>
          <w:spacing w:val="-4"/>
        </w:rPr>
        <w:t>间，全民健康信息化成为重点发展方向，公立医院迈向高质量发</w:t>
      </w:r>
      <w:r>
        <w:rPr>
          <w:rFonts w:ascii="SimSun" w:hAnsi="SimSun" w:eastAsia="SimSun" w:cs="SimSun"/>
          <w:sz w:val="30"/>
          <w:szCs w:val="30"/>
          <w:spacing w:val="-4"/>
        </w:rPr>
        <w:t>展新征程，构筑医疗供给侧创新价值体系、强化医院精细运营与</w:t>
      </w:r>
      <w:r>
        <w:rPr>
          <w:rFonts w:ascii="SimSun" w:hAnsi="SimSun" w:eastAsia="SimSun" w:cs="SimSun"/>
          <w:sz w:val="30"/>
          <w:szCs w:val="30"/>
          <w:spacing w:val="-4"/>
        </w:rPr>
        <w:t>全面绩效考核、创新人工智能赋能医疗应用场景、推进医疗机构</w:t>
      </w:r>
      <w:r>
        <w:rPr>
          <w:rFonts w:ascii="SimSun" w:hAnsi="SimSun" w:eastAsia="SimSun" w:cs="SimSun"/>
          <w:sz w:val="30"/>
          <w:szCs w:val="30"/>
          <w:spacing w:val="-4"/>
        </w:rPr>
        <w:t>网络安全管理及信创落地、夯实卫生健康标准化体系建设等形成</w:t>
      </w:r>
      <w:r>
        <w:rPr>
          <w:rFonts w:ascii="SimSun" w:hAnsi="SimSun" w:eastAsia="SimSun" w:cs="SimSun"/>
          <w:sz w:val="30"/>
          <w:szCs w:val="30"/>
          <w:spacing w:val="-3"/>
        </w:rPr>
        <w:t>卫宁健康推进产品能力体系升级的核心需求动力。</w:t>
      </w:r>
    </w:p>
    <w:p>
      <w:pPr>
        <w:ind w:firstLine="801"/>
        <w:spacing w:before="40" w:line="3470" w:lineRule="exact"/>
        <w:rPr/>
      </w:pPr>
      <w:r>
        <w:rPr>
          <w:position w:val="-69"/>
        </w:rPr>
        <w:drawing>
          <wp:inline distT="0" distB="0" distL="0" distR="0">
            <wp:extent cx="4437462" cy="220365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7462" cy="22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292"/>
        <w:spacing w:before="68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数据来源：项目组根据卫宁健康相关公开资料梳理总结</w:t>
      </w:r>
    </w:p>
    <w:p>
      <w:pPr>
        <w:ind w:left="1452"/>
        <w:spacing w:before="264" w:line="22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    </w:t>
      </w:r>
      <w:r>
        <w:rPr>
          <w:rFonts w:ascii="KaiTi" w:hAnsi="KaiTi" w:eastAsia="KaiTi" w:cs="KaiTi"/>
          <w:sz w:val="30"/>
          <w:szCs w:val="30"/>
          <w:spacing w:val="-5"/>
        </w:rPr>
        <w:t>基于“技术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-</w:t>
      </w:r>
      <w:r>
        <w:rPr>
          <w:rFonts w:ascii="KaiTi" w:hAnsi="KaiTi" w:eastAsia="KaiTi" w:cs="KaiTi"/>
          <w:sz w:val="30"/>
          <w:szCs w:val="30"/>
          <w:spacing w:val="-5"/>
        </w:rPr>
        <w:t>产品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-</w:t>
      </w:r>
      <w:r>
        <w:rPr>
          <w:rFonts w:ascii="KaiTi" w:hAnsi="KaiTi" w:eastAsia="KaiTi" w:cs="KaiTi"/>
          <w:sz w:val="30"/>
          <w:szCs w:val="30"/>
          <w:spacing w:val="-5"/>
        </w:rPr>
        <w:t>需求</w:t>
      </w:r>
      <w:r>
        <w:rPr>
          <w:rFonts w:ascii="KaiTi" w:hAnsi="KaiTi" w:eastAsia="KaiTi" w:cs="KaiTi"/>
          <w:sz w:val="30"/>
          <w:szCs w:val="30"/>
          <w:spacing w:val="-11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”分析框架的</w:t>
      </w:r>
    </w:p>
    <w:p>
      <w:pPr>
        <w:ind w:left="2673"/>
        <w:spacing w:before="27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产品能力体系演进路径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36"/>
        <w:spacing w:before="98" w:line="21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（二）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卫宁健康产品能力体系建设基本经验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630"/>
        <w:spacing w:before="97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经验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：坚持规划引领，明确产品发展方向与发展路径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0" w:firstLine="607"/>
        <w:spacing w:before="99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卫宁健康坚持规划引领，每三年制定产品家族发展纲要，明</w:t>
      </w:r>
      <w:r>
        <w:rPr>
          <w:rFonts w:ascii="SimSun" w:hAnsi="SimSun" w:eastAsia="SimSun" w:cs="SimSun"/>
          <w:sz w:val="30"/>
          <w:szCs w:val="30"/>
          <w:spacing w:val="-14"/>
        </w:rPr>
        <w:t>确产品发展方向与发展路径，做到“应用一代、设计一代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”。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2017</w:t>
      </w:r>
      <w:r>
        <w:rPr>
          <w:rFonts w:ascii="SimSun" w:hAnsi="SimSun" w:eastAsia="SimSun" w:cs="SimSun"/>
          <w:sz w:val="30"/>
          <w:szCs w:val="30"/>
          <w:spacing w:val="-1"/>
        </w:rPr>
        <w:t>年，卫宁健康制定发布《卫宁健康产品家族三年发展纲要</w:t>
      </w:r>
      <w:r>
        <w:rPr>
          <w:rFonts w:ascii="SimSun" w:hAnsi="SimSun" w:eastAsia="SimSun" w:cs="SimSun"/>
          <w:sz w:val="30"/>
          <w:szCs w:val="3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2020</w:t>
      </w:r>
      <w:r>
        <w:rPr>
          <w:rFonts w:ascii="SimSun" w:hAnsi="SimSun" w:eastAsia="SimSun" w:cs="SimSun"/>
          <w:sz w:val="30"/>
          <w:szCs w:val="30"/>
          <w:spacing w:val="-19"/>
        </w:rPr>
        <w:t>》，启动“智慧医院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2.0</w:t>
      </w:r>
      <w:r>
        <w:rPr>
          <w:rFonts w:ascii="SimSun" w:hAnsi="SimSun" w:eastAsia="SimSun" w:cs="SimSun"/>
          <w:sz w:val="30"/>
          <w:szCs w:val="30"/>
          <w:spacing w:val="-19"/>
        </w:rPr>
        <w:t>”“区域卫生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3.0</w:t>
      </w:r>
      <w:r>
        <w:rPr>
          <w:rFonts w:ascii="SimSun" w:hAnsi="SimSun" w:eastAsia="SimSun" w:cs="SimSun"/>
          <w:sz w:val="30"/>
          <w:szCs w:val="30"/>
          <w:spacing w:val="-19"/>
        </w:rPr>
        <w:t>”“互联网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+2.0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0"/>
        </w:rPr>
        <w:t>”等一</w:t>
      </w:r>
      <w:r>
        <w:rPr>
          <w:rFonts w:ascii="SimSun" w:hAnsi="SimSun" w:eastAsia="SimSun" w:cs="SimSun"/>
          <w:sz w:val="30"/>
          <w:szCs w:val="30"/>
          <w:spacing w:val="-5"/>
        </w:rPr>
        <w:t>系列产品研发与整合工作，设立人工智能实验室致力于人工智能、</w:t>
      </w:r>
    </w:p>
    <w:p>
      <w:pPr>
        <w:spacing w:line="330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0" w:right="102" w:firstLine="8"/>
        <w:spacing w:before="185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大数据等前沿技术研究以及与医疗场景的融合落地，重点突破医</w:t>
      </w:r>
      <w:r>
        <w:rPr>
          <w:rFonts w:ascii="SimSun" w:hAnsi="SimSun" w:eastAsia="SimSun" w:cs="SimSun"/>
          <w:sz w:val="30"/>
          <w:szCs w:val="30"/>
          <w:spacing w:val="-4"/>
        </w:rPr>
        <w:t>疗大数据平台、自然语言处理、医学影像处理、医学数据挖掘等</w:t>
      </w:r>
      <w:r>
        <w:rPr>
          <w:rFonts w:ascii="SimSun" w:hAnsi="SimSun" w:eastAsia="SimSun" w:cs="SimSun"/>
          <w:sz w:val="30"/>
          <w:szCs w:val="30"/>
          <w:spacing w:val="-11"/>
        </w:rPr>
        <w:t>方向。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2021 </w:t>
      </w:r>
      <w:r>
        <w:rPr>
          <w:rFonts w:ascii="SimSun" w:hAnsi="SimSun" w:eastAsia="SimSun" w:cs="SimSun"/>
          <w:sz w:val="30"/>
          <w:szCs w:val="30"/>
          <w:spacing w:val="-11"/>
        </w:rPr>
        <w:t>年，《卫宁健康产品家族三年发展规划行动纲要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(2021-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2023)</w:t>
      </w:r>
      <w:r>
        <w:rPr>
          <w:rFonts w:ascii="SimSun" w:hAnsi="SimSun" w:eastAsia="SimSun" w:cs="SimSun"/>
          <w:sz w:val="30"/>
          <w:szCs w:val="30"/>
          <w:spacing w:val="-9"/>
        </w:rPr>
        <w:t>》明确未来三年产品发展目标、规划及行动路径，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提出五大</w:t>
      </w:r>
      <w:r>
        <w:rPr>
          <w:rFonts w:ascii="SimSun" w:hAnsi="SimSun" w:eastAsia="SimSun" w:cs="SimSun"/>
          <w:sz w:val="30"/>
          <w:szCs w:val="30"/>
          <w:spacing w:val="-13"/>
        </w:rPr>
        <w:t>主要任务：夯实基础、协同发展，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打造数字中台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1.0</w:t>
      </w:r>
      <w:r>
        <w:rPr>
          <w:rFonts w:ascii="SimSun" w:hAnsi="SimSun" w:eastAsia="SimSun" w:cs="SimSun"/>
          <w:sz w:val="30"/>
          <w:szCs w:val="30"/>
          <w:spacing w:val="-13"/>
        </w:rPr>
        <w:t>；知识驱动、</w:t>
      </w:r>
      <w:r>
        <w:rPr>
          <w:rFonts w:ascii="SimSun" w:hAnsi="SimSun" w:eastAsia="SimSun" w:cs="SimSun"/>
          <w:sz w:val="30"/>
          <w:szCs w:val="30"/>
          <w:spacing w:val="-1"/>
        </w:rPr>
        <w:t>技术创新，赋能智慧医院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3.0</w:t>
      </w:r>
      <w:r>
        <w:rPr>
          <w:rFonts w:ascii="SimSun" w:hAnsi="SimSun" w:eastAsia="SimSun" w:cs="SimSun"/>
          <w:sz w:val="30"/>
          <w:szCs w:val="30"/>
          <w:spacing w:val="-1"/>
        </w:rPr>
        <w:t>；深化应用、融汇数据，重构智慧</w:t>
      </w:r>
      <w:r>
        <w:rPr>
          <w:rFonts w:ascii="SimSun" w:hAnsi="SimSun" w:eastAsia="SimSun" w:cs="SimSun"/>
          <w:sz w:val="30"/>
          <w:szCs w:val="30"/>
          <w:spacing w:val="-1"/>
        </w:rPr>
        <w:t>卫生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4.0</w:t>
      </w:r>
      <w:r>
        <w:rPr>
          <w:rFonts w:ascii="SimSun" w:hAnsi="SimSun" w:eastAsia="SimSun" w:cs="SimSun"/>
          <w:sz w:val="30"/>
          <w:szCs w:val="30"/>
          <w:spacing w:val="-1"/>
        </w:rPr>
        <w:t>；整合资源、聚焦业态，形成互联网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医疗健康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.0</w:t>
      </w:r>
      <w:r>
        <w:rPr>
          <w:rFonts w:ascii="SimSun" w:hAnsi="SimSun" w:eastAsia="SimSun" w:cs="SimSun"/>
          <w:sz w:val="30"/>
          <w:szCs w:val="30"/>
          <w:spacing w:val="-2"/>
        </w:rPr>
        <w:t>；开</w:t>
      </w:r>
      <w:r>
        <w:rPr>
          <w:rFonts w:ascii="SimSun" w:hAnsi="SimSun" w:eastAsia="SimSun" w:cs="SimSun"/>
          <w:sz w:val="30"/>
          <w:szCs w:val="30"/>
          <w:spacing w:val="-2"/>
        </w:rPr>
        <w:t>放共建、营造环境，构建卫宁生态云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1.0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630"/>
        <w:spacing w:before="26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经验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：强化研发投入，持续推进产学研深度融合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5" w:firstLine="603"/>
        <w:spacing w:before="97" w:line="33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卫宁健康自成立以来一直集研发、销售和技术服务</w:t>
      </w:r>
      <w:r>
        <w:rPr>
          <w:rFonts w:ascii="SimSun" w:hAnsi="SimSun" w:eastAsia="SimSun" w:cs="SimSun"/>
          <w:sz w:val="30"/>
          <w:szCs w:val="30"/>
          <w:spacing w:val="-1"/>
        </w:rPr>
        <w:t>为一体，</w:t>
      </w:r>
      <w:r>
        <w:rPr>
          <w:rFonts w:ascii="SimSun" w:hAnsi="SimSun" w:eastAsia="SimSun" w:cs="SimSun"/>
          <w:sz w:val="30"/>
          <w:szCs w:val="30"/>
          <w:spacing w:val="-4"/>
        </w:rPr>
        <w:t>坚持研发优先和人才优先战略，重视自主研发、技术积累和优秀</w:t>
      </w:r>
      <w:r>
        <w:rPr>
          <w:rFonts w:ascii="SimSun" w:hAnsi="SimSun" w:eastAsia="SimSun" w:cs="SimSun"/>
          <w:sz w:val="30"/>
          <w:szCs w:val="30"/>
          <w:spacing w:val="-2"/>
        </w:rPr>
        <w:t>人才储备，累计取得计算机软件著作权证书超过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1200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件，多项</w:t>
      </w:r>
      <w:r>
        <w:rPr>
          <w:rFonts w:ascii="SimSun" w:hAnsi="SimSun" w:eastAsia="SimSun" w:cs="SimSun"/>
          <w:sz w:val="30"/>
          <w:szCs w:val="30"/>
          <w:spacing w:val="-4"/>
        </w:rPr>
        <w:t>产品和核心技术列入国家和地方重大专项和科技计划。高强度的</w:t>
      </w:r>
      <w:r>
        <w:rPr>
          <w:rFonts w:ascii="SimSun" w:hAnsi="SimSun" w:eastAsia="SimSun" w:cs="SimSun"/>
          <w:sz w:val="30"/>
          <w:szCs w:val="30"/>
          <w:spacing w:val="7"/>
        </w:rPr>
        <w:t>研发投入和深入的产学研实践是卫宁健康持续保持</w:t>
      </w:r>
      <w:r>
        <w:rPr>
          <w:rFonts w:ascii="SimSun" w:hAnsi="SimSun" w:eastAsia="SimSun" w:cs="SimSun"/>
          <w:sz w:val="30"/>
          <w:szCs w:val="30"/>
          <w:spacing w:val="6"/>
        </w:rPr>
        <w:t>产品技术能</w:t>
      </w:r>
      <w:r>
        <w:rPr>
          <w:rFonts w:ascii="SimSun" w:hAnsi="SimSun" w:eastAsia="SimSun" w:cs="SimSun"/>
          <w:sz w:val="30"/>
          <w:szCs w:val="30"/>
          <w:spacing w:val="-4"/>
        </w:rPr>
        <w:t>力领先的关键。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2017 </w:t>
      </w:r>
      <w:r>
        <w:rPr>
          <w:rFonts w:ascii="SimSun" w:hAnsi="SimSun" w:eastAsia="SimSun" w:cs="SimSun"/>
          <w:sz w:val="30"/>
          <w:szCs w:val="30"/>
          <w:spacing w:val="-4"/>
        </w:rPr>
        <w:t>年以来，卫宁健康持续投入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WiNEX </w:t>
      </w:r>
      <w:r>
        <w:rPr>
          <w:rFonts w:ascii="SimSun" w:hAnsi="SimSun" w:eastAsia="SimSun" w:cs="SimSun"/>
          <w:sz w:val="30"/>
          <w:szCs w:val="30"/>
          <w:spacing w:val="-4"/>
        </w:rPr>
        <w:t>系列产</w:t>
      </w:r>
      <w:r>
        <w:rPr>
          <w:rFonts w:ascii="SimSun" w:hAnsi="SimSun" w:eastAsia="SimSun" w:cs="SimSun"/>
          <w:sz w:val="30"/>
          <w:szCs w:val="30"/>
          <w:spacing w:val="-1"/>
        </w:rPr>
        <w:t>品及培育“互联网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医疗健康</w:t>
      </w:r>
      <w:r>
        <w:rPr>
          <w:rFonts w:ascii="SimSun" w:hAnsi="SimSun" w:eastAsia="SimSun" w:cs="SimSun"/>
          <w:sz w:val="30"/>
          <w:szCs w:val="30"/>
          <w:spacing w:val="-9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”等创新研发及市场拓展投入，坚</w:t>
      </w:r>
      <w:r>
        <w:rPr>
          <w:rFonts w:ascii="SimSun" w:hAnsi="SimSun" w:eastAsia="SimSun" w:cs="SimSun"/>
          <w:sz w:val="30"/>
          <w:szCs w:val="30"/>
          <w:spacing w:val="-6"/>
        </w:rPr>
        <w:t>持以技术创新为驱动，保持技术及产品先进性。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2022 </w:t>
      </w:r>
      <w:r>
        <w:rPr>
          <w:rFonts w:ascii="SimSun" w:hAnsi="SimSun" w:eastAsia="SimSun" w:cs="SimSun"/>
          <w:sz w:val="30"/>
          <w:szCs w:val="30"/>
          <w:spacing w:val="-6"/>
        </w:rPr>
        <w:t>年，卫宁健</w:t>
      </w:r>
      <w:r>
        <w:rPr>
          <w:rFonts w:ascii="SimSun" w:hAnsi="SimSun" w:eastAsia="SimSun" w:cs="SimSun"/>
          <w:sz w:val="30"/>
          <w:szCs w:val="30"/>
          <w:spacing w:val="-2"/>
        </w:rPr>
        <w:t>康研发投入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6.25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亿元，占营业收入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20.22%</w:t>
      </w:r>
      <w:r>
        <w:rPr>
          <w:rFonts w:ascii="SimSun" w:hAnsi="SimSun" w:eastAsia="SimSun" w:cs="SimSun"/>
          <w:sz w:val="30"/>
          <w:szCs w:val="30"/>
          <w:spacing w:val="-2"/>
        </w:rPr>
        <w:t>。与此同时，卫宁健</w:t>
      </w:r>
      <w:r>
        <w:rPr>
          <w:rFonts w:ascii="SimSun" w:hAnsi="SimSun" w:eastAsia="SimSun" w:cs="SimSun"/>
          <w:sz w:val="30"/>
          <w:szCs w:val="30"/>
          <w:spacing w:val="-5"/>
        </w:rPr>
        <w:t>康与全国顶级高等院校及科研机构保持“产学研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”紧</w:t>
      </w:r>
      <w:r>
        <w:rPr>
          <w:rFonts w:ascii="SimSun" w:hAnsi="SimSun" w:eastAsia="SimSun" w:cs="SimSun"/>
          <w:sz w:val="30"/>
          <w:szCs w:val="30"/>
          <w:spacing w:val="-6"/>
        </w:rPr>
        <w:t>密合作，先</w:t>
      </w:r>
      <w:r>
        <w:rPr>
          <w:rFonts w:ascii="SimSun" w:hAnsi="SimSun" w:eastAsia="SimSun" w:cs="SimSun"/>
          <w:sz w:val="30"/>
          <w:szCs w:val="30"/>
          <w:spacing w:val="-10"/>
        </w:rPr>
        <w:t>后与上海交通大学、合肥工业大学、安徽医</w:t>
      </w:r>
      <w:r>
        <w:rPr>
          <w:rFonts w:ascii="SimSun" w:hAnsi="SimSun" w:eastAsia="SimSun" w:cs="SimSun"/>
          <w:sz w:val="30"/>
          <w:szCs w:val="30"/>
          <w:spacing w:val="-11"/>
        </w:rPr>
        <w:t>科大学第一附属医院、</w:t>
      </w:r>
      <w:r>
        <w:rPr>
          <w:rFonts w:ascii="SimSun" w:hAnsi="SimSun" w:eastAsia="SimSun" w:cs="SimSun"/>
          <w:sz w:val="30"/>
          <w:szCs w:val="30"/>
          <w:spacing w:val="-4"/>
        </w:rPr>
        <w:t>中国科学院大学经济与管理学院、上海健康医学院、复旦大学数</w:t>
      </w:r>
      <w:r>
        <w:rPr>
          <w:rFonts w:ascii="SimSun" w:hAnsi="SimSun" w:eastAsia="SimSun" w:cs="SimSun"/>
          <w:sz w:val="30"/>
          <w:szCs w:val="30"/>
          <w:spacing w:val="-8"/>
        </w:rPr>
        <w:t>学科学学院等建立战略合作关系，开展对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I</w:t>
      </w:r>
      <w:r>
        <w:rPr>
          <w:rFonts w:ascii="SimSun" w:hAnsi="SimSun" w:eastAsia="SimSun" w:cs="SimSun"/>
          <w:sz w:val="30"/>
          <w:szCs w:val="30"/>
          <w:spacing w:val="-9"/>
        </w:rPr>
        <w:t>、大数据、云计算、</w:t>
      </w:r>
      <w:r>
        <w:rPr>
          <w:rFonts w:ascii="SimSun" w:hAnsi="SimSun" w:eastAsia="SimSun" w:cs="SimSun"/>
          <w:sz w:val="30"/>
          <w:szCs w:val="30"/>
          <w:spacing w:val="-3"/>
        </w:rPr>
        <w:t>物联网、移动互联网等方面前沿研究。</w:t>
      </w:r>
    </w:p>
    <w:p>
      <w:pPr>
        <w:spacing w:line="332" w:lineRule="auto"/>
        <w:sectPr>
          <w:pgSz w:w="11907" w:h="16839"/>
          <w:pgMar w:top="1431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4343</wp:posOffset>
            </wp:positionH>
            <wp:positionV relativeFrom="paragraph">
              <wp:posOffset>38168</wp:posOffset>
            </wp:positionV>
            <wp:extent cx="5283707" cy="275234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7" cy="275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83"/>
        <w:spacing w:before="61" w:line="226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2" style="position:absolute;margin-left:383.638pt;margin-top:2.05901pt;mso-position-vertical-relative:text;mso-position-horizontal-relative:text;width:15.5pt;height:14.4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595959"/>
                      <w:spacing w:val="-3"/>
                      <w:position w:val="2"/>
                    </w:rPr>
                    <w:t>25%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70,000</w:t>
      </w:r>
    </w:p>
    <w:p>
      <w:pPr>
        <w:ind w:left="383"/>
        <w:spacing w:before="226" w:line="182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60,000</w:t>
      </w:r>
    </w:p>
    <w:p>
      <w:pPr>
        <w:ind w:left="7692"/>
        <w:spacing w:line="242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20%</w:t>
      </w:r>
    </w:p>
    <w:p>
      <w:pPr>
        <w:ind w:left="383"/>
        <w:spacing w:before="24" w:line="227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50,000</w:t>
      </w:r>
    </w:p>
    <w:p>
      <w:pPr>
        <w:ind w:left="377"/>
        <w:spacing w:before="227" w:line="226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4" style="position:absolute;margin-left:383.836pt;margin-top:5.80429pt;mso-position-vertical-relative:text;mso-position-horizontal-relative:text;width:15.35pt;height:46.4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595959"/>
                      <w:spacing w:val="-5"/>
                      <w:position w:val="2"/>
                    </w:rPr>
                    <w:t>15%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61" w:line="249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595959"/>
                      <w:spacing w:val="-5"/>
                      <w:position w:val="2"/>
                    </w:rPr>
                    <w:t>10%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1"/>
        </w:rPr>
        <w:t>40,000</w:t>
      </w:r>
    </w:p>
    <w:p>
      <w:pPr>
        <w:ind w:left="381"/>
        <w:spacing w:before="226" w:line="226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30,000</w:t>
      </w:r>
    </w:p>
    <w:p>
      <w:pPr>
        <w:ind w:left="383"/>
        <w:spacing w:before="228" w:line="226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20,000</w:t>
      </w:r>
    </w:p>
    <w:p>
      <w:pPr>
        <w:ind w:left="7693"/>
        <w:spacing w:before="44" w:line="182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5%</w:t>
      </w:r>
    </w:p>
    <w:p>
      <w:pPr>
        <w:ind w:left="387"/>
        <w:spacing w:line="224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10,000</w:t>
      </w:r>
    </w:p>
    <w:p>
      <w:pPr>
        <w:ind w:left="800"/>
        <w:spacing w:before="226" w:line="190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6" style="position:absolute;margin-left:383.575pt;margin-top:10.3175pt;mso-position-vertical-relative:text;mso-position-horizontal-relative:text;width:10.9pt;height:14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595959"/>
                      <w:spacing w:val="-2"/>
                      <w:position w:val="2"/>
                    </w:rPr>
                    <w:t>0%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</w:rPr>
        <w:t>0</w:t>
      </w:r>
    </w:p>
    <w:p>
      <w:pPr>
        <w:ind w:left="1120"/>
        <w:spacing w:line="249" w:lineRule="exact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1"/>
          <w:position w:val="2"/>
        </w:rPr>
        <w:t>2011   2012    2013   2014    2015  </w:t>
      </w:r>
      <w:r>
        <w:rPr>
          <w:rFonts w:ascii="DengXian" w:hAnsi="DengXian" w:eastAsia="DengXian" w:cs="DengXian"/>
          <w:sz w:val="18"/>
          <w:szCs w:val="18"/>
          <w:color w:val="595959"/>
          <w:spacing w:val="-2"/>
          <w:position w:val="2"/>
        </w:rPr>
        <w:t xml:space="preserve"> 2016    2017    2018   2019    2020   2021    2022</w:t>
      </w:r>
    </w:p>
    <w:p>
      <w:pPr>
        <w:ind w:left="2517"/>
        <w:spacing w:before="69" w:line="223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研发投入（万元）</w:t>
      </w:r>
      <w:r>
        <w:rPr>
          <w:rFonts w:ascii="DengXian" w:hAnsi="DengXian" w:eastAsia="DengXian" w:cs="DengXian"/>
          <w:sz w:val="18"/>
          <w:szCs w:val="18"/>
          <w:color w:val="595959"/>
          <w:spacing w:val="2"/>
        </w:rPr>
        <w:t xml:space="preserve">     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2"/>
        </w:rPr>
        <w:t>占主营业务收入比例</w:t>
      </w:r>
    </w:p>
    <w:p>
      <w:pPr>
        <w:pStyle w:val="BodyText"/>
        <w:ind w:right="8"/>
        <w:spacing w:before="297" w:line="218" w:lineRule="auto"/>
        <w:jc w:val="right"/>
        <w:rPr>
          <w:sz w:val="21"/>
          <w:szCs w:val="21"/>
        </w:rPr>
      </w:pPr>
      <w:r>
        <w:rPr>
          <w:sz w:val="21"/>
          <w:szCs w:val="21"/>
          <w:spacing w:val="-1"/>
        </w:rPr>
        <w:t>数据来源：卫宁健康历年财务报告</w:t>
      </w:r>
    </w:p>
    <w:p>
      <w:pPr>
        <w:ind w:left="2002"/>
        <w:spacing w:before="261" w:line="231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    </w:t>
      </w:r>
      <w:r>
        <w:rPr>
          <w:rFonts w:ascii="KaiTi" w:hAnsi="KaiTi" w:eastAsia="KaiTi" w:cs="KaiTi"/>
          <w:sz w:val="30"/>
          <w:szCs w:val="30"/>
          <w:spacing w:val="-3"/>
        </w:rPr>
        <w:t>卫宁健康历年研发投入情况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630"/>
        <w:spacing w:before="9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经验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：实施中台战略，推进资源能力集约与生态开放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18" w:right="12" w:firstLine="611"/>
        <w:spacing w:before="99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契合医疗数字化转型对于突破传统系统框架的</w:t>
      </w:r>
      <w:r>
        <w:rPr>
          <w:rFonts w:ascii="SimSun" w:hAnsi="SimSun" w:eastAsia="SimSun" w:cs="SimSun"/>
          <w:sz w:val="30"/>
          <w:szCs w:val="30"/>
          <w:spacing w:val="-5"/>
        </w:rPr>
        <w:t>需求，卫宁健</w:t>
      </w:r>
      <w:r>
        <w:rPr>
          <w:rFonts w:ascii="SimSun" w:hAnsi="SimSun" w:eastAsia="SimSun" w:cs="SimSun"/>
          <w:sz w:val="30"/>
          <w:szCs w:val="30"/>
          <w:spacing w:val="-2"/>
        </w:rPr>
        <w:t>康打造基于中台思想的新一代医疗信息系统</w:t>
      </w:r>
      <w:r>
        <w:rPr>
          <w:rFonts w:ascii="SimSun" w:hAnsi="SimSun" w:eastAsia="SimSun" w:cs="SimSun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WiNEX</w:t>
      </w:r>
      <w:r>
        <w:rPr>
          <w:rFonts w:ascii="Times New Roman" w:hAnsi="Times New Roman" w:eastAsia="Times New Roman" w:cs="Times New Roma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。通过数字</w:t>
      </w:r>
      <w:r>
        <w:rPr>
          <w:rFonts w:ascii="SimSun" w:hAnsi="SimSun" w:eastAsia="SimSun" w:cs="SimSun"/>
          <w:sz w:val="30"/>
          <w:szCs w:val="30"/>
          <w:spacing w:val="-9"/>
        </w:rPr>
        <w:t>技术，从技术架构、数据架构、业务架构等多层面重新梳理， 搭</w:t>
      </w:r>
      <w:r>
        <w:rPr>
          <w:rFonts w:ascii="SimSun" w:hAnsi="SimSun" w:eastAsia="SimSun" w:cs="SimSun"/>
          <w:sz w:val="30"/>
          <w:szCs w:val="30"/>
          <w:spacing w:val="-9"/>
        </w:rPr>
        <w:t>建数字化医疗生态基座。通过对业务、数据和技术的抽象， 构建</w:t>
      </w:r>
      <w:r>
        <w:rPr>
          <w:rFonts w:ascii="SimSun" w:hAnsi="SimSun" w:eastAsia="SimSun" w:cs="SimSun"/>
          <w:sz w:val="30"/>
          <w:szCs w:val="30"/>
          <w:spacing w:val="-4"/>
        </w:rPr>
        <w:t>统一服务能力，实现服务能力复用，基于中台，融合专业临床知</w:t>
      </w:r>
      <w:r>
        <w:rPr>
          <w:rFonts w:ascii="SimSun" w:hAnsi="SimSun" w:eastAsia="SimSun" w:cs="SimSun"/>
          <w:sz w:val="30"/>
          <w:szCs w:val="30"/>
          <w:spacing w:val="-4"/>
        </w:rPr>
        <w:t>识库和大数据分析技术，培养灵活丰富的新应用开发能力，快速</w:t>
      </w:r>
      <w:r>
        <w:rPr>
          <w:rFonts w:ascii="SimSun" w:hAnsi="SimSun" w:eastAsia="SimSun" w:cs="SimSun"/>
          <w:sz w:val="30"/>
          <w:szCs w:val="30"/>
          <w:spacing w:val="-4"/>
        </w:rPr>
        <w:t>构建面向医护人员及医院管理人员的前台应用，满足个性化场景</w:t>
      </w:r>
      <w:r>
        <w:rPr>
          <w:rFonts w:ascii="SimSun" w:hAnsi="SimSun" w:eastAsia="SimSun" w:cs="SimSun"/>
          <w:sz w:val="30"/>
          <w:szCs w:val="30"/>
          <w:spacing w:val="-1"/>
        </w:rPr>
        <w:t>需求。中短期而言，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WiNEX</w:t>
      </w:r>
      <w:r>
        <w:rPr>
          <w:rFonts w:ascii="Times New Roman" w:hAnsi="Times New Roman" w:eastAsia="Times New Roman" w:cs="Times New Roma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产品可解决敏捷部署、远程运维等</w:t>
      </w:r>
      <w:r>
        <w:rPr>
          <w:rFonts w:ascii="SimSun" w:hAnsi="SimSun" w:eastAsia="SimSun" w:cs="SimSun"/>
          <w:sz w:val="30"/>
          <w:szCs w:val="30"/>
          <w:spacing w:val="-14"/>
        </w:rPr>
        <w:t>诸多医院痛点，提升公司毛利率、现金流与用户黏性；长期而言，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WiNEX </w:t>
      </w:r>
      <w:r>
        <w:rPr>
          <w:rFonts w:ascii="SimSun" w:hAnsi="SimSun" w:eastAsia="SimSun" w:cs="SimSun"/>
          <w:sz w:val="30"/>
          <w:szCs w:val="30"/>
          <w:spacing w:val="-8"/>
        </w:rPr>
        <w:t>将推动医院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IT </w:t>
      </w:r>
      <w:r>
        <w:rPr>
          <w:rFonts w:ascii="SimSun" w:hAnsi="SimSun" w:eastAsia="SimSun" w:cs="SimSun"/>
          <w:sz w:val="30"/>
          <w:szCs w:val="30"/>
          <w:spacing w:val="-8"/>
        </w:rPr>
        <w:t>走向解耦、标准化、云化， 此过程中卫宁</w:t>
      </w:r>
      <w:r>
        <w:rPr>
          <w:rFonts w:ascii="SimSun" w:hAnsi="SimSun" w:eastAsia="SimSun" w:cs="SimSun"/>
          <w:sz w:val="30"/>
          <w:szCs w:val="30"/>
          <w:spacing w:val="-2"/>
        </w:rPr>
        <w:t>健康也将实现从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 </w:t>
      </w:r>
      <w:r>
        <w:rPr>
          <w:rFonts w:ascii="SimSun" w:hAnsi="SimSun" w:eastAsia="SimSun" w:cs="SimSun"/>
          <w:sz w:val="30"/>
          <w:szCs w:val="30"/>
          <w:spacing w:val="-2"/>
        </w:rPr>
        <w:t>供应商演化为医疗机构生态合作伙伴。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三、对中电信行业数字化产品能力建设的启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示建议</w:t>
      </w:r>
    </w:p>
    <w:p>
      <w:pPr>
        <w:spacing w:line="224" w:lineRule="auto"/>
        <w:sectPr>
          <w:headerReference w:type="default" r:id="rId4"/>
          <w:pgSz w:w="11907" w:h="16839"/>
          <w:pgMar w:top="400" w:right="1785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6" w:right="233" w:firstLine="601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技术与市场双轮驱动是产品能力体系演进的基本逻</w:t>
      </w:r>
      <w:r>
        <w:rPr>
          <w:rFonts w:ascii="SimSun" w:hAnsi="SimSun" w:eastAsia="SimSun" w:cs="SimSun"/>
          <w:sz w:val="30"/>
          <w:szCs w:val="30"/>
          <w:spacing w:val="-5"/>
        </w:rPr>
        <w:t>辑，准确</w:t>
      </w:r>
      <w:r>
        <w:rPr>
          <w:rFonts w:ascii="SimSun" w:hAnsi="SimSun" w:eastAsia="SimSun" w:cs="SimSun"/>
          <w:sz w:val="30"/>
          <w:szCs w:val="30"/>
          <w:spacing w:val="7"/>
        </w:rPr>
        <w:t>把握市场需求和有效利用前沿技术是推进产品能</w:t>
      </w:r>
      <w:r>
        <w:rPr>
          <w:rFonts w:ascii="SimSun" w:hAnsi="SimSun" w:eastAsia="SimSun" w:cs="SimSun"/>
          <w:sz w:val="30"/>
          <w:szCs w:val="30"/>
          <w:spacing w:val="6"/>
        </w:rPr>
        <w:t>力体系演进的</w:t>
      </w:r>
      <w:r>
        <w:rPr>
          <w:rFonts w:ascii="SimSun" w:hAnsi="SimSun" w:eastAsia="SimSun" w:cs="SimSun"/>
          <w:sz w:val="30"/>
          <w:szCs w:val="30"/>
          <w:spacing w:val="-9"/>
        </w:rPr>
        <w:t>基础。与此同时， 强化规划引领、保障研发投入、实施中台战略</w:t>
      </w:r>
      <w:r>
        <w:rPr>
          <w:rFonts w:ascii="SimSun" w:hAnsi="SimSun" w:eastAsia="SimSun" w:cs="SimSun"/>
          <w:sz w:val="30"/>
          <w:szCs w:val="30"/>
          <w:spacing w:val="7"/>
        </w:rPr>
        <w:t>是卫宁健康不断推进产品能力体系升级并保持长</w:t>
      </w:r>
      <w:r>
        <w:rPr>
          <w:rFonts w:ascii="SimSun" w:hAnsi="SimSun" w:eastAsia="SimSun" w:cs="SimSun"/>
          <w:sz w:val="30"/>
          <w:szCs w:val="30"/>
          <w:spacing w:val="6"/>
        </w:rPr>
        <w:t>期市场领先的</w:t>
      </w:r>
      <w:r>
        <w:rPr>
          <w:rFonts w:ascii="SimSun" w:hAnsi="SimSun" w:eastAsia="SimSun" w:cs="SimSun"/>
          <w:sz w:val="30"/>
          <w:szCs w:val="30"/>
          <w:spacing w:val="-4"/>
        </w:rPr>
        <w:t>关键，值得中国电信参考借鉴。</w:t>
      </w:r>
    </w:p>
    <w:p>
      <w:pPr>
        <w:ind w:left="31" w:right="231" w:firstLine="605"/>
        <w:spacing w:before="271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．以行业应用领域为单位，强化数字化产品能力体系规</w:t>
      </w:r>
      <w:r>
        <w:rPr>
          <w:rFonts w:ascii="SimSun" w:hAnsi="SimSun" w:eastAsia="SimSun" w:cs="SimSun"/>
          <w:sz w:val="30"/>
          <w:szCs w:val="30"/>
          <w:b/>
          <w:bCs/>
          <w:spacing w:val="-14"/>
        </w:rPr>
        <w:t>划，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坚持规划引领，锚定重大技术趋势和重大需求变化，确保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发展方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向明确、发展路径清晰</w:t>
      </w:r>
    </w:p>
    <w:p>
      <w:pPr>
        <w:ind w:left="26" w:right="233" w:firstLine="599"/>
        <w:spacing w:before="286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深入了解各行业应用场景和需求，关注全球范围内的</w:t>
      </w:r>
      <w:r>
        <w:rPr>
          <w:rFonts w:ascii="SimSun" w:hAnsi="SimSun" w:eastAsia="SimSun" w:cs="SimSun"/>
          <w:sz w:val="30"/>
          <w:szCs w:val="30"/>
          <w:spacing w:val="-5"/>
        </w:rPr>
        <w:t>技术发</w:t>
      </w:r>
      <w:r>
        <w:rPr>
          <w:rFonts w:ascii="SimSun" w:hAnsi="SimSun" w:eastAsia="SimSun" w:cs="SimSun"/>
          <w:sz w:val="30"/>
          <w:szCs w:val="30"/>
          <w:spacing w:val="-16"/>
        </w:rPr>
        <w:t>展趋势；制定完整的数字化产品能力体系规划，涵盖研发、生产、</w:t>
      </w:r>
      <w:r>
        <w:rPr>
          <w:rFonts w:ascii="SimSun" w:hAnsi="SimSun" w:eastAsia="SimSun" w:cs="SimSun"/>
          <w:sz w:val="30"/>
          <w:szCs w:val="30"/>
          <w:spacing w:val="-9"/>
        </w:rPr>
        <w:t>销售、服务等环节； 建立有效的规划管理和实施监控机制，确保</w:t>
      </w:r>
      <w:r>
        <w:rPr>
          <w:rFonts w:ascii="SimSun" w:hAnsi="SimSun" w:eastAsia="SimSun" w:cs="SimSun"/>
          <w:sz w:val="30"/>
          <w:szCs w:val="30"/>
          <w:spacing w:val="-3"/>
        </w:rPr>
        <w:t>产品能力体系建设按照既定的方向和路径推进。</w:t>
      </w:r>
    </w:p>
    <w:p>
      <w:pPr>
        <w:ind w:left="34" w:right="235" w:firstLine="589"/>
        <w:spacing w:before="272" w:line="276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．合理确定研发投入强度，强化产学研合作，优化需求传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导机制，提升技术研发能力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26" w:firstLine="601"/>
        <w:spacing w:before="98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合理确定研发投入强度，定期对研发投入进行评估和调整，</w:t>
      </w:r>
      <w:r>
        <w:rPr>
          <w:rFonts w:ascii="SimSun" w:hAnsi="SimSun" w:eastAsia="SimSun" w:cs="SimSun"/>
          <w:sz w:val="30"/>
          <w:szCs w:val="30"/>
          <w:spacing w:val="-4"/>
        </w:rPr>
        <w:t>确保产品能力建设与企业发展目标和市场需求相匹配；强化与高</w:t>
      </w:r>
      <w:r>
        <w:rPr>
          <w:rFonts w:ascii="SimSun" w:hAnsi="SimSun" w:eastAsia="SimSun" w:cs="SimSun"/>
          <w:sz w:val="30"/>
          <w:szCs w:val="30"/>
          <w:spacing w:val="-9"/>
        </w:rPr>
        <w:t>效、科研院所、行业龙头企业的合作， 通过签订合作协议、设立</w:t>
      </w:r>
      <w:r>
        <w:rPr>
          <w:rFonts w:ascii="SimSun" w:hAnsi="SimSun" w:eastAsia="SimSun" w:cs="SimSun"/>
          <w:sz w:val="30"/>
          <w:szCs w:val="30"/>
          <w:spacing w:val="-6"/>
        </w:rPr>
        <w:t>联合实验室、共建研发平台等方式共同开展技术研究和产品开发，</w:t>
      </w:r>
      <w:r>
        <w:rPr>
          <w:rFonts w:ascii="SimSun" w:hAnsi="SimSun" w:eastAsia="SimSun" w:cs="SimSun"/>
          <w:sz w:val="30"/>
          <w:szCs w:val="30"/>
          <w:spacing w:val="-4"/>
        </w:rPr>
        <w:t>缩短产品研发周期，降低研发成本；建立健全需求传导机制，通</w:t>
      </w:r>
      <w:r>
        <w:rPr>
          <w:rFonts w:ascii="SimSun" w:hAnsi="SimSun" w:eastAsia="SimSun" w:cs="SimSun"/>
          <w:sz w:val="30"/>
          <w:szCs w:val="30"/>
          <w:spacing w:val="-16"/>
        </w:rPr>
        <w:t>过市场调查、客户反馈、销售数据分析等方式，将市场需求及时、</w:t>
      </w:r>
    </w:p>
    <w:p>
      <w:pPr>
        <w:ind w:left="28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准确地传递给研发部门。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31" w:right="231" w:firstLine="590"/>
        <w:spacing w:before="99" w:line="32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．推动内部能力体系整合，优势行业和重点行业加快推进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行业数字化能力中台建设，形成面向特定行业的完整产品服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务体</w:t>
      </w:r>
    </w:p>
    <w:p>
      <w:pPr>
        <w:spacing w:line="325" w:lineRule="auto"/>
        <w:sectPr>
          <w:headerReference w:type="default" r:id="rId6"/>
          <w:pgSz w:w="11907" w:h="16839"/>
          <w:pgMar w:top="400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32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系和优势品牌体系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28" w:firstLine="595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进一步梳理中国电信行业数字化产品能力清单，加快政务、</w:t>
      </w:r>
      <w:r>
        <w:rPr>
          <w:rFonts w:ascii="SimSun" w:hAnsi="SimSun" w:eastAsia="SimSun" w:cs="SimSun"/>
          <w:sz w:val="30"/>
          <w:szCs w:val="30"/>
          <w:spacing w:val="-4"/>
        </w:rPr>
        <w:t>医疗、工业、教育等重点行业领域数字化能力中台建设。各细分</w:t>
      </w:r>
      <w:r>
        <w:rPr>
          <w:rFonts w:ascii="SimSun" w:hAnsi="SimSun" w:eastAsia="SimSun" w:cs="SimSun"/>
          <w:sz w:val="30"/>
          <w:szCs w:val="30"/>
        </w:rPr>
        <w:t>行业加快搭建统一的技术平台，实现数据、技术和业务的融合；</w:t>
      </w:r>
      <w:r>
        <w:rPr>
          <w:rFonts w:ascii="SimSun" w:hAnsi="SimSun" w:eastAsia="SimSun" w:cs="SimSun"/>
          <w:sz w:val="30"/>
          <w:szCs w:val="30"/>
          <w:spacing w:val="-9"/>
        </w:rPr>
        <w:t>完善行业数据治理体系，确保数据的安全、准确和高效利用； 加</w:t>
      </w:r>
      <w:r>
        <w:rPr>
          <w:rFonts w:ascii="SimSun" w:hAnsi="SimSun" w:eastAsia="SimSun" w:cs="SimSun"/>
          <w:sz w:val="30"/>
          <w:szCs w:val="30"/>
          <w:spacing w:val="-2"/>
        </w:rPr>
        <w:t>强与外部合作伙伴沟通协作，共同推动行业数字化能力</w:t>
      </w:r>
      <w:r>
        <w:rPr>
          <w:rFonts w:ascii="SimSun" w:hAnsi="SimSun" w:eastAsia="SimSun" w:cs="SimSun"/>
          <w:sz w:val="30"/>
          <w:szCs w:val="30"/>
          <w:spacing w:val="-3"/>
        </w:rPr>
        <w:t>提升。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184205</wp:posOffset>
            </wp:positionV>
            <wp:extent cx="813816" cy="353263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816" cy="353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2106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140" w:right="453" w:firstLine="258"/>
        <w:spacing w:before="119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2127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李泰</w:t>
      </w:r>
    </w:p>
    <w:p>
      <w:pPr>
        <w:ind w:left="2123" w:right="454" w:firstLine="276"/>
        <w:spacing w:before="12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硕士，主要从事重点行业研究、企业数字化转</w:t>
      </w:r>
      <w:r>
        <w:rPr>
          <w:rFonts w:ascii="KaiTi" w:hAnsi="KaiTi" w:eastAsia="KaiTi" w:cs="KaiTi"/>
          <w:sz w:val="28"/>
          <w:szCs w:val="28"/>
          <w:spacing w:val="-6"/>
        </w:rPr>
        <w:t>型研究等工作。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127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李国钦</w:t>
      </w:r>
    </w:p>
    <w:p>
      <w:pPr>
        <w:ind w:left="2128" w:right="444" w:firstLine="270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硕士，聚焦产业数字化和数字政府等领域，从</w:t>
      </w:r>
      <w:r>
        <w:rPr>
          <w:rFonts w:ascii="KaiTi" w:hAnsi="KaiTi" w:eastAsia="KaiTi" w:cs="KaiTi"/>
          <w:sz w:val="28"/>
          <w:szCs w:val="28"/>
          <w:spacing w:val="-2"/>
        </w:rPr>
        <w:t>事行业洞察研究等相关工作。</w:t>
      </w:r>
    </w:p>
    <w:sectPr>
      <w:pgSz w:w="11907" w:h="16839"/>
      <w:pgMar w:top="400" w:right="168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header" Target="header1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2023-12-11T14:45:55Z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2025-11-04T15:54:27</vt:filetime>
  </property>
</Properties>
</file>