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11" w:right="390" w:hanging="1094"/>
        <w:spacing w:before="212" w:line="212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4"/>
        </w:rPr>
        <w:t>雄安城市计算（超算云）中心建设成效、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存在问题及对中国电信的建议</w:t>
      </w:r>
    </w:p>
    <w:p>
      <w:pPr>
        <w:ind w:left="2557"/>
        <w:spacing w:before="330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叶美灵  赵静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李祎茜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" w:firstLine="617"/>
        <w:spacing w:before="97" w:line="33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7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年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  </w:t>
      </w:r>
      <w:r>
        <w:rPr>
          <w:rFonts w:ascii="FangSong" w:hAnsi="FangSong" w:eastAsia="FangSong" w:cs="FangSong"/>
          <w:sz w:val="30"/>
          <w:szCs w:val="30"/>
          <w:spacing w:val="-3"/>
        </w:rPr>
        <w:t>月，习近平总书记第三次赴雄安考察</w:t>
      </w:r>
      <w:r>
        <w:rPr>
          <w:rFonts w:ascii="FangSong" w:hAnsi="FangSong" w:eastAsia="FangSong" w:cs="FangSong"/>
          <w:sz w:val="30"/>
          <w:szCs w:val="30"/>
          <w:spacing w:val="-4"/>
        </w:rPr>
        <w:t>，提出了：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3"/>
        </w:rPr>
        <w:t>“推动雄安智能、绿色、创新发展。”雄安城市计算（超</w:t>
      </w:r>
      <w:r>
        <w:rPr>
          <w:rFonts w:ascii="FangSong" w:hAnsi="FangSong" w:eastAsia="FangSong" w:cs="FangSong"/>
          <w:sz w:val="30"/>
          <w:szCs w:val="30"/>
          <w:spacing w:val="-14"/>
        </w:rPr>
        <w:t>算云）中</w:t>
      </w:r>
      <w:r>
        <w:rPr>
          <w:rFonts w:ascii="FangSong" w:hAnsi="FangSong" w:eastAsia="FangSong" w:cs="FangSong"/>
          <w:sz w:val="30"/>
          <w:szCs w:val="30"/>
          <w:spacing w:val="-3"/>
        </w:rPr>
        <w:t>心（以下简称雄安城市计算中心）不仅是中国电信支撑数字</w:t>
      </w:r>
      <w:r>
        <w:rPr>
          <w:rFonts w:ascii="FangSong" w:hAnsi="FangSong" w:eastAsia="FangSong" w:cs="FangSong"/>
          <w:sz w:val="30"/>
          <w:szCs w:val="30"/>
          <w:spacing w:val="-4"/>
        </w:rPr>
        <w:t>雄安</w:t>
      </w:r>
      <w:r>
        <w:rPr>
          <w:rFonts w:ascii="FangSong" w:hAnsi="FangSong" w:eastAsia="FangSong" w:cs="FangSong"/>
          <w:sz w:val="30"/>
          <w:szCs w:val="30"/>
          <w:spacing w:val="1"/>
        </w:rPr>
        <w:t>城市建设的重要项目之一，同时也是赋能雄安</w:t>
      </w:r>
      <w:r>
        <w:rPr>
          <w:rFonts w:ascii="FangSong" w:hAnsi="FangSong" w:eastAsia="FangSong" w:cs="FangSong"/>
          <w:sz w:val="30"/>
          <w:szCs w:val="30"/>
        </w:rPr>
        <w:t>智能城市“智能、</w:t>
      </w:r>
      <w:r>
        <w:rPr>
          <w:rFonts w:ascii="FangSong" w:hAnsi="FangSong" w:eastAsia="FangSong" w:cs="FangSong"/>
          <w:sz w:val="30"/>
          <w:szCs w:val="30"/>
          <w:spacing w:val="1"/>
        </w:rPr>
        <w:t>绿色、创新”运营、打造全国经济高质量发展样板的重要引擎。</w:t>
      </w:r>
    </w:p>
    <w:p>
      <w:pPr>
        <w:ind w:left="39" w:right="22" w:firstLine="596"/>
        <w:spacing w:before="283" w:line="333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本文通过调研分析，认真总结项目取得的阶段性建设及运营</w:t>
      </w:r>
      <w:r>
        <w:rPr>
          <w:rFonts w:ascii="FangSong" w:hAnsi="FangSong" w:eastAsia="FangSong" w:cs="FangSong"/>
          <w:sz w:val="30"/>
          <w:szCs w:val="30"/>
          <w:spacing w:val="-12"/>
        </w:rPr>
        <w:t>成效，并提出存在的问题及相关建议，加快推动中心建设的同时，</w:t>
      </w:r>
      <w:r>
        <w:rPr>
          <w:rFonts w:ascii="FangSong" w:hAnsi="FangSong" w:eastAsia="FangSong" w:cs="FangSong"/>
          <w:sz w:val="30"/>
          <w:szCs w:val="30"/>
          <w:spacing w:val="-3"/>
        </w:rPr>
        <w:t>也为中国电信如何赋能智慧城市发展提供了新的样板和思路。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一、建设成效及价值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20" w:right="109" w:firstLine="605"/>
        <w:spacing w:before="98" w:line="334" w:lineRule="auto"/>
        <w:jc w:val="both"/>
        <w:rPr/>
      </w:pPr>
      <w:r>
        <w:rPr>
          <w:spacing w:val="-4"/>
        </w:rPr>
        <w:t>雄安城市计算中心由雄安云网科技有限公司建设，云</w:t>
      </w:r>
      <w:r>
        <w:rPr>
          <w:spacing w:val="-5"/>
        </w:rPr>
        <w:t>网科技</w:t>
      </w:r>
      <w:r>
        <w:rPr>
          <w:spacing w:val="-5"/>
        </w:rPr>
        <w:t>中国雄安集团数字城市科技有限公司（持股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51%</w:t>
      </w:r>
      <w:r>
        <w:rPr>
          <w:spacing w:val="-6"/>
        </w:rPr>
        <w:t>）和中国电信集</w:t>
      </w:r>
      <w:r>
        <w:rPr>
          <w:spacing w:val="-6"/>
        </w:rPr>
        <w:t>团投资有限公司（持股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49%</w:t>
      </w:r>
      <w:r>
        <w:rPr>
          <w:spacing w:val="-6"/>
        </w:rPr>
        <w:t>）共同出资组</w:t>
      </w:r>
      <w:r>
        <w:rPr>
          <w:spacing w:val="-7"/>
        </w:rPr>
        <w:t>建的，于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7"/>
        </w:rPr>
        <w:t>月</w:t>
      </w:r>
      <w:r>
        <w:rPr>
          <w:rFonts w:ascii="Times New Roman" w:hAnsi="Times New Roman" w:eastAsia="Times New Roman" w:cs="Times New Roman"/>
          <w:spacing w:val="-7"/>
        </w:rPr>
        <w:t>23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spacing w:val="-7"/>
        </w:rPr>
        <w:t>日转入试运营阶段。</w:t>
      </w:r>
    </w:p>
    <w:p>
      <w:pPr>
        <w:pStyle w:val="BodyText"/>
        <w:ind w:left="636"/>
        <w:spacing w:before="26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．技术引领，超预期打造雄安绿色算力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8" w:right="109" w:firstLine="602"/>
        <w:spacing w:before="98" w:line="330" w:lineRule="auto"/>
        <w:jc w:val="both"/>
        <w:rPr/>
      </w:pPr>
      <w:r>
        <w:rPr>
          <w:spacing w:val="-5"/>
        </w:rPr>
        <w:t>一是雄安城市计算中心采用“中心节点液冷，外部服务器风</w:t>
      </w:r>
      <w:r>
        <w:rPr>
          <w:spacing w:val="-3"/>
        </w:rPr>
        <w:t>冷”的混合制冷及余热回收技术，预期实现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PUE&lt;1.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，设计阶段</w:t>
      </w:r>
      <w:r>
        <w:rPr>
          <w:spacing w:val="-4"/>
        </w:rPr>
        <w:t>获得中国建筑节能协会授予的“近零能耗建筑</w:t>
      </w:r>
      <w:r>
        <w:rPr>
          <w:spacing w:val="-91"/>
        </w:rPr>
        <w:t xml:space="preserve"> </w:t>
      </w:r>
      <w:r>
        <w:rPr>
          <w:spacing w:val="-4"/>
        </w:rPr>
        <w:t>”荣誉。</w:t>
      </w:r>
    </w:p>
    <w:p>
      <w:pPr>
        <w:spacing w:line="330" w:lineRule="auto"/>
        <w:sectPr>
          <w:pgSz w:w="11907" w:h="16839"/>
          <w:pgMar w:top="1431" w:right="1688" w:bottom="0" w:left="1785" w:header="0" w:footer="0" w:gutter="0"/>
        </w:sectPr>
        <w:rPr/>
      </w:pPr>
    </w:p>
    <w:p>
      <w:pPr>
        <w:pStyle w:val="BodyText"/>
        <w:ind w:left="19" w:right="22" w:firstLine="611"/>
        <w:spacing w:before="179" w:line="329" w:lineRule="auto"/>
        <w:jc w:val="both"/>
        <w:rPr/>
      </w:pPr>
      <w:r>
        <w:rPr>
          <w:spacing w:val="-1"/>
        </w:rPr>
        <w:t>二是中心终期规划建设 </w:t>
      </w:r>
      <w:r>
        <w:rPr>
          <w:rFonts w:ascii="Times New Roman" w:hAnsi="Times New Roman" w:eastAsia="Times New Roman" w:cs="Times New Roman"/>
          <w:spacing w:val="-1"/>
        </w:rPr>
        <w:t>3620  </w:t>
      </w:r>
      <w:r>
        <w:rPr>
          <w:spacing w:val="-1"/>
        </w:rPr>
        <w:t>台机柜，</w:t>
      </w:r>
      <w:r>
        <w:rPr>
          <w:rFonts w:ascii="Times New Roman" w:hAnsi="Times New Roman" w:eastAsia="Times New Roman" w:cs="Times New Roman"/>
          <w:spacing w:val="-1"/>
        </w:rPr>
        <w:t>2PFlops</w:t>
      </w:r>
      <w:r>
        <w:rPr>
          <w:rFonts w:ascii="Times New Roman" w:hAnsi="Times New Roman" w:eastAsia="Times New Roman" w:cs="Times New Roman"/>
          <w:spacing w:val="-2"/>
        </w:rPr>
        <w:t xml:space="preserve">  </w:t>
      </w:r>
      <w:r>
        <w:rPr>
          <w:spacing w:val="-2"/>
        </w:rPr>
        <w:t>峰值计算能</w:t>
      </w:r>
      <w:r>
        <w:rPr>
          <w:spacing w:val="-5"/>
        </w:rPr>
        <w:t>力，及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40PB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5"/>
        </w:rPr>
        <w:t>存储。一期实现建设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532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个机柜、</w:t>
      </w:r>
      <w:r>
        <w:rPr>
          <w:rFonts w:ascii="Times New Roman" w:hAnsi="Times New Roman" w:eastAsia="Times New Roman" w:cs="Times New Roman"/>
          <w:spacing w:val="-5"/>
        </w:rPr>
        <w:t>1340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5"/>
        </w:rPr>
        <w:t>台服务器，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42PB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2"/>
        </w:rPr>
        <w:t>存储，提供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2"/>
        </w:rPr>
        <w:t>万核通用算力，初步满足当前新区政府及企</w:t>
      </w:r>
      <w:r>
        <w:rPr>
          <w:spacing w:val="-6"/>
        </w:rPr>
        <w:t>业的信息化需求。</w:t>
      </w:r>
    </w:p>
    <w:p>
      <w:pPr>
        <w:pStyle w:val="BodyText"/>
        <w:ind w:left="624"/>
        <w:spacing w:before="30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0"/>
        </w:rPr>
        <w:t>2</w:t>
      </w:r>
      <w:r>
        <w:rPr>
          <w:b/>
          <w:bCs/>
          <w:spacing w:val="-10"/>
        </w:rPr>
        <w:t>．“一中心”服务雄安数字城市建设初显成效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9" w:firstLine="601"/>
        <w:spacing w:before="98" w:line="330" w:lineRule="auto"/>
        <w:jc w:val="both"/>
        <w:rPr/>
      </w:pPr>
      <w:r>
        <w:rPr>
          <w:spacing w:val="-15"/>
        </w:rPr>
        <w:t>一是以雄安城市计算中心（“一中心”）为承</w:t>
      </w:r>
      <w:r>
        <w:rPr>
          <w:spacing w:val="-16"/>
        </w:rPr>
        <w:t>载基础设施，构</w:t>
      </w:r>
      <w:r>
        <w:rPr>
          <w:spacing w:val="-1"/>
        </w:rPr>
        <w:t>建了“数字孪生平台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物联网平台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视频一张网平台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综合数据平</w:t>
      </w:r>
      <w:r>
        <w:rPr>
          <w:spacing w:val="-11"/>
        </w:rPr>
        <w:t>台”的城市基础设施公共平台体系，初步实现城市数据底层汇聚。</w:t>
      </w:r>
    </w:p>
    <w:p>
      <w:pPr>
        <w:pStyle w:val="BodyText"/>
        <w:ind w:left="26" w:right="20" w:firstLine="604"/>
        <w:spacing w:before="291" w:line="339" w:lineRule="auto"/>
        <w:jc w:val="both"/>
        <w:rPr/>
      </w:pPr>
      <w:r>
        <w:rPr>
          <w:spacing w:val="-1"/>
        </w:rPr>
        <w:t>二是中心融合数字技术创新应用，提升城市治理效率。如：</w:t>
      </w:r>
      <w:r>
        <w:rPr>
          <w:spacing w:val="-4"/>
        </w:rPr>
        <w:t>雄安新区数字道路基于中心能力打造了“绿波通行”“智慧斑马</w:t>
      </w:r>
      <w:r>
        <w:rPr>
          <w:spacing w:val="-9"/>
        </w:rPr>
        <w:t>线”等交通仿真、智慧交管业务创新实践， 实现测试路段通行时</w:t>
      </w:r>
      <w:r>
        <w:rPr>
          <w:spacing w:val="-4"/>
        </w:rPr>
        <w:t>长减少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33%</w:t>
      </w:r>
      <w:r>
        <w:rPr>
          <w:spacing w:val="-4"/>
        </w:rPr>
        <w:t>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二、存在问题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．问题一：战略定位迭代滞后，算力能力将显不足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5" w:right="104" w:firstLine="605"/>
        <w:spacing w:before="97" w:line="335" w:lineRule="auto"/>
        <w:jc w:val="both"/>
        <w:rPr/>
      </w:pPr>
      <w:r>
        <w:rPr>
          <w:spacing w:val="-2"/>
        </w:rPr>
        <w:t>一是雄安城市计算中心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2019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年确定的定位与当前行业高价</w:t>
      </w:r>
      <w:r>
        <w:rPr>
          <w:spacing w:val="-8"/>
        </w:rPr>
        <w:t>值区域存在机会差距。雄安新区作为数字城市，</w:t>
      </w:r>
      <w:r>
        <w:rPr>
          <w:spacing w:val="-32"/>
        </w:rPr>
        <w:t xml:space="preserve"> </w:t>
      </w:r>
      <w:r>
        <w:rPr>
          <w:spacing w:val="-8"/>
        </w:rPr>
        <w:t>新建区域基础设</w:t>
      </w:r>
      <w:r>
        <w:rPr>
          <w:spacing w:val="-5"/>
        </w:rPr>
        <w:t>施智慧化水平超过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90%</w:t>
      </w:r>
      <w:r>
        <w:rPr>
          <w:spacing w:val="-5"/>
        </w:rPr>
        <w:t>，集“边云超网智”为一体的融合服务将</w:t>
      </w:r>
      <w:r>
        <w:rPr>
          <w:spacing w:val="-3"/>
        </w:rPr>
        <w:t>替代传统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IDC </w:t>
      </w:r>
      <w:r>
        <w:rPr>
          <w:spacing w:val="-3"/>
        </w:rPr>
        <w:t>基础资源租赁，成为行业新高价值区。</w:t>
      </w:r>
    </w:p>
    <w:p>
      <w:pPr>
        <w:pStyle w:val="BodyText"/>
        <w:ind w:left="26" w:right="104" w:firstLine="604"/>
        <w:spacing w:before="263" w:line="334" w:lineRule="auto"/>
        <w:jc w:val="both"/>
        <w:rPr/>
      </w:pPr>
      <w:r>
        <w:rPr>
          <w:spacing w:val="-5"/>
        </w:rPr>
        <w:t>二是中心缺乏市场所需的多样异构算力。当前大模型算法推</w:t>
      </w:r>
      <w:r>
        <w:rPr>
          <w:spacing w:val="-4"/>
        </w:rPr>
        <w:t>动人工智能更通用化，新区未来空天产业、智能交通、新一代通</w:t>
      </w:r>
      <w:r>
        <w:rPr>
          <w:spacing w:val="-4"/>
        </w:rPr>
        <w:t>信技术等数字产业应用将催生个性化智算、极致化超算等多样异</w:t>
      </w:r>
    </w:p>
    <w:p>
      <w:pPr>
        <w:spacing w:line="334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27" w:right="107" w:firstLine="2"/>
        <w:spacing w:before="183" w:line="331" w:lineRule="auto"/>
        <w:jc w:val="both"/>
        <w:rPr/>
      </w:pPr>
      <w:r>
        <w:rPr>
          <w:spacing w:val="-3"/>
        </w:rPr>
        <w:t>构需求激增，如：当前雄安新区气象局提出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450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3"/>
        </w:rPr>
        <w:t>万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TPS  </w:t>
      </w:r>
      <w:r>
        <w:rPr>
          <w:spacing w:val="-3"/>
        </w:rPr>
        <w:t>的超算</w:t>
      </w:r>
      <w:r>
        <w:rPr>
          <w:spacing w:val="-11"/>
        </w:rPr>
        <w:t>需求，达闼科技提出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100P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1"/>
        </w:rPr>
        <w:t>智算需求。目前中心仅实现通算建设，</w:t>
      </w:r>
      <w:r>
        <w:rPr>
          <w:spacing w:val="-3"/>
        </w:rPr>
        <w:t>面对市场需求，存在智算、超算能力不足的困境。</w:t>
      </w:r>
    </w:p>
    <w:p>
      <w:pPr>
        <w:pStyle w:val="BodyText"/>
        <w:ind w:left="624"/>
        <w:spacing w:before="28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．问题二：运营及服务融合不足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7" w:right="110" w:firstLine="603"/>
        <w:spacing w:before="97" w:line="336" w:lineRule="auto"/>
        <w:jc w:val="both"/>
        <w:rPr/>
      </w:pPr>
      <w:r>
        <w:rPr>
          <w:spacing w:val="-4"/>
        </w:rPr>
        <w:t>一是技术堵点导致运营融合不足。因服务器、</w:t>
      </w:r>
      <w:r>
        <w:rPr>
          <w:spacing w:val="-5"/>
        </w:rPr>
        <w:t>芯片、算法的</w:t>
      </w:r>
      <w:r>
        <w:rPr>
          <w:spacing w:val="-4"/>
        </w:rPr>
        <w:t>标准不统一，导致城市计算中心在整合算、网、数、智、安等多</w:t>
      </w:r>
      <w:r>
        <w:rPr>
          <w:spacing w:val="-9"/>
        </w:rPr>
        <w:t>要素能力时，软硬件产品兼容性问题突出。如： 雄安城市计算中</w:t>
      </w:r>
      <w:r>
        <w:rPr>
          <w:spacing w:val="-3"/>
        </w:rPr>
        <w:t>心系统架构及业务基于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Intel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3"/>
        </w:rPr>
        <w:t>的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X86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服务器、英伟达</w:t>
      </w:r>
      <w:r>
        <w:rPr>
          <w:spacing w:val="-4"/>
        </w:rPr>
        <w:t>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T4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4"/>
        </w:rPr>
        <w:t>芯片</w:t>
      </w:r>
      <w:r>
        <w:rPr>
          <w:spacing w:val="-3"/>
        </w:rPr>
        <w:t>开发，目前面临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176 </w:t>
      </w:r>
      <w:r>
        <w:rPr>
          <w:spacing w:val="-3"/>
        </w:rPr>
        <w:t>个应用系统适配、改造、迁移</w:t>
      </w:r>
      <w:r>
        <w:rPr>
          <w:spacing w:val="-4"/>
        </w:rPr>
        <w:t>等问题。</w:t>
      </w:r>
    </w:p>
    <w:p>
      <w:pPr>
        <w:pStyle w:val="BodyText"/>
        <w:ind w:left="25" w:right="3" w:firstLine="605"/>
        <w:spacing w:before="252" w:line="332" w:lineRule="auto"/>
        <w:jc w:val="both"/>
        <w:rPr/>
      </w:pPr>
      <w:r>
        <w:rPr>
          <w:spacing w:val="-9"/>
        </w:rPr>
        <w:t>二是服务模式与场景融合不足。当前，</w:t>
      </w:r>
      <w:r>
        <w:rPr>
          <w:spacing w:val="-28"/>
        </w:rPr>
        <w:t xml:space="preserve"> </w:t>
      </w:r>
      <w:r>
        <w:rPr>
          <w:spacing w:val="-9"/>
        </w:rPr>
        <w:t>雄安城市计算中心服</w:t>
      </w:r>
      <w:r>
        <w:rPr>
          <w:spacing w:val="-1"/>
        </w:rPr>
        <w:t>务模式仍以 </w:t>
      </w:r>
      <w:r>
        <w:rPr>
          <w:rFonts w:ascii="Times New Roman" w:hAnsi="Times New Roman" w:eastAsia="Times New Roman" w:cs="Times New Roman"/>
          <w:spacing w:val="-1"/>
        </w:rPr>
        <w:t>IaaS  </w:t>
      </w:r>
      <w:r>
        <w:rPr>
          <w:spacing w:val="-1"/>
        </w:rPr>
        <w:t>为主，缺乏与行业深度融合的平</w:t>
      </w:r>
      <w:r>
        <w:rPr>
          <w:spacing w:val="-2"/>
        </w:rPr>
        <w:t>台及应用一体</w:t>
      </w:r>
      <w:r>
        <w:rPr>
          <w:spacing w:val="-9"/>
        </w:rPr>
        <w:t>化供给。如： 雄安数字孪生场景中，基础算力由雄安城市计算中</w:t>
      </w:r>
      <w:r>
        <w:rPr/>
        <w:t>心提供，算法及平台由信通院提供，存在主体多元、能力分散、</w:t>
      </w:r>
      <w:r>
        <w:rPr>
          <w:spacing w:val="-4"/>
        </w:rPr>
        <w:t>度量不统一、服务融合不足的问题。</w:t>
      </w:r>
    </w:p>
    <w:p>
      <w:pPr>
        <w:pStyle w:val="BodyText"/>
        <w:ind w:left="621"/>
        <w:spacing w:before="28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．问题三：网信安全及数据安全面临风险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5" w:firstLine="602"/>
        <w:spacing w:before="98" w:line="333" w:lineRule="auto"/>
        <w:jc w:val="both"/>
        <w:rPr/>
      </w:pPr>
      <w:r>
        <w:rPr>
          <w:spacing w:val="-4"/>
        </w:rPr>
        <w:t>作为新区唯一的数据中心，雄安城市计算中心面临城</w:t>
      </w:r>
      <w:r>
        <w:rPr>
          <w:spacing w:val="-5"/>
        </w:rPr>
        <w:t>市多源</w:t>
      </w:r>
      <w:r>
        <w:rPr>
          <w:spacing w:val="-4"/>
        </w:rPr>
        <w:t>泛在场景中数据高聚集、多维度存储的挑战。当前中心参照政务</w:t>
      </w:r>
      <w:r>
        <w:rPr>
          <w:spacing w:val="7"/>
        </w:rPr>
        <w:t>云标准采取的三级等保体系可能无法应对未来在网信安全及数</w:t>
      </w:r>
      <w:r>
        <w:rPr>
          <w:spacing w:val="-3"/>
        </w:rPr>
        <w:t>据防护方面的风险。如：当前中心仍以防火墙、抗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DDoS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3"/>
        </w:rPr>
        <w:t>攻击、</w:t>
      </w:r>
      <w:r>
        <w:rPr>
          <w:spacing w:val="-4"/>
        </w:rPr>
        <w:t>病毒防护等传统手段为主，无法解决跨系统、跨域、甚至跨境等</w:t>
      </w:r>
      <w:r>
        <w:rPr>
          <w:spacing w:val="-4"/>
        </w:rPr>
        <w:t>多场景点对点的网络攻击，以及数据多节点传输引发的损毁、泄</w:t>
      </w:r>
      <w:r>
        <w:rPr>
          <w:spacing w:val="-3"/>
        </w:rPr>
        <w:t>露等风险。</w:t>
      </w:r>
    </w:p>
    <w:p>
      <w:pPr>
        <w:spacing w:line="333" w:lineRule="auto"/>
        <w:sectPr>
          <w:pgSz w:w="11907" w:h="16839"/>
          <w:pgMar w:top="1431" w:right="1687" w:bottom="0" w:left="1785" w:header="0" w:footer="0" w:gutter="0"/>
        </w:sectPr>
        <w:rPr/>
      </w:pPr>
    </w:p>
    <w:p>
      <w:pPr>
        <w:ind w:left="676"/>
        <w:spacing w:before="167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三、对应建议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20" w:lineRule="auto"/>
        <w:outlineLvl w:val="3"/>
        <w:rPr/>
      </w:pPr>
      <w:r>
        <w:rPr>
          <w:b/>
          <w:bCs/>
          <w:spacing w:val="-3"/>
        </w:rPr>
        <w:t>（一）提升战略定位，适度超前做强城市算网底座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．提升战略高度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9" w:right="147" w:firstLine="596"/>
        <w:spacing w:before="98" w:line="333" w:lineRule="auto"/>
        <w:jc w:val="both"/>
        <w:rPr/>
      </w:pPr>
      <w:r>
        <w:rPr>
          <w:spacing w:val="-4"/>
        </w:rPr>
        <w:t>基于新区批复的唯一永久性数据中心排他性竞争优势，将中</w:t>
      </w:r>
      <w:r>
        <w:rPr>
          <w:spacing w:val="6"/>
        </w:rPr>
        <w:t>心原有定位提升为中国电信天翼云雄安节点赋能雄安新区建设</w:t>
      </w:r>
      <w:r>
        <w:rPr>
          <w:spacing w:val="-8"/>
        </w:rPr>
        <w:t>与智慧运营、高质量发展的示范试点，</w:t>
      </w:r>
      <w:r>
        <w:rPr>
          <w:spacing w:val="-37"/>
        </w:rPr>
        <w:t xml:space="preserve"> </w:t>
      </w:r>
      <w:r>
        <w:rPr>
          <w:spacing w:val="-8"/>
        </w:rPr>
        <w:t>夯实雄安城市计算中心作</w:t>
      </w:r>
      <w:r>
        <w:rPr>
          <w:spacing w:val="-4"/>
        </w:rPr>
        <w:t>为数字基础设施赋能者的战略地位。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．适度超前做强城市算网底座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5" w:firstLine="599"/>
        <w:spacing w:before="97" w:line="333" w:lineRule="auto"/>
        <w:jc w:val="both"/>
        <w:rPr/>
      </w:pPr>
      <w:r>
        <w:rPr>
          <w:spacing w:val="-4"/>
        </w:rPr>
        <w:t>在中心现有通用算力基础上，适度超前布局超算、</w:t>
      </w:r>
      <w:r>
        <w:rPr>
          <w:spacing w:val="-5"/>
        </w:rPr>
        <w:t>智算及极</w:t>
      </w:r>
      <w:r>
        <w:rPr>
          <w:spacing w:val="-4"/>
        </w:rPr>
        <w:t>速算力承载网等基础设施，推动中国电信算力调度平台 “息壤”</w:t>
      </w:r>
      <w:r>
        <w:rPr>
          <w:spacing w:val="-1"/>
        </w:rPr>
        <w:t>在雄安的落地试点，横向实现与衡水、天津城市数据中心协同，</w:t>
      </w:r>
      <w:r>
        <w:rPr>
          <w:spacing w:val="-4"/>
        </w:rPr>
        <w:t>助力京津冀一体化算力发展，纵向与中国电信乃至全国数据中心</w:t>
      </w:r>
      <w:r>
        <w:rPr>
          <w:spacing w:val="-4"/>
        </w:rPr>
        <w:t>打通，打造以“智算为主，通算、边缘计算、超算为辅”的多样</w:t>
      </w:r>
      <w:r>
        <w:rPr>
          <w:spacing w:val="-3"/>
        </w:rPr>
        <w:t>异构算力结构，实现全国范围内算力资源按需调度。</w:t>
      </w:r>
    </w:p>
    <w:p>
      <w:pPr>
        <w:pStyle w:val="BodyText"/>
        <w:ind w:left="636"/>
        <w:spacing w:before="270" w:line="220" w:lineRule="auto"/>
        <w:outlineLvl w:val="3"/>
        <w:rPr/>
      </w:pPr>
      <w:r>
        <w:rPr>
          <w:b/>
          <w:bCs/>
          <w:spacing w:val="-6"/>
        </w:rPr>
        <w:t>（二）</w:t>
      </w:r>
      <w:r>
        <w:rPr>
          <w:spacing w:val="-90"/>
        </w:rPr>
        <w:t xml:space="preserve"> </w:t>
      </w:r>
      <w:r>
        <w:rPr>
          <w:b/>
          <w:bCs/>
          <w:spacing w:val="-6"/>
        </w:rPr>
        <w:t>创新算网新业态新服务，提升运营新能力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．技术协同创新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9" w:right="149" w:firstLine="608"/>
        <w:spacing w:before="98" w:line="332" w:lineRule="auto"/>
        <w:jc w:val="both"/>
        <w:rPr/>
      </w:pPr>
      <w:r>
        <w:rPr>
          <w:spacing w:val="7"/>
        </w:rPr>
        <w:t>支撑多生态间联合创新协作，能够实现基于天翼云网融合</w:t>
      </w:r>
      <w:r>
        <w:rPr>
          <w:rFonts w:ascii="Times New Roman" w:hAnsi="Times New Roman" w:eastAsia="Times New Roman" w:cs="Times New Roman"/>
          <w:spacing w:val="-1"/>
        </w:rPr>
        <w:t>4.0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spacing w:val="-1"/>
        </w:rPr>
        <w:t>架构，打造开放、统一的算网融合创新平台。重点突破多云</w:t>
      </w:r>
      <w:r>
        <w:rPr>
          <w:spacing w:val="-4"/>
        </w:rPr>
        <w:t>管理、算力度量、算力感知、算网融合等关键技术创新研发及标</w:t>
      </w:r>
      <w:r>
        <w:rPr>
          <w:spacing w:val="-3"/>
        </w:rPr>
        <w:t>准统一，形成算网资源底层互通的标准化通道。</w:t>
      </w:r>
    </w:p>
    <w:p>
      <w:pPr>
        <w:pStyle w:val="BodyText"/>
        <w:ind w:left="624"/>
        <w:spacing w:before="283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．创新“算</w:t>
      </w:r>
      <w:r>
        <w:rPr>
          <w:rFonts w:ascii="Times New Roman" w:hAnsi="Times New Roman" w:eastAsia="Times New Roman" w:cs="Times New Roman"/>
          <w:b/>
          <w:bCs/>
          <w:spacing w:val="-5"/>
        </w:rPr>
        <w:t>+</w:t>
      </w:r>
      <w:r>
        <w:rPr>
          <w:b/>
          <w:bCs/>
          <w:spacing w:val="-5"/>
        </w:rPr>
        <w:t>网</w:t>
      </w:r>
      <w:r>
        <w:rPr>
          <w:rFonts w:ascii="Times New Roman" w:hAnsi="Times New Roman" w:eastAsia="Times New Roman" w:cs="Times New Roman"/>
          <w:b/>
          <w:bCs/>
          <w:spacing w:val="-5"/>
        </w:rPr>
        <w:t>+</w:t>
      </w:r>
      <w:r>
        <w:rPr>
          <w:b/>
          <w:bCs/>
          <w:spacing w:val="-5"/>
        </w:rPr>
        <w:t>服务</w:t>
      </w:r>
      <w:r>
        <w:rPr>
          <w:spacing w:val="-93"/>
        </w:rPr>
        <w:t xml:space="preserve"> </w:t>
      </w:r>
      <w:r>
        <w:rPr>
          <w:b/>
          <w:bCs/>
          <w:spacing w:val="-5"/>
        </w:rPr>
        <w:t>”的一体化供给模式</w:t>
      </w:r>
    </w:p>
    <w:p>
      <w:pPr>
        <w:spacing w:line="233" w:lineRule="auto"/>
        <w:sectPr>
          <w:pgSz w:w="11907" w:h="16839"/>
          <w:pgMar w:top="1431" w:right="1650" w:bottom="0" w:left="1785" w:header="0" w:footer="0" w:gutter="0"/>
        </w:sectPr>
        <w:rPr/>
      </w:pPr>
    </w:p>
    <w:p>
      <w:pPr>
        <w:pStyle w:val="BodyText"/>
        <w:ind w:left="25" w:right="28" w:firstLine="628"/>
        <w:spacing w:before="179" w:line="334" w:lineRule="auto"/>
        <w:jc w:val="both"/>
        <w:rPr/>
      </w:pPr>
      <w:r>
        <w:rPr>
          <w:spacing w:val="-5"/>
        </w:rPr>
        <w:t>围绕新区未来产业重心，重点培育如：智慧出行、</w:t>
      </w:r>
      <w:r>
        <w:rPr>
          <w:spacing w:val="-6"/>
        </w:rPr>
        <w:t>智能工厂</w:t>
      </w:r>
      <w:r>
        <w:rPr>
          <w:spacing w:val="-4"/>
        </w:rPr>
        <w:t>等低延时高可靠的算网融合场景应用，以联合实验室为载体，打</w:t>
      </w:r>
      <w:r>
        <w:rPr>
          <w:spacing w:val="-1"/>
        </w:rPr>
        <w:t>造包含行业通用大模型的融合数字平台，激发算网应用及服务，</w:t>
      </w:r>
      <w:r>
        <w:rPr>
          <w:spacing w:val="-3"/>
        </w:rPr>
        <w:t>形成按需调度、融合智能的任务式新型服务模式。</w:t>
      </w:r>
    </w:p>
    <w:p>
      <w:pPr>
        <w:pStyle w:val="BodyText"/>
        <w:ind w:left="636"/>
        <w:spacing w:before="270" w:line="220" w:lineRule="auto"/>
        <w:outlineLvl w:val="3"/>
        <w:rPr/>
      </w:pPr>
      <w:r>
        <w:rPr>
          <w:b/>
          <w:bCs/>
          <w:spacing w:val="-10"/>
        </w:rPr>
        <w:t>（三）</w:t>
      </w:r>
      <w:r>
        <w:rPr>
          <w:spacing w:val="-85"/>
        </w:rPr>
        <w:t xml:space="preserve"> </w:t>
      </w:r>
      <w:r>
        <w:rPr>
          <w:b/>
          <w:bCs/>
          <w:spacing w:val="-10"/>
        </w:rPr>
        <w:t>完善安全保障体系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．强化数据安全防护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6" w:firstLine="599"/>
        <w:spacing w:before="97" w:line="334" w:lineRule="auto"/>
        <w:jc w:val="both"/>
        <w:rPr/>
      </w:pPr>
      <w:r>
        <w:rPr/>
        <w:t>加快数据中心资产管理和数据资源分级分类，面向保密性、</w:t>
      </w:r>
      <w:r>
        <w:rPr>
          <w:spacing w:val="-4"/>
        </w:rPr>
        <w:t>完整性等需求更强的资产及数据，将防护标准从等保三级逐步提</w:t>
      </w:r>
      <w:r>
        <w:rPr>
          <w:spacing w:val="-9"/>
        </w:rPr>
        <w:t>升至等保四级。引入区块链、隐私计算等新技术， 探索“数据不</w:t>
      </w:r>
      <w:r>
        <w:rPr>
          <w:spacing w:val="-25"/>
        </w:rPr>
        <w:t>跨界、算法模型跨界”、“数据可用不可见”的数据安全流通机制。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．完善网络安全保障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 w:right="110" w:firstLine="601"/>
        <w:spacing w:before="97" w:line="334" w:lineRule="auto"/>
        <w:jc w:val="both"/>
        <w:rPr/>
      </w:pPr>
      <w:r>
        <w:rPr>
          <w:spacing w:val="-4"/>
        </w:rPr>
        <w:t>面向数据中心底层设施和关键设备加强安全检测，</w:t>
      </w:r>
      <w:r>
        <w:rPr>
          <w:spacing w:val="-5"/>
        </w:rPr>
        <w:t>提升安全</w:t>
      </w:r>
      <w:r>
        <w:rPr>
          <w:spacing w:val="-4"/>
        </w:rPr>
        <w:t>态势监测、流量防护、威胁处置等能力。强化大型数据中心安全</w:t>
      </w:r>
      <w:r>
        <w:rPr>
          <w:spacing w:val="-3"/>
        </w:rPr>
        <w:t>协同，构建边缘流量和云侧联动的安全威胁分析能力。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171983</wp:posOffset>
            </wp:positionH>
            <wp:positionV relativeFrom="paragraph">
              <wp:posOffset>77338</wp:posOffset>
            </wp:positionV>
            <wp:extent cx="822960" cy="123596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960" cy="123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163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叶美灵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【18117057291】</w:t>
      </w:r>
    </w:p>
    <w:p>
      <w:pPr>
        <w:ind w:left="2164" w:right="423" w:firstLine="268"/>
        <w:spacing w:before="107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硕士，长期从事产业数字化研究工作，近几年</w:t>
      </w:r>
      <w:r>
        <w:rPr>
          <w:rFonts w:ascii="KaiTi" w:hAnsi="KaiTi" w:eastAsia="KaiTi" w:cs="KaiTi"/>
          <w:sz w:val="28"/>
          <w:szCs w:val="28"/>
          <w:spacing w:val="-3"/>
        </w:rPr>
        <w:t>专注智慧城市、元宇宙、数字孪生等领域研究。</w:t>
      </w:r>
    </w:p>
    <w:p>
      <w:pPr>
        <w:spacing w:line="225" w:lineRule="auto"/>
        <w:sectPr>
          <w:pgSz w:w="11907" w:h="16839"/>
          <w:pgMar w:top="1431" w:right="1689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150"/>
        <w:spacing w:before="296" w:line="22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1298447</wp:posOffset>
            </wp:positionH>
            <wp:positionV relativeFrom="page">
              <wp:posOffset>937260</wp:posOffset>
            </wp:positionV>
            <wp:extent cx="830580" cy="24765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5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5"/>
        </w:rPr>
        <w:t>赵静</w:t>
      </w:r>
    </w:p>
    <w:p>
      <w:pPr>
        <w:ind w:left="2154" w:right="311" w:firstLine="278"/>
        <w:spacing w:before="111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硕士，初级工程师，长期从事云网融合关键技</w:t>
      </w:r>
      <w:r>
        <w:rPr>
          <w:rFonts w:ascii="KaiTi" w:hAnsi="KaiTi" w:eastAsia="KaiTi" w:cs="KaiTi"/>
          <w:sz w:val="28"/>
          <w:szCs w:val="28"/>
          <w:spacing w:val="-1"/>
        </w:rPr>
        <w:t>术及产业研究，近期专注于智算、数字孪生、光</w:t>
      </w:r>
      <w:r>
        <w:rPr>
          <w:rFonts w:ascii="KaiTi" w:hAnsi="KaiTi" w:eastAsia="KaiTi" w:cs="KaiTi"/>
          <w:sz w:val="28"/>
          <w:szCs w:val="28"/>
          <w:spacing w:val="-2"/>
        </w:rPr>
        <w:t>网络等领域研究。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2161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李祎茜</w:t>
      </w:r>
    </w:p>
    <w:p>
      <w:pPr>
        <w:ind w:left="2165" w:right="311" w:firstLine="299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同济大学硕士，主要从事行业研究、产品服务</w:t>
      </w:r>
      <w:r>
        <w:rPr>
          <w:rFonts w:ascii="KaiTi" w:hAnsi="KaiTi" w:eastAsia="KaiTi" w:cs="KaiTi"/>
          <w:sz w:val="28"/>
          <w:szCs w:val="28"/>
          <w:spacing w:val="-3"/>
        </w:rPr>
        <w:t>洞察等相关工作。</w:t>
      </w:r>
    </w:p>
    <w:p>
      <w:pPr>
        <w:spacing w:line="223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rPr>
          <w:rFonts w:ascii="Arial"/>
          <w:sz w:val="21"/>
        </w:rPr>
      </w:pPr>
      <w:r/>
    </w:p>
    <w:sectPr>
      <w:headerReference w:type="default" r:id="rId3"/>
      <w:footerReference w:type="default" r:id="rId4"/>
      <w:pgSz w:w="11907" w:h="16839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2023-12-11T14:42:31Z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2025-11-04T15:55:15</vt:filetime>
  </property>
</Properties>
</file>