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B126B">
      <w:pPr>
        <w:spacing w:line="360" w:lineRule="auto"/>
        <w:jc w:val="center"/>
        <w:outlineLvl w:val="0"/>
        <w:rPr>
          <w:rFonts w:hint="default" w:ascii="微软雅黑" w:hAnsi="微软雅黑" w:eastAsia="微软雅黑" w:cs="Times New Roman"/>
          <w:b/>
          <w:bCs/>
          <w:sz w:val="40"/>
          <w:szCs w:val="40"/>
          <w:lang w:val="en-US" w:eastAsia="zh-CN"/>
        </w:rPr>
      </w:pPr>
      <w:r>
        <w:rPr>
          <w:rFonts w:hint="eastAsia" w:ascii="微软雅黑" w:hAnsi="微软雅黑" w:eastAsia="微软雅黑" w:cs="Times New Roman"/>
          <w:b/>
          <w:bCs/>
          <w:sz w:val="40"/>
          <w:szCs w:val="40"/>
          <w:lang w:val="en-US" w:eastAsia="zh-CN"/>
        </w:rPr>
        <w:t>面向不同客户群体的产数重点产品服务调研报告</w:t>
      </w:r>
    </w:p>
    <w:p w14:paraId="34587FEB">
      <w:pPr>
        <w:spacing w:before="100" w:beforeAutospacing="1" w:after="468" w:afterLines="150" w:line="500" w:lineRule="exact"/>
        <w:jc w:val="center"/>
        <w:rPr>
          <w:rFonts w:hint="default" w:ascii="华文楷体" w:hAnsi="华文楷体" w:eastAsia="华文楷体" w:cs="微软雅黑"/>
          <w:sz w:val="30"/>
          <w:szCs w:val="30"/>
          <w:lang w:val="en-US" w:eastAsia="zh-CN"/>
        </w:rPr>
      </w:pPr>
      <w:r>
        <w:rPr>
          <w:rFonts w:hint="eastAsia" w:ascii="华文楷体" w:hAnsi="华文楷体" w:eastAsia="华文楷体" w:cs="微软雅黑"/>
          <w:sz w:val="30"/>
          <w:szCs w:val="30"/>
          <w:lang w:val="en-US" w:eastAsia="zh-CN"/>
        </w:rPr>
        <w:t>文/王文治</w:t>
      </w:r>
    </w:p>
    <w:p w14:paraId="1EE1B182">
      <w:pPr>
        <w:pStyle w:val="2"/>
        <w:keepNext/>
        <w:keepLines/>
        <w:numPr>
          <w:ilvl w:val="0"/>
          <w:numId w:val="1"/>
        </w:numPr>
        <w:bidi w:val="0"/>
        <w:spacing w:before="340" w:beforeAutospacing="0" w:after="330" w:afterAutospacing="0" w:line="578" w:lineRule="auto"/>
        <w:ind w:left="0" w:leftChars="0" w:firstLine="420" w:firstLineChars="0"/>
        <w:jc w:val="both"/>
        <w:outlineLvl w:val="0"/>
        <w:rPr>
          <w:rFonts w:hint="eastAsia" w:ascii="黑体" w:hAnsi="黑体" w:eastAsia="黑体" w:cs="黑体"/>
          <w:sz w:val="32"/>
          <w:szCs w:val="20"/>
          <w:lang w:val="en-US" w:eastAsia="zh-CN" w:bidi="ar-SA"/>
        </w:rPr>
      </w:pPr>
      <w:bookmarkStart w:id="0" w:name="_Toc27464"/>
      <w:r>
        <w:rPr>
          <w:rFonts w:hint="eastAsia" w:ascii="黑体" w:hAnsi="黑体" w:eastAsia="黑体" w:cs="黑体"/>
          <w:sz w:val="32"/>
          <w:szCs w:val="20"/>
          <w:lang w:val="en-US" w:eastAsia="zh-CN" w:bidi="ar-SA"/>
        </w:rPr>
        <w:t>调研基本情况</w:t>
      </w:r>
      <w:bookmarkEnd w:id="0"/>
    </w:p>
    <w:p w14:paraId="026AE088">
      <w:pPr>
        <w:pStyle w:val="3"/>
        <w:keepNext/>
        <w:keepLines/>
        <w:numPr>
          <w:ilvl w:val="0"/>
          <w:numId w:val="2"/>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bookmarkStart w:id="1" w:name="_Toc7977"/>
      <w:r>
        <w:rPr>
          <w:rFonts w:hint="eastAsia" w:ascii="宋体" w:hAnsi="宋体" w:eastAsia="宋体" w:cs="宋体"/>
          <w:bCs w:val="0"/>
          <w:kern w:val="2"/>
          <w:sz w:val="30"/>
          <w:szCs w:val="30"/>
          <w:lang w:val="en-US" w:eastAsia="zh-CN" w:bidi="ar-SA"/>
        </w:rPr>
        <w:t>调研主题</w:t>
      </w:r>
      <w:bookmarkEnd w:id="1"/>
    </w:p>
    <w:p w14:paraId="3DA1F193">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针对国资主导单位、IT能力突出单位、中小服务业、生产制造企业、社会服务单位等不同客户群体进行中国电信重点产数业务的服务感知调研，深入洞察不同客户群体的服务感知现状及痛点，分析当前存在的主要问题、感知短板等，并提出下一步优化举措。</w:t>
      </w:r>
      <w:bookmarkStart w:id="6" w:name="_GoBack"/>
      <w:bookmarkEnd w:id="6"/>
    </w:p>
    <w:p w14:paraId="0E9D6A05">
      <w:pPr>
        <w:pStyle w:val="3"/>
        <w:keepNext/>
        <w:keepLines/>
        <w:numPr>
          <w:ilvl w:val="0"/>
          <w:numId w:val="2"/>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bookmarkStart w:id="2" w:name="_Toc27801"/>
      <w:r>
        <w:rPr>
          <w:rFonts w:hint="eastAsia" w:ascii="宋体" w:hAnsi="宋体" w:eastAsia="宋体" w:cs="宋体"/>
          <w:bCs w:val="0"/>
          <w:kern w:val="2"/>
          <w:sz w:val="30"/>
          <w:szCs w:val="30"/>
          <w:lang w:val="en-US" w:eastAsia="zh-CN" w:bidi="ar-SA"/>
        </w:rPr>
        <w:t>调研方式</w:t>
      </w:r>
      <w:bookmarkEnd w:id="2"/>
    </w:p>
    <w:p w14:paraId="56B59902">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采用大样本定量调研的方式，通过调研全国3000家行业客户，包括国资主导单位1290家（党政机关、事业单位、学校、国央企等，占比43%）、社会服务企业568家（交通运输、住建、文宣等服务业，占比18.9%）、IT能力突出企业461家（以互联网、IT、金融为主，占比15.4%）、中小服务企业381家（酒店、零售批发等中小企业相对集中行业，占比12.7%）、生产制造企业300家（制造业、汽车等，占比10%），梳理当前不同客户群体对中国电信重点产数产品的客户感知问题。</w:t>
      </w:r>
    </w:p>
    <w:p w14:paraId="733FC385">
      <w:pPr>
        <w:pStyle w:val="2"/>
        <w:keepNext/>
        <w:keepLines/>
        <w:numPr>
          <w:ilvl w:val="0"/>
          <w:numId w:val="1"/>
        </w:numPr>
        <w:bidi w:val="0"/>
        <w:spacing w:before="340" w:beforeAutospacing="0" w:after="330" w:afterAutospacing="0" w:line="578" w:lineRule="auto"/>
        <w:ind w:left="0" w:leftChars="0" w:firstLine="420" w:firstLineChars="0"/>
        <w:jc w:val="both"/>
        <w:outlineLvl w:val="0"/>
        <w:rPr>
          <w:rFonts w:hint="eastAsia" w:ascii="黑体" w:hAnsi="黑体" w:eastAsia="黑体" w:cs="黑体"/>
          <w:sz w:val="32"/>
          <w:szCs w:val="20"/>
          <w:lang w:val="en-US" w:eastAsia="zh-CN" w:bidi="ar-SA"/>
        </w:rPr>
      </w:pPr>
      <w:bookmarkStart w:id="3" w:name="_Toc15103"/>
      <w:r>
        <w:rPr>
          <w:rFonts w:hint="eastAsia" w:ascii="黑体" w:hAnsi="黑体" w:eastAsia="黑体" w:cs="黑体"/>
          <w:sz w:val="32"/>
          <w:szCs w:val="20"/>
          <w:lang w:val="en-US" w:eastAsia="zh-CN" w:bidi="ar-SA"/>
        </w:rPr>
        <w:t>调研核心发现</w:t>
      </w:r>
      <w:bookmarkEnd w:id="3"/>
    </w:p>
    <w:p w14:paraId="30130DBB">
      <w:pPr>
        <w:pStyle w:val="3"/>
        <w:keepNext/>
        <w:keepLines/>
        <w:numPr>
          <w:ilvl w:val="0"/>
          <w:numId w:val="3"/>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bookmarkStart w:id="4" w:name="_Toc4877"/>
      <w:r>
        <w:rPr>
          <w:rFonts w:hint="eastAsia" w:ascii="宋体" w:hAnsi="宋体" w:eastAsia="宋体" w:cs="宋体"/>
          <w:bCs w:val="0"/>
          <w:kern w:val="2"/>
          <w:sz w:val="30"/>
          <w:szCs w:val="30"/>
          <w:lang w:val="en-US" w:eastAsia="zh-CN" w:bidi="ar-SA"/>
        </w:rPr>
        <w:t>国资主导企业对电信认可度高于中小企业、生产制造、社会服务群的客户，且服务感知痛点略有不同</w:t>
      </w:r>
      <w:bookmarkEnd w:id="4"/>
    </w:p>
    <w:p w14:paraId="604526C3">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国资主导客户感知最高，这与中国电信对该类客户群的高度关注与重点服务成正比。IT能力突出的客户，对中国电信的资源类业务需求较高，该类业务电信服务体系已成熟，客户感知相对较高。中小企业、生产制造、社会服务这三类客户群，客户分散且需求复杂，客户感知相对较弱。</w:t>
      </w:r>
    </w:p>
    <w:p w14:paraId="2F035110">
      <w:pPr>
        <w:pStyle w:val="23"/>
        <w:keepNext w:val="0"/>
        <w:keepLines w:val="0"/>
        <w:pageBreakBefore w:val="0"/>
        <w:widowControl/>
        <w:kinsoku/>
        <w:wordWrap/>
        <w:overflowPunct/>
        <w:topLinePunct w:val="0"/>
        <w:autoSpaceDE/>
        <w:autoSpaceDN/>
        <w:bidi w:val="0"/>
        <w:adjustRightInd/>
        <w:snapToGrid w:val="0"/>
        <w:spacing w:line="240" w:lineRule="auto"/>
        <w:ind w:left="0" w:leftChars="0" w:firstLine="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drawing>
          <wp:inline distT="0" distB="0" distL="114300" distR="114300">
            <wp:extent cx="5610860" cy="1623695"/>
            <wp:effectExtent l="0" t="0" r="889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610860" cy="1623695"/>
                    </a:xfrm>
                    <a:prstGeom prst="rect">
                      <a:avLst/>
                    </a:prstGeom>
                    <a:noFill/>
                    <a:ln>
                      <a:noFill/>
                    </a:ln>
                  </pic:spPr>
                </pic:pic>
              </a:graphicData>
            </a:graphic>
          </wp:inline>
        </w:drawing>
      </w:r>
    </w:p>
    <w:p w14:paraId="00B83055">
      <w:pPr>
        <w:pStyle w:val="3"/>
        <w:keepNext/>
        <w:keepLines/>
        <w:numPr>
          <w:ilvl w:val="0"/>
          <w:numId w:val="3"/>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ascii="宋体" w:hAnsi="宋体" w:eastAsia="宋体" w:cs="宋体"/>
          <w:bCs w:val="0"/>
          <w:kern w:val="2"/>
          <w:sz w:val="30"/>
          <w:szCs w:val="30"/>
          <w:lang w:val="en-US" w:eastAsia="zh-CN" w:bidi="ar-SA"/>
        </w:rPr>
        <w:t>方案设计环节、产品质量是5类客户群的主要感知痛点</w:t>
      </w:r>
    </w:p>
    <w:p w14:paraId="0E4DF265">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国资主导客户除产品咨询环节，其他各服务环节、服务渠道、产品的感知均高于其他客户群；社会服务客户的日常维护、故障处理、账单发票是主要感知痛点。</w:t>
      </w:r>
    </w:p>
    <w:p w14:paraId="2F015AE6">
      <w:pPr>
        <w:pStyle w:val="23"/>
        <w:keepNext w:val="0"/>
        <w:keepLines w:val="0"/>
        <w:pageBreakBefore w:val="0"/>
        <w:widowControl/>
        <w:kinsoku/>
        <w:wordWrap/>
        <w:overflowPunct/>
        <w:topLinePunct w:val="0"/>
        <w:autoSpaceDE/>
        <w:autoSpaceDN/>
        <w:bidi w:val="0"/>
        <w:adjustRightInd/>
        <w:snapToGrid w:val="0"/>
        <w:spacing w:line="240" w:lineRule="auto"/>
        <w:ind w:left="0" w:leftChars="0" w:firstLine="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drawing>
          <wp:inline distT="0" distB="0" distL="114300" distR="114300">
            <wp:extent cx="5612130" cy="1751330"/>
            <wp:effectExtent l="0" t="0" r="762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612130" cy="1751330"/>
                    </a:xfrm>
                    <a:prstGeom prst="rect">
                      <a:avLst/>
                    </a:prstGeom>
                    <a:noFill/>
                    <a:ln>
                      <a:noFill/>
                    </a:ln>
                  </pic:spPr>
                </pic:pic>
              </a:graphicData>
            </a:graphic>
          </wp:inline>
        </w:drawing>
      </w:r>
    </w:p>
    <w:p w14:paraId="2D3EDFA3">
      <w:pPr>
        <w:pStyle w:val="2"/>
        <w:keepNext/>
        <w:keepLines/>
        <w:numPr>
          <w:ilvl w:val="0"/>
          <w:numId w:val="1"/>
        </w:numPr>
        <w:bidi w:val="0"/>
        <w:spacing w:before="340" w:beforeAutospacing="0" w:after="330" w:afterAutospacing="0" w:line="578" w:lineRule="auto"/>
        <w:ind w:left="0" w:leftChars="0" w:firstLine="420" w:firstLineChars="0"/>
        <w:jc w:val="both"/>
        <w:outlineLvl w:val="0"/>
        <w:rPr>
          <w:rFonts w:hint="eastAsia" w:ascii="黑体" w:hAnsi="黑体" w:eastAsia="黑体" w:cs="黑体"/>
          <w:sz w:val="32"/>
          <w:szCs w:val="20"/>
          <w:lang w:val="en-US" w:eastAsia="zh-CN" w:bidi="ar-SA"/>
        </w:rPr>
      </w:pPr>
      <w:r>
        <w:rPr>
          <w:rFonts w:hint="eastAsia" w:ascii="黑体" w:hAnsi="黑体" w:eastAsia="黑体" w:cs="黑体"/>
          <w:sz w:val="32"/>
          <w:szCs w:val="20"/>
          <w:lang w:val="en-US" w:eastAsia="zh-CN" w:bidi="ar-SA"/>
        </w:rPr>
        <w:t>调研发现展开分析</w:t>
      </w:r>
    </w:p>
    <w:p w14:paraId="06F3A2DD">
      <w:pPr>
        <w:ind w:firstLine="600" w:firstLineChars="200"/>
        <w:rPr>
          <w:rFonts w:hint="default"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国资主导单位是国家财政支持，包含党政机关、事业单位、学校、国央企等单位；IT能力突出单位是自身有较强网络管理与数字化开发能力，以IT、互联网、金融企业为代表；中小服务业以中小服务业为代表，如酒店、零售批发等；生产制造企业以生产制造为核心业务，包含制造、能源等企业；社会服务以非国资的服务业为代表，如交通物流、媒体、文旅、医院等。</w:t>
      </w:r>
    </w:p>
    <w:p w14:paraId="7134DB54">
      <w:pPr>
        <w:rPr>
          <w:rFonts w:hint="eastAsia"/>
          <w:lang w:val="en-US" w:eastAsia="zh-CN"/>
        </w:rPr>
      </w:pPr>
      <w:r>
        <w:drawing>
          <wp:inline distT="0" distB="0" distL="114300" distR="114300">
            <wp:extent cx="5608320" cy="2340610"/>
            <wp:effectExtent l="0" t="0" r="1143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608320" cy="2340610"/>
                    </a:xfrm>
                    <a:prstGeom prst="rect">
                      <a:avLst/>
                    </a:prstGeom>
                    <a:noFill/>
                    <a:ln>
                      <a:noFill/>
                    </a:ln>
                  </pic:spPr>
                </pic:pic>
              </a:graphicData>
            </a:graphic>
          </wp:inline>
        </w:drawing>
      </w:r>
    </w:p>
    <w:p w14:paraId="42C4DB21">
      <w:pPr>
        <w:pStyle w:val="3"/>
        <w:keepNext/>
        <w:keepLines/>
        <w:numPr>
          <w:ilvl w:val="0"/>
          <w:numId w:val="4"/>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cs="宋体"/>
          <w:bCs w:val="0"/>
          <w:kern w:val="2"/>
          <w:sz w:val="30"/>
          <w:szCs w:val="30"/>
          <w:lang w:val="en-US" w:eastAsia="zh-CN" w:bidi="ar-SA"/>
        </w:rPr>
        <w:t>产品稳定性是国资主导单位与IT能力突出企业关注重点</w:t>
      </w:r>
    </w:p>
    <w:p w14:paraId="6BE851DE">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国资主导单位关注产品稳定与服务表现。国资主导单位对产品的价格相对不敏感，因为价格更换电信的意愿很低，但是对产品的稳定性提出更高要求。</w:t>
      </w:r>
    </w:p>
    <w:p w14:paraId="59FFC994">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Cs w:val="0"/>
          <w:kern w:val="2"/>
          <w:sz w:val="30"/>
          <w:szCs w:val="30"/>
          <w:lang w:val="en-US" w:eastAsia="zh-CN" w:bidi="ar-SA"/>
        </w:rPr>
        <w:t>IT能力突出企业对产品稳定与服务的稳定性提出高标准。</w:t>
      </w:r>
      <w:r>
        <w:rPr>
          <w:rFonts w:hint="eastAsia" w:ascii="宋体" w:hAnsi="宋体" w:eastAsia="宋体" w:cs="宋体"/>
          <w:b w:val="0"/>
          <w:bCs w:val="0"/>
          <w:sz w:val="30"/>
          <w:szCs w:val="30"/>
          <w:lang w:val="en-US" w:eastAsia="zh-CN"/>
        </w:rPr>
        <w:t>服务要求高包括对服务资源投入与服务效率的多重要求，如要求24小时待命、服务人员更换及时通知、简化开通流程、账单发票电子化等。对产品与服务的整体感知较好，但故障处理、服务人员等问题相对突出。</w:t>
      </w:r>
    </w:p>
    <w:p w14:paraId="75E76D43">
      <w:pPr>
        <w:rPr>
          <w:rFonts w:hint="eastAsia" w:ascii="宋体" w:hAnsi="宋体" w:eastAsia="宋体" w:cs="宋体"/>
          <w:b w:val="0"/>
          <w:bCs w:val="0"/>
          <w:sz w:val="30"/>
          <w:szCs w:val="30"/>
          <w:lang w:val="en-US" w:eastAsia="zh-CN"/>
        </w:rPr>
      </w:pPr>
      <w:r>
        <w:drawing>
          <wp:inline distT="0" distB="0" distL="114300" distR="114300">
            <wp:extent cx="5609590" cy="558165"/>
            <wp:effectExtent l="0" t="0" r="1016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609590" cy="558165"/>
                    </a:xfrm>
                    <a:prstGeom prst="rect">
                      <a:avLst/>
                    </a:prstGeom>
                    <a:noFill/>
                    <a:ln>
                      <a:noFill/>
                    </a:ln>
                  </pic:spPr>
                </pic:pic>
              </a:graphicData>
            </a:graphic>
          </wp:inline>
        </w:drawing>
      </w:r>
    </w:p>
    <w:p w14:paraId="4E8B2CE4">
      <w:pPr>
        <w:pStyle w:val="3"/>
        <w:keepNext/>
        <w:keepLines/>
        <w:numPr>
          <w:ilvl w:val="0"/>
          <w:numId w:val="4"/>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ascii="宋体" w:hAnsi="宋体" w:eastAsia="宋体" w:cs="宋体"/>
          <w:bCs w:val="0"/>
          <w:kern w:val="2"/>
          <w:sz w:val="30"/>
          <w:szCs w:val="30"/>
          <w:lang w:val="en-US" w:eastAsia="zh-CN" w:bidi="ar-SA"/>
        </w:rPr>
        <w:t>产品功能与质量</w:t>
      </w:r>
      <w:r>
        <w:rPr>
          <w:rFonts w:hint="eastAsia" w:cs="宋体"/>
          <w:bCs w:val="0"/>
          <w:kern w:val="2"/>
          <w:sz w:val="30"/>
          <w:szCs w:val="30"/>
          <w:lang w:val="en-US" w:eastAsia="zh-CN" w:bidi="ar-SA"/>
        </w:rPr>
        <w:t>是中小服务业关注的重点</w:t>
      </w:r>
    </w:p>
    <w:p w14:paraId="4D94E39E">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中小服务业对服务要求不高，较为认同电信服务，但对产品问题较为敏感，包括产品功能与质量，且对价格较为敏感，可能为此转网。一方面，对中小服务企业而言，客户选择服务是为了解决特定的问题或满足某种需求，良好的产品功能可以增强客户的整体体验；另一方面，在竞争激烈的中小服务业市场中，产品功能可以帮助企业脱颖而出。当前而言，主要存在产品设计不匹配、产品功能弱、产品不稳定等痛点。</w:t>
      </w:r>
    </w:p>
    <w:p w14:paraId="25F08418">
      <w:pPr>
        <w:pStyle w:val="23"/>
        <w:keepNext w:val="0"/>
        <w:keepLines w:val="0"/>
        <w:pageBreakBefore w:val="0"/>
        <w:widowControl/>
        <w:kinsoku/>
        <w:wordWrap/>
        <w:overflowPunct/>
        <w:topLinePunct w:val="0"/>
        <w:autoSpaceDE/>
        <w:autoSpaceDN/>
        <w:bidi w:val="0"/>
        <w:adjustRightInd/>
        <w:snapToGrid w:val="0"/>
        <w:spacing w:line="240" w:lineRule="auto"/>
        <w:ind w:left="0" w:leftChars="0" w:firstLine="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drawing>
          <wp:inline distT="0" distB="0" distL="114300" distR="114300">
            <wp:extent cx="5616575" cy="617855"/>
            <wp:effectExtent l="0" t="0" r="317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616575" cy="617855"/>
                    </a:xfrm>
                    <a:prstGeom prst="rect">
                      <a:avLst/>
                    </a:prstGeom>
                    <a:noFill/>
                    <a:ln>
                      <a:noFill/>
                    </a:ln>
                  </pic:spPr>
                </pic:pic>
              </a:graphicData>
            </a:graphic>
          </wp:inline>
        </w:drawing>
      </w:r>
    </w:p>
    <w:p w14:paraId="27958599">
      <w:pPr>
        <w:pStyle w:val="3"/>
        <w:keepNext/>
        <w:keepLines/>
        <w:numPr>
          <w:ilvl w:val="0"/>
          <w:numId w:val="4"/>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cs="宋体"/>
          <w:bCs w:val="0"/>
          <w:kern w:val="2"/>
          <w:sz w:val="30"/>
          <w:szCs w:val="30"/>
          <w:lang w:val="en-US" w:eastAsia="zh-CN" w:bidi="ar-SA"/>
        </w:rPr>
        <w:t>价格是</w:t>
      </w:r>
      <w:r>
        <w:rPr>
          <w:rFonts w:hint="eastAsia" w:ascii="宋体" w:hAnsi="宋体" w:eastAsia="宋体" w:cs="宋体"/>
          <w:bCs w:val="0"/>
          <w:kern w:val="2"/>
          <w:sz w:val="30"/>
          <w:szCs w:val="30"/>
          <w:lang w:val="en-US" w:eastAsia="zh-CN" w:bidi="ar-SA"/>
        </w:rPr>
        <w:t>生产制造企业</w:t>
      </w:r>
      <w:r>
        <w:rPr>
          <w:rFonts w:hint="eastAsia" w:cs="宋体"/>
          <w:bCs w:val="0"/>
          <w:kern w:val="2"/>
          <w:sz w:val="30"/>
          <w:szCs w:val="30"/>
          <w:lang w:val="en-US" w:eastAsia="zh-CN" w:bidi="ar-SA"/>
        </w:rPr>
        <w:t>选择产品的重要参考</w:t>
      </w:r>
    </w:p>
    <w:p w14:paraId="6FC8F494">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生产制造企业较为关注资费优化以降低成本，性价比高的产品是企业的首选。对于生产制造企业来说，成本控制是保持竞争力的关键，在保持产品售价不变的情况下，增加利润空间，或者在降低产品售价时仍能保持一定的利润水平，从而在市场竞争中更具优势。</w:t>
      </w:r>
    </w:p>
    <w:p w14:paraId="4A47FF03">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另外，出于稳定性与产品性能方面的考虑，生产制造企业通常较多同时使用其他厂商产品，以保证生产过程中的稳定。</w:t>
      </w:r>
    </w:p>
    <w:p w14:paraId="2773D940">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同时，当前存在方案设计弱、日常维护差、故障解决不好等问题同样是导致客户离网的痛点。</w:t>
      </w:r>
    </w:p>
    <w:p w14:paraId="1F0FC110">
      <w:pPr>
        <w:pStyle w:val="23"/>
        <w:keepNext w:val="0"/>
        <w:keepLines w:val="0"/>
        <w:pageBreakBefore w:val="0"/>
        <w:widowControl/>
        <w:kinsoku/>
        <w:wordWrap/>
        <w:overflowPunct/>
        <w:topLinePunct w:val="0"/>
        <w:autoSpaceDE/>
        <w:autoSpaceDN/>
        <w:bidi w:val="0"/>
        <w:adjustRightInd/>
        <w:snapToGrid w:val="0"/>
        <w:spacing w:line="240" w:lineRule="auto"/>
        <w:ind w:left="0" w:leftChars="0" w:firstLine="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drawing>
          <wp:inline distT="0" distB="0" distL="114300" distR="114300">
            <wp:extent cx="5616575" cy="617855"/>
            <wp:effectExtent l="0" t="0" r="3175" b="1079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616575" cy="617855"/>
                    </a:xfrm>
                    <a:prstGeom prst="rect">
                      <a:avLst/>
                    </a:prstGeom>
                    <a:noFill/>
                    <a:ln>
                      <a:noFill/>
                    </a:ln>
                  </pic:spPr>
                </pic:pic>
              </a:graphicData>
            </a:graphic>
          </wp:inline>
        </w:drawing>
      </w:r>
    </w:p>
    <w:p w14:paraId="16B5C16C">
      <w:pPr>
        <w:pStyle w:val="3"/>
        <w:keepNext/>
        <w:keepLines/>
        <w:numPr>
          <w:ilvl w:val="0"/>
          <w:numId w:val="4"/>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ascii="宋体" w:hAnsi="宋体" w:eastAsia="宋体" w:cs="宋体"/>
          <w:bCs w:val="0"/>
          <w:kern w:val="2"/>
          <w:sz w:val="30"/>
          <w:szCs w:val="30"/>
          <w:lang w:val="en-US" w:eastAsia="zh-CN" w:bidi="ar-SA"/>
        </w:rPr>
        <w:t>产品服务表现</w:t>
      </w:r>
      <w:r>
        <w:rPr>
          <w:rFonts w:hint="eastAsia" w:cs="宋体"/>
          <w:bCs w:val="0"/>
          <w:kern w:val="2"/>
          <w:sz w:val="30"/>
          <w:szCs w:val="30"/>
          <w:lang w:val="en-US" w:eastAsia="zh-CN" w:bidi="ar-SA"/>
        </w:rPr>
        <w:t>是</w:t>
      </w:r>
      <w:r>
        <w:rPr>
          <w:rFonts w:hint="eastAsia" w:ascii="宋体" w:hAnsi="宋体" w:eastAsia="宋体" w:cs="宋体"/>
          <w:bCs w:val="0"/>
          <w:kern w:val="2"/>
          <w:sz w:val="30"/>
          <w:szCs w:val="30"/>
          <w:lang w:val="en-US" w:eastAsia="zh-CN" w:bidi="ar-SA"/>
        </w:rPr>
        <w:t>社会服务企业关注</w:t>
      </w:r>
      <w:r>
        <w:rPr>
          <w:rFonts w:hint="eastAsia" w:cs="宋体"/>
          <w:bCs w:val="0"/>
          <w:kern w:val="2"/>
          <w:sz w:val="30"/>
          <w:szCs w:val="30"/>
          <w:lang w:val="en-US" w:eastAsia="zh-CN" w:bidi="ar-SA"/>
        </w:rPr>
        <w:t>重点</w:t>
      </w:r>
    </w:p>
    <w:p w14:paraId="5A41DDA3">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社会服务业的核心是通过服务满足客户需求，服务的质量和表现直接影响客户的体验和忠诚度，在信息化转型过程中，社会服务企业需要通过信息化手段优化服务表现来满足需求并提升服务质量。</w:t>
      </w:r>
    </w:p>
    <w:p w14:paraId="1258E2FC">
      <w:pPr>
        <w:ind w:firstLine="600" w:firstLineChars="200"/>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对以服务导向驱动的社会服务业而言，其对价格相对不敏感，更多关注服务表现，特别是提升服务效率。当前存在服务效率较低的痛点，如提供电子发票、日常维护、故障处理等问题。</w:t>
      </w:r>
    </w:p>
    <w:p w14:paraId="58C111DC">
      <w:pPr>
        <w:pStyle w:val="23"/>
        <w:keepNext w:val="0"/>
        <w:keepLines w:val="0"/>
        <w:pageBreakBefore w:val="0"/>
        <w:widowControl/>
        <w:kinsoku/>
        <w:wordWrap/>
        <w:overflowPunct/>
        <w:topLinePunct w:val="0"/>
        <w:autoSpaceDE/>
        <w:autoSpaceDN/>
        <w:bidi w:val="0"/>
        <w:adjustRightInd/>
        <w:snapToGrid w:val="0"/>
        <w:spacing w:line="240" w:lineRule="auto"/>
        <w:ind w:left="0" w:leftChars="0" w:firstLine="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drawing>
          <wp:inline distT="0" distB="0" distL="114300" distR="114300">
            <wp:extent cx="5616575" cy="617855"/>
            <wp:effectExtent l="0" t="0" r="3175" b="1079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616575" cy="617855"/>
                    </a:xfrm>
                    <a:prstGeom prst="rect">
                      <a:avLst/>
                    </a:prstGeom>
                    <a:noFill/>
                    <a:ln>
                      <a:noFill/>
                    </a:ln>
                  </pic:spPr>
                </pic:pic>
              </a:graphicData>
            </a:graphic>
          </wp:inline>
        </w:drawing>
      </w:r>
    </w:p>
    <w:p w14:paraId="7F4BEA86">
      <w:pPr>
        <w:pStyle w:val="2"/>
        <w:keepNext/>
        <w:keepLines/>
        <w:numPr>
          <w:ilvl w:val="0"/>
          <w:numId w:val="1"/>
        </w:numPr>
        <w:bidi w:val="0"/>
        <w:spacing w:before="340" w:beforeAutospacing="0" w:after="330" w:afterAutospacing="0" w:line="578" w:lineRule="auto"/>
        <w:ind w:left="0" w:leftChars="0" w:firstLine="420" w:firstLineChars="0"/>
        <w:jc w:val="both"/>
        <w:outlineLvl w:val="0"/>
        <w:rPr>
          <w:rFonts w:hint="eastAsia" w:ascii="黑体" w:hAnsi="黑体" w:eastAsia="黑体" w:cs="黑体"/>
          <w:sz w:val="32"/>
          <w:szCs w:val="20"/>
          <w:lang w:val="en-US" w:eastAsia="zh-CN" w:bidi="ar-SA"/>
        </w:rPr>
      </w:pPr>
      <w:r>
        <w:rPr>
          <w:rFonts w:hint="eastAsia" w:ascii="黑体" w:hAnsi="黑体" w:eastAsia="黑体" w:cs="黑体"/>
          <w:sz w:val="32"/>
          <w:szCs w:val="20"/>
          <w:lang w:val="en-US" w:eastAsia="zh-CN" w:bidi="ar-SA"/>
        </w:rPr>
        <w:t>细分客户群服务提升建议</w:t>
      </w:r>
    </w:p>
    <w:p w14:paraId="00114769">
      <w:pPr>
        <w:pStyle w:val="3"/>
        <w:keepNext/>
        <w:keepLines/>
        <w:numPr>
          <w:ilvl w:val="0"/>
          <w:numId w:val="5"/>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bookmarkStart w:id="5" w:name="_Toc56"/>
      <w:r>
        <w:rPr>
          <w:rFonts w:hint="eastAsia" w:ascii="宋体" w:hAnsi="宋体" w:eastAsia="宋体" w:cs="宋体"/>
          <w:bCs w:val="0"/>
          <w:kern w:val="2"/>
          <w:sz w:val="30"/>
          <w:szCs w:val="30"/>
          <w:lang w:val="en-US" w:eastAsia="zh-CN" w:bidi="ar-SA"/>
        </w:rPr>
        <w:t>整体而言，立足当前推动服务智慧化</w:t>
      </w:r>
    </w:p>
    <w:p w14:paraId="0856D9F2">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针对性服务提升，推动数据整合。提升响应时限，</w:t>
      </w:r>
      <w:r>
        <w:rPr>
          <w:rFonts w:hint="eastAsia" w:ascii="宋体" w:hAnsi="宋体" w:eastAsia="宋体" w:cs="宋体"/>
          <w:sz w:val="30"/>
          <w:szCs w:val="30"/>
          <w:lang w:val="en-US" w:eastAsia="zh-CN"/>
        </w:rPr>
        <w:t>为重要客户提供更快响应，同时重点业务明确开通时间标准；</w:t>
      </w:r>
      <w:r>
        <w:rPr>
          <w:rFonts w:hint="eastAsia" w:ascii="宋体" w:hAnsi="宋体" w:eastAsia="宋体" w:cs="宋体"/>
          <w:b/>
          <w:bCs w:val="0"/>
          <w:sz w:val="30"/>
          <w:szCs w:val="30"/>
          <w:lang w:val="en-US" w:eastAsia="zh-CN"/>
        </w:rPr>
        <w:t>数据整合与健康度试点，</w:t>
      </w:r>
      <w:r>
        <w:rPr>
          <w:rFonts w:hint="eastAsia" w:ascii="宋体" w:hAnsi="宋体" w:eastAsia="宋体" w:cs="宋体"/>
          <w:sz w:val="30"/>
          <w:szCs w:val="30"/>
          <w:lang w:val="en-US" w:eastAsia="zh-CN"/>
        </w:rPr>
        <w:t>选择数字化基础好的省份，推动全流程数据整合与伙伴健康度监测，提炼形成案例与建议标准向全集团推广；</w:t>
      </w:r>
      <w:r>
        <w:rPr>
          <w:rFonts w:hint="eastAsia" w:ascii="宋体" w:hAnsi="宋体" w:eastAsia="宋体" w:cs="宋体"/>
          <w:b/>
          <w:bCs w:val="0"/>
          <w:sz w:val="30"/>
          <w:szCs w:val="30"/>
          <w:lang w:val="en-US" w:eastAsia="zh-CN"/>
        </w:rPr>
        <w:t>推进电子发票使用，</w:t>
      </w:r>
      <w:r>
        <w:rPr>
          <w:rFonts w:hint="eastAsia" w:ascii="宋体" w:hAnsi="宋体" w:eastAsia="宋体" w:cs="宋体"/>
          <w:sz w:val="30"/>
          <w:szCs w:val="30"/>
          <w:lang w:val="en-US" w:eastAsia="zh-CN"/>
        </w:rPr>
        <w:t>与线上账单整合，自助对账与获取发票；</w:t>
      </w:r>
      <w:r>
        <w:rPr>
          <w:rFonts w:hint="eastAsia" w:ascii="宋体" w:hAnsi="宋体" w:eastAsia="宋体" w:cs="宋体"/>
          <w:b/>
          <w:bCs w:val="0"/>
          <w:sz w:val="30"/>
          <w:szCs w:val="30"/>
          <w:lang w:val="en-US" w:eastAsia="zh-CN"/>
        </w:rPr>
        <w:t>专业能力提升，</w:t>
      </w:r>
      <w:r>
        <w:rPr>
          <w:rFonts w:hint="eastAsia" w:ascii="宋体" w:hAnsi="宋体" w:eastAsia="宋体" w:cs="宋体"/>
          <w:sz w:val="30"/>
          <w:szCs w:val="30"/>
          <w:lang w:val="en-US" w:eastAsia="zh-CN"/>
        </w:rPr>
        <w:t>总结与推广行业知识与成功案例，形成数字化知识库。</w:t>
      </w:r>
    </w:p>
    <w:p w14:paraId="2589B291">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数据驱动，智慧服务提升客户满意。服务可视化，</w:t>
      </w:r>
      <w:r>
        <w:rPr>
          <w:rFonts w:hint="eastAsia" w:ascii="宋体" w:hAnsi="宋体" w:eastAsia="宋体" w:cs="宋体"/>
          <w:sz w:val="30"/>
          <w:szCs w:val="30"/>
          <w:lang w:val="en-US" w:eastAsia="zh-CN"/>
        </w:rPr>
        <w:t>在开通、故障处理等环节面向客户提供线上可视化能力，缓解客户焦虑，条件成熟的可以加入预期解决时间；</w:t>
      </w:r>
      <w:r>
        <w:rPr>
          <w:rFonts w:hint="eastAsia" w:ascii="宋体" w:hAnsi="宋体" w:eastAsia="宋体" w:cs="宋体"/>
          <w:b/>
          <w:bCs w:val="0"/>
          <w:sz w:val="30"/>
          <w:szCs w:val="30"/>
          <w:lang w:val="en-US" w:eastAsia="zh-CN"/>
        </w:rPr>
        <w:t>智能识别短板，</w:t>
      </w:r>
      <w:r>
        <w:rPr>
          <w:rFonts w:hint="eastAsia" w:ascii="宋体" w:hAnsi="宋体" w:eastAsia="宋体" w:cs="宋体"/>
          <w:sz w:val="30"/>
          <w:szCs w:val="30"/>
          <w:lang w:val="en-US" w:eastAsia="zh-CN"/>
        </w:rPr>
        <w:t>通过机器学习识别服务薄弱环节，并推送相关部门改进；</w:t>
      </w:r>
      <w:r>
        <w:rPr>
          <w:rFonts w:hint="eastAsia" w:ascii="宋体" w:hAnsi="宋体" w:eastAsia="宋体" w:cs="宋体"/>
          <w:b/>
          <w:bCs w:val="0"/>
          <w:sz w:val="30"/>
          <w:szCs w:val="30"/>
          <w:lang w:val="en-US" w:eastAsia="zh-CN"/>
        </w:rPr>
        <w:t>智能监控预警，</w:t>
      </w:r>
      <w:r>
        <w:rPr>
          <w:rFonts w:hint="eastAsia" w:ascii="宋体" w:hAnsi="宋体" w:eastAsia="宋体" w:cs="宋体"/>
          <w:sz w:val="30"/>
          <w:szCs w:val="30"/>
          <w:lang w:val="en-US" w:eastAsia="zh-CN"/>
        </w:rPr>
        <w:t>融入AI能力，以AI驱动7×24小时网络态势感知，并面向客户提供故障预测与预警服务。</w:t>
      </w:r>
    </w:p>
    <w:bookmarkEnd w:id="5"/>
    <w:p w14:paraId="4119B53E">
      <w:pPr>
        <w:pStyle w:val="3"/>
        <w:keepNext/>
        <w:keepLines/>
        <w:numPr>
          <w:ilvl w:val="0"/>
          <w:numId w:val="5"/>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cs="宋体"/>
          <w:bCs w:val="0"/>
          <w:kern w:val="2"/>
          <w:sz w:val="30"/>
          <w:szCs w:val="30"/>
          <w:lang w:val="en-US" w:eastAsia="zh-CN" w:bidi="ar-SA"/>
        </w:rPr>
        <w:t>以数据整合与可视化服务，提升</w:t>
      </w:r>
      <w:r>
        <w:rPr>
          <w:rFonts w:hint="eastAsia" w:ascii="宋体" w:hAnsi="宋体" w:eastAsia="宋体" w:cs="宋体"/>
          <w:bCs w:val="0"/>
          <w:kern w:val="2"/>
          <w:sz w:val="30"/>
          <w:szCs w:val="30"/>
          <w:lang w:val="en-US" w:eastAsia="zh-CN" w:bidi="ar-SA"/>
        </w:rPr>
        <w:t>国资主导单位</w:t>
      </w:r>
      <w:r>
        <w:rPr>
          <w:rFonts w:hint="eastAsia" w:cs="宋体"/>
          <w:bCs w:val="0"/>
          <w:kern w:val="2"/>
          <w:sz w:val="30"/>
          <w:szCs w:val="30"/>
          <w:lang w:val="en-US" w:eastAsia="zh-CN" w:bidi="ar-SA"/>
        </w:rPr>
        <w:t>客户满意度</w:t>
      </w:r>
    </w:p>
    <w:p w14:paraId="4447343F">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数据驱动，问题洞察。</w:t>
      </w:r>
      <w:r>
        <w:rPr>
          <w:rFonts w:hint="eastAsia" w:ascii="宋体" w:hAnsi="宋体" w:eastAsia="宋体" w:cs="宋体"/>
          <w:sz w:val="30"/>
          <w:szCs w:val="30"/>
          <w:lang w:val="en-US" w:eastAsia="zh-CN"/>
        </w:rPr>
        <w:t>整合全流程服务工单、产品使用、客户评价等数据，通过机器学习识别服务薄弱环节，通过全流程数字化健康监控与服务问题分析，整理并总结当前客户群体存在的问题与痛点，进行针对性解决。</w:t>
      </w:r>
    </w:p>
    <w:p w14:paraId="4ACC4470">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服务线上化，创新服务模式。</w:t>
      </w:r>
      <w:r>
        <w:rPr>
          <w:rFonts w:hint="eastAsia" w:ascii="宋体" w:hAnsi="宋体" w:eastAsia="宋体" w:cs="宋体"/>
          <w:sz w:val="30"/>
          <w:szCs w:val="30"/>
          <w:lang w:val="en-US" w:eastAsia="zh-CN"/>
        </w:rPr>
        <w:t>强化线上服务能力，提供可视化服务进度安排，线上展示网络拓扑、服务处理进度等信息。同时建立政府行业案例库，收录典型处理方案。另外，加强服务人员培训，需通过政务云架构、等保2.0、应急通信等专项考核。</w:t>
      </w:r>
    </w:p>
    <w:p w14:paraId="56DA371E">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强化AI应用，预测性运维提升服务效率。</w:t>
      </w:r>
      <w:r>
        <w:rPr>
          <w:rFonts w:hint="eastAsia" w:ascii="宋体" w:hAnsi="宋体" w:eastAsia="宋体" w:cs="宋体"/>
          <w:sz w:val="30"/>
          <w:szCs w:val="30"/>
          <w:lang w:val="en-US" w:eastAsia="zh-CN"/>
        </w:rPr>
        <w:t>基于AI能力，打造智能监控预警功能，以AI驱动7*24小时网络态势感知，构建故障预测与预警能力。同时，提供标准化巡检与主动服务，重大场合技术团队驻场。</w:t>
      </w:r>
    </w:p>
    <w:p w14:paraId="7BA446DF">
      <w:pPr>
        <w:pStyle w:val="3"/>
        <w:keepNext/>
        <w:keepLines/>
        <w:numPr>
          <w:ilvl w:val="0"/>
          <w:numId w:val="5"/>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cs="宋体"/>
          <w:bCs w:val="0"/>
          <w:kern w:val="2"/>
          <w:sz w:val="30"/>
          <w:szCs w:val="30"/>
          <w:lang w:val="en-US" w:eastAsia="zh-CN" w:bidi="ar-SA"/>
        </w:rPr>
        <w:t>优化产品能力与服务模式，满足</w:t>
      </w:r>
      <w:r>
        <w:rPr>
          <w:rFonts w:hint="eastAsia" w:ascii="宋体" w:hAnsi="宋体" w:eastAsia="宋体" w:cs="宋体"/>
          <w:bCs w:val="0"/>
          <w:kern w:val="2"/>
          <w:sz w:val="30"/>
          <w:szCs w:val="30"/>
          <w:lang w:val="en-US" w:eastAsia="zh-CN" w:bidi="ar-SA"/>
        </w:rPr>
        <w:t>中小服务企业</w:t>
      </w:r>
      <w:r>
        <w:rPr>
          <w:rFonts w:hint="eastAsia" w:cs="宋体"/>
          <w:bCs w:val="0"/>
          <w:kern w:val="2"/>
          <w:sz w:val="30"/>
          <w:szCs w:val="30"/>
          <w:lang w:val="en-US" w:eastAsia="zh-CN" w:bidi="ar-SA"/>
        </w:rPr>
        <w:t>需求</w:t>
      </w:r>
    </w:p>
    <w:p w14:paraId="20EAF7E2">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优化服务模式与商业模式。</w:t>
      </w:r>
      <w:r>
        <w:rPr>
          <w:rFonts w:hint="eastAsia" w:ascii="宋体" w:hAnsi="宋体" w:eastAsia="宋体" w:cs="宋体"/>
          <w:sz w:val="30"/>
          <w:szCs w:val="30"/>
          <w:lang w:val="en-US" w:eastAsia="zh-CN"/>
        </w:rPr>
        <w:t>提供体验式服务支持，设立线下场景实验室，模拟企业业务场景，演示电信产品实际应用效果，并提供多行业解决方案模板，支持客户DIY调试并提交配置；针对商业模式提供灵活资费方案，参考云服务，更多数字化产品推行“用多少付多少”的弹性计费。</w:t>
      </w:r>
    </w:p>
    <w:p w14:paraId="67CD7BA6">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产品稳定性保障。</w:t>
      </w:r>
      <w:r>
        <w:rPr>
          <w:rFonts w:hint="eastAsia" w:ascii="宋体" w:hAnsi="宋体" w:eastAsia="宋体" w:cs="宋体"/>
          <w:sz w:val="30"/>
          <w:szCs w:val="30"/>
          <w:lang w:val="en-US" w:eastAsia="zh-CN"/>
        </w:rPr>
        <w:t>扩大服务时限承诺范畴，对宽带、云服务等较多使用产品提出开通、修复时限承诺；强化技术资源支撑能力，在商业集中区部署边缘计算节点，确保客户关键业务运行。</w:t>
      </w:r>
    </w:p>
    <w:p w14:paraId="605B0258">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提高产品场景化适配能力。</w:t>
      </w:r>
      <w:r>
        <w:rPr>
          <w:rFonts w:hint="eastAsia" w:ascii="宋体" w:hAnsi="宋体" w:eastAsia="宋体" w:cs="宋体"/>
          <w:sz w:val="30"/>
          <w:szCs w:val="30"/>
          <w:lang w:val="en-US" w:eastAsia="zh-CN"/>
        </w:rPr>
        <w:t>客户与客户经理参与产品设计环节讨论，深入洞察客户需求，打造切实符合客户需求的产品。</w:t>
      </w:r>
    </w:p>
    <w:p w14:paraId="7DE6E4EB">
      <w:pPr>
        <w:pStyle w:val="3"/>
        <w:keepNext/>
        <w:keepLines/>
        <w:numPr>
          <w:ilvl w:val="0"/>
          <w:numId w:val="5"/>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cs="宋体"/>
          <w:bCs w:val="0"/>
          <w:kern w:val="2"/>
          <w:sz w:val="30"/>
          <w:szCs w:val="30"/>
          <w:lang w:val="en-US" w:eastAsia="zh-CN" w:bidi="ar-SA"/>
        </w:rPr>
        <w:t>优化服务流程与定制化服务资源配置，强化</w:t>
      </w:r>
      <w:r>
        <w:rPr>
          <w:rFonts w:hint="eastAsia" w:ascii="宋体" w:hAnsi="宋体" w:eastAsia="宋体" w:cs="宋体"/>
          <w:bCs w:val="0"/>
          <w:kern w:val="2"/>
          <w:sz w:val="30"/>
          <w:szCs w:val="30"/>
          <w:lang w:val="en-US" w:eastAsia="zh-CN" w:bidi="ar-SA"/>
        </w:rPr>
        <w:t>IT能力突出企业</w:t>
      </w:r>
      <w:r>
        <w:rPr>
          <w:rFonts w:hint="eastAsia" w:cs="宋体"/>
          <w:bCs w:val="0"/>
          <w:kern w:val="2"/>
          <w:sz w:val="30"/>
          <w:szCs w:val="30"/>
          <w:lang w:val="en-US" w:eastAsia="zh-CN" w:bidi="ar-SA"/>
        </w:rPr>
        <w:t>粘性</w:t>
      </w:r>
    </w:p>
    <w:p w14:paraId="6025367F">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优化服务流程。</w:t>
      </w:r>
      <w:r>
        <w:rPr>
          <w:rFonts w:hint="eastAsia" w:ascii="宋体" w:hAnsi="宋体" w:eastAsia="宋体" w:cs="宋体"/>
          <w:sz w:val="30"/>
          <w:szCs w:val="30"/>
          <w:lang w:val="en-US" w:eastAsia="zh-CN"/>
        </w:rPr>
        <w:t>提供一键开通功能，实现云网业务客户自助开通、带宽调整，同时推进电子发票使用，与线上账单整合，自助对账与获取发票。另外，提供线上可视化服务，包括线上展示资源占用率、服务处理进度等。</w:t>
      </w:r>
    </w:p>
    <w:p w14:paraId="40D2BBD4">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专属服务资源配置。</w:t>
      </w:r>
      <w:r>
        <w:rPr>
          <w:rFonts w:hint="eastAsia" w:ascii="宋体" w:hAnsi="宋体" w:eastAsia="宋体" w:cs="宋体"/>
          <w:sz w:val="30"/>
          <w:szCs w:val="30"/>
          <w:lang w:val="en-US" w:eastAsia="zh-CN"/>
        </w:rPr>
        <w:t>组建7×24小时专属服务团队，确保响应紧急工单，专属服务团队发生人事变动时，提前72小时推送继任者资质与信息。</w:t>
      </w:r>
    </w:p>
    <w:p w14:paraId="67AE8030">
      <w:pPr>
        <w:pStyle w:val="3"/>
        <w:keepNext/>
        <w:keepLines/>
        <w:numPr>
          <w:ilvl w:val="0"/>
          <w:numId w:val="5"/>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cs="宋体"/>
          <w:bCs w:val="0"/>
          <w:kern w:val="2"/>
          <w:sz w:val="30"/>
          <w:szCs w:val="30"/>
          <w:lang w:val="en-US" w:eastAsia="zh-CN" w:bidi="ar-SA"/>
        </w:rPr>
        <w:t>优化商业模式，为</w:t>
      </w:r>
      <w:r>
        <w:rPr>
          <w:rFonts w:hint="eastAsia" w:ascii="宋体" w:hAnsi="宋体" w:eastAsia="宋体" w:cs="宋体"/>
          <w:bCs w:val="0"/>
          <w:kern w:val="2"/>
          <w:sz w:val="30"/>
          <w:szCs w:val="30"/>
          <w:lang w:val="en-US" w:eastAsia="zh-CN" w:bidi="ar-SA"/>
        </w:rPr>
        <w:t>生产制造企业</w:t>
      </w:r>
      <w:r>
        <w:rPr>
          <w:rFonts w:hint="eastAsia" w:cs="宋体"/>
          <w:bCs w:val="0"/>
          <w:kern w:val="2"/>
          <w:sz w:val="30"/>
          <w:szCs w:val="30"/>
          <w:lang w:val="en-US" w:eastAsia="zh-CN" w:bidi="ar-SA"/>
        </w:rPr>
        <w:t>提供定制化方案</w:t>
      </w:r>
    </w:p>
    <w:p w14:paraId="1317A25D">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定制化资费方案。</w:t>
      </w:r>
      <w:r>
        <w:rPr>
          <w:rFonts w:hint="eastAsia" w:ascii="宋体" w:hAnsi="宋体" w:eastAsia="宋体" w:cs="宋体"/>
          <w:sz w:val="30"/>
          <w:szCs w:val="30"/>
          <w:lang w:val="en-US" w:eastAsia="zh-CN"/>
        </w:rPr>
        <w:t>可考虑提供以租代买的商业模式，企业网络设备如工业路由器、传感器等以租代买，降低初期投入成本。同时针对工业客户特点设计弹性资费，如阶梯式定价或批量优惠套餐。</w:t>
      </w:r>
    </w:p>
    <w:p w14:paraId="616F4197">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提升专业形象。</w:t>
      </w:r>
      <w:r>
        <w:rPr>
          <w:rFonts w:hint="eastAsia" w:ascii="宋体" w:hAnsi="宋体" w:eastAsia="宋体" w:cs="宋体"/>
          <w:sz w:val="30"/>
          <w:szCs w:val="30"/>
          <w:lang w:val="en-US" w:eastAsia="zh-CN"/>
        </w:rPr>
        <w:t>建立工业行业案例库，收录典型处理方案，方便针对性解决客户痛点。同时可联合开展“通信+生产”培训，邀请专家讲解5G与生产的结合场景，如设备联网、远程运维等。</w:t>
      </w:r>
    </w:p>
    <w:p w14:paraId="445E3A8F">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提供定制化巡检报告。</w:t>
      </w:r>
      <w:r>
        <w:rPr>
          <w:rFonts w:hint="eastAsia" w:ascii="宋体" w:hAnsi="宋体" w:eastAsia="宋体" w:cs="宋体"/>
          <w:sz w:val="30"/>
          <w:szCs w:val="30"/>
          <w:lang w:val="en-US" w:eastAsia="zh-CN"/>
        </w:rPr>
        <w:t>为客户提供包含网络稳定性指标、故障热力图及优化建议，帮助客户量化通信服务对生产效率的提升价值。</w:t>
      </w:r>
    </w:p>
    <w:p w14:paraId="1ED1094E">
      <w:pPr>
        <w:pStyle w:val="3"/>
        <w:keepNext/>
        <w:keepLines/>
        <w:numPr>
          <w:ilvl w:val="0"/>
          <w:numId w:val="5"/>
        </w:numPr>
        <w:bidi w:val="0"/>
        <w:spacing w:before="260" w:beforeLines="0" w:beforeAutospacing="0" w:after="260" w:afterLines="0" w:afterAutospacing="0" w:line="413" w:lineRule="auto"/>
        <w:ind w:left="1265" w:leftChars="0" w:hanging="425" w:firstLineChars="0"/>
        <w:jc w:val="both"/>
        <w:outlineLvl w:val="1"/>
        <w:rPr>
          <w:rFonts w:hint="eastAsia" w:ascii="宋体" w:hAnsi="宋体" w:eastAsia="宋体" w:cs="宋体"/>
          <w:bCs w:val="0"/>
          <w:kern w:val="2"/>
          <w:sz w:val="30"/>
          <w:szCs w:val="30"/>
          <w:lang w:val="en-US" w:eastAsia="zh-CN" w:bidi="ar-SA"/>
        </w:rPr>
      </w:pPr>
      <w:r>
        <w:rPr>
          <w:rFonts w:hint="eastAsia" w:cs="宋体"/>
          <w:bCs w:val="0"/>
          <w:kern w:val="2"/>
          <w:sz w:val="30"/>
          <w:szCs w:val="30"/>
          <w:lang w:val="en-US" w:eastAsia="zh-CN" w:bidi="ar-SA"/>
        </w:rPr>
        <w:t>提升形象，优化服务流程，助力</w:t>
      </w:r>
      <w:r>
        <w:rPr>
          <w:rFonts w:hint="eastAsia" w:ascii="宋体" w:hAnsi="宋体" w:eastAsia="宋体" w:cs="宋体"/>
          <w:bCs w:val="0"/>
          <w:kern w:val="2"/>
          <w:sz w:val="30"/>
          <w:szCs w:val="30"/>
          <w:lang w:val="en-US" w:eastAsia="zh-CN" w:bidi="ar-SA"/>
        </w:rPr>
        <w:t>社会服务企业</w:t>
      </w:r>
      <w:r>
        <w:rPr>
          <w:rFonts w:hint="eastAsia" w:cs="宋体"/>
          <w:bCs w:val="0"/>
          <w:kern w:val="2"/>
          <w:sz w:val="30"/>
          <w:szCs w:val="30"/>
          <w:lang w:val="en-US" w:eastAsia="zh-CN" w:bidi="ar-SA"/>
        </w:rPr>
        <w:t>加速转型</w:t>
      </w:r>
    </w:p>
    <w:p w14:paraId="042E8BD4">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优化服务流程。</w:t>
      </w:r>
      <w:r>
        <w:rPr>
          <w:rFonts w:hint="eastAsia" w:ascii="宋体" w:hAnsi="宋体" w:eastAsia="宋体" w:cs="宋体"/>
          <w:sz w:val="30"/>
          <w:szCs w:val="30"/>
          <w:lang w:val="en-US" w:eastAsia="zh-CN"/>
        </w:rPr>
        <w:t>提供一键开通功能，实现云网业务客户自助开通、带宽调整，同时推进电子发票使用，与线上账单整合，自助对账与获取发票。</w:t>
      </w:r>
    </w:p>
    <w:p w14:paraId="25E0BB4F">
      <w:pPr>
        <w:pStyle w:val="23"/>
        <w:keepNext w:val="0"/>
        <w:keepLines w:val="0"/>
        <w:pageBreakBefore w:val="0"/>
        <w:kinsoku/>
        <w:wordWrap/>
        <w:overflowPunct/>
        <w:topLinePunct w:val="0"/>
        <w:autoSpaceDE/>
        <w:autoSpaceDN/>
        <w:bidi w:val="0"/>
        <w:adjustRightInd/>
        <w:snapToGrid w:val="0"/>
        <w:spacing w:line="560" w:lineRule="exact"/>
        <w:ind w:firstLine="640"/>
        <w:textAlignment w:val="auto"/>
        <w:rPr>
          <w:rFonts w:hint="eastAsia" w:ascii="宋体" w:hAnsi="宋体" w:eastAsia="宋体" w:cs="宋体"/>
          <w:sz w:val="30"/>
          <w:szCs w:val="30"/>
          <w:lang w:val="en-US" w:eastAsia="zh-CN"/>
        </w:rPr>
      </w:pPr>
      <w:r>
        <w:rPr>
          <w:rFonts w:hint="eastAsia" w:ascii="宋体" w:hAnsi="宋体" w:eastAsia="宋体" w:cs="宋体"/>
          <w:b/>
          <w:bCs w:val="0"/>
          <w:sz w:val="30"/>
          <w:szCs w:val="30"/>
          <w:lang w:val="en-US" w:eastAsia="zh-CN"/>
        </w:rPr>
        <w:t>提升专业形象。</w:t>
      </w:r>
      <w:r>
        <w:rPr>
          <w:rFonts w:hint="eastAsia" w:ascii="宋体" w:hAnsi="宋体" w:eastAsia="宋体" w:cs="宋体"/>
          <w:sz w:val="30"/>
          <w:szCs w:val="30"/>
          <w:lang w:val="en-US" w:eastAsia="zh-CN"/>
        </w:rPr>
        <w:t>联合开展信息化知识培训，强化行业专业知识培训，同时加强内部知识培训，包括业务知识、办理流程等。</w:t>
      </w:r>
    </w:p>
    <w:sectPr>
      <w:footerReference r:id="rId3" w:type="default"/>
      <w:pgSz w:w="11906" w:h="16838"/>
      <w:pgMar w:top="2098" w:right="1474" w:bottom="1984" w:left="1587" w:header="851" w:footer="1417"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E323146-D357-46B6-8F4E-8C1E650C699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embedRegular r:id="rId2" w:fontKey="{6F6D8C67-F17E-422D-A231-B0D04674A0EE}"/>
  </w:font>
  <w:font w:name="华文楷体">
    <w:altName w:val="楷体_GB2312"/>
    <w:panose1 w:val="02010600040101010101"/>
    <w:charset w:val="86"/>
    <w:family w:val="auto"/>
    <w:pitch w:val="default"/>
    <w:sig w:usb0="00000000" w:usb1="00000000" w:usb2="00000000" w:usb3="00000000" w:csb0="0004009F" w:csb1="DFD70000"/>
    <w:embedRegular r:id="rId3" w:fontKey="{44FDD542-4945-4184-AABA-14D823327856}"/>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FF3C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1340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4EA1340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1DB15"/>
    <w:multiLevelType w:val="singleLevel"/>
    <w:tmpl w:val="A021DB15"/>
    <w:lvl w:ilvl="0" w:tentative="0">
      <w:start w:val="1"/>
      <w:numFmt w:val="decimal"/>
      <w:lvlText w:val="%1."/>
      <w:lvlJc w:val="left"/>
      <w:pPr>
        <w:tabs>
          <w:tab w:val="left" w:pos="840"/>
        </w:tabs>
        <w:ind w:left="1265" w:hanging="425"/>
      </w:pPr>
      <w:rPr>
        <w:rFonts w:hint="default"/>
      </w:rPr>
    </w:lvl>
  </w:abstractNum>
  <w:abstractNum w:abstractNumId="1">
    <w:nsid w:val="EE67EAF6"/>
    <w:multiLevelType w:val="singleLevel"/>
    <w:tmpl w:val="EE67EAF6"/>
    <w:lvl w:ilvl="0" w:tentative="0">
      <w:start w:val="1"/>
      <w:numFmt w:val="decimal"/>
      <w:lvlText w:val="%1."/>
      <w:lvlJc w:val="left"/>
      <w:pPr>
        <w:tabs>
          <w:tab w:val="left" w:pos="840"/>
        </w:tabs>
        <w:ind w:left="1265" w:hanging="425"/>
      </w:pPr>
      <w:rPr>
        <w:rFonts w:hint="default"/>
      </w:rPr>
    </w:lvl>
  </w:abstractNum>
  <w:abstractNum w:abstractNumId="2">
    <w:nsid w:val="F96CE4FD"/>
    <w:multiLevelType w:val="singleLevel"/>
    <w:tmpl w:val="F96CE4FD"/>
    <w:lvl w:ilvl="0" w:tentative="0">
      <w:start w:val="1"/>
      <w:numFmt w:val="chineseCounting"/>
      <w:suff w:val="nothing"/>
      <w:lvlText w:val="%1、"/>
      <w:lvlJc w:val="left"/>
      <w:pPr>
        <w:ind w:left="0" w:firstLine="420"/>
      </w:pPr>
      <w:rPr>
        <w:rFonts w:hint="eastAsia"/>
      </w:rPr>
    </w:lvl>
  </w:abstractNum>
  <w:abstractNum w:abstractNumId="3">
    <w:nsid w:val="1A15A2CD"/>
    <w:multiLevelType w:val="singleLevel"/>
    <w:tmpl w:val="1A15A2CD"/>
    <w:lvl w:ilvl="0" w:tentative="0">
      <w:start w:val="1"/>
      <w:numFmt w:val="decimal"/>
      <w:lvlText w:val="%1."/>
      <w:lvlJc w:val="left"/>
      <w:pPr>
        <w:tabs>
          <w:tab w:val="left" w:pos="840"/>
        </w:tabs>
        <w:ind w:left="1265" w:hanging="425"/>
      </w:pPr>
      <w:rPr>
        <w:rFonts w:hint="default"/>
      </w:rPr>
    </w:lvl>
  </w:abstractNum>
  <w:abstractNum w:abstractNumId="4">
    <w:nsid w:val="3FCF9732"/>
    <w:multiLevelType w:val="singleLevel"/>
    <w:tmpl w:val="3FCF9732"/>
    <w:lvl w:ilvl="0" w:tentative="0">
      <w:start w:val="1"/>
      <w:numFmt w:val="decimal"/>
      <w:lvlText w:val="%1."/>
      <w:lvlJc w:val="left"/>
      <w:pPr>
        <w:tabs>
          <w:tab w:val="left" w:pos="840"/>
        </w:tabs>
        <w:ind w:left="1265" w:hanging="425"/>
      </w:pPr>
      <w:rPr>
        <w:rFont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08D4EE8"/>
    <w:rsid w:val="079C73C7"/>
    <w:rsid w:val="0854792B"/>
    <w:rsid w:val="0A1F6B6C"/>
    <w:rsid w:val="0CBF52C7"/>
    <w:rsid w:val="0F60511A"/>
    <w:rsid w:val="14BD0E96"/>
    <w:rsid w:val="150B46D4"/>
    <w:rsid w:val="186173E9"/>
    <w:rsid w:val="1D5327A2"/>
    <w:rsid w:val="1DE03523"/>
    <w:rsid w:val="1F2255B5"/>
    <w:rsid w:val="200E498A"/>
    <w:rsid w:val="215A128D"/>
    <w:rsid w:val="276F5A25"/>
    <w:rsid w:val="2B5441A0"/>
    <w:rsid w:val="2B967C97"/>
    <w:rsid w:val="2C0A4098"/>
    <w:rsid w:val="2D273465"/>
    <w:rsid w:val="2D503A25"/>
    <w:rsid w:val="30855154"/>
    <w:rsid w:val="30E63E22"/>
    <w:rsid w:val="332B3F69"/>
    <w:rsid w:val="333A161F"/>
    <w:rsid w:val="35AA5F26"/>
    <w:rsid w:val="371A7F91"/>
    <w:rsid w:val="417346E2"/>
    <w:rsid w:val="462F2D51"/>
    <w:rsid w:val="496E39A0"/>
    <w:rsid w:val="4B201B80"/>
    <w:rsid w:val="4CF1473C"/>
    <w:rsid w:val="539F6DBD"/>
    <w:rsid w:val="53D041A4"/>
    <w:rsid w:val="58A7679B"/>
    <w:rsid w:val="5A8B6324"/>
    <w:rsid w:val="5BC23F1C"/>
    <w:rsid w:val="5F811138"/>
    <w:rsid w:val="5FA60B42"/>
    <w:rsid w:val="6F9735B6"/>
    <w:rsid w:val="71FF3EDE"/>
    <w:rsid w:val="760242A4"/>
    <w:rsid w:val="7C006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annotation text"/>
    <w:basedOn w:val="1"/>
    <w:qFormat/>
    <w:uiPriority w:val="0"/>
    <w:pPr>
      <w:jc w:val="left"/>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footnote text"/>
    <w:basedOn w:val="1"/>
    <w:qFormat/>
    <w:uiPriority w:val="0"/>
    <w:pPr>
      <w:snapToGrid w:val="0"/>
      <w:jc w:val="left"/>
    </w:pPr>
    <w:rPr>
      <w:sz w:val="18"/>
    </w:rPr>
  </w:style>
  <w:style w:type="paragraph" w:styleId="13">
    <w:name w:val="toc 2"/>
    <w:basedOn w:val="1"/>
    <w:next w:val="1"/>
    <w:qFormat/>
    <w:uiPriority w:val="0"/>
    <w:pPr>
      <w:ind w:left="420" w:leftChars="200"/>
    </w:p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Cs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FollowedHyperlink"/>
    <w:basedOn w:val="17"/>
    <w:qFormat/>
    <w:uiPriority w:val="0"/>
    <w:rPr>
      <w:color w:val="800080"/>
      <w:u w:val="single"/>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footnote reference"/>
    <w:basedOn w:val="17"/>
    <w:qFormat/>
    <w:uiPriority w:val="0"/>
    <w:rPr>
      <w:vertAlign w:val="superscript"/>
    </w:rPr>
  </w:style>
  <w:style w:type="paragraph" w:customStyle="1" w:styleId="23">
    <w:name w:val="仿宋正文"/>
    <w:qFormat/>
    <w:uiPriority w:val="0"/>
    <w:pPr>
      <w:spacing w:line="576" w:lineRule="exact"/>
      <w:ind w:firstLine="200" w:firstLineChars="200"/>
      <w:jc w:val="both"/>
    </w:pPr>
    <w:rPr>
      <w:rFonts w:ascii="仿宋_GB2312" w:hAnsi="仿宋_GB2312" w:eastAsia="仿宋_GB2312" w:cs="仿宋_GB2312"/>
      <w:bCs/>
      <w:kern w:val="44"/>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3114</Words>
  <Characters>3170</Characters>
  <Lines>0</Lines>
  <Paragraphs>0</Paragraphs>
  <TotalTime>1</TotalTime>
  <ScaleCrop>false</ScaleCrop>
  <LinksUpToDate>false</LinksUpToDate>
  <CharactersWithSpaces>3170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2024-11-10T02:32:00Z</dcterms:created>
  <dc:creator>huawei</dc:creator>
  <cp:lastModifiedBy>无聊的咸菜</cp:lastModifiedBy>
  <dcterms:modified xsi:type="dcterms:W3CDTF">2025-04-25T06:22:21Z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2EC0E1C953C54E93A97228B18E08F7B0_13</vt:lpwstr>
  </property>
  <property fmtid="{D5CDD505-2E9C-101B-9397-08002B2CF9AE}" pid="4" name="KSOTemplateDocerSaveRecord">
    <vt:lpwstr>eyJoZGlkIjoiM2QzYjc0ZjRiYTI1MWRhZGVlZjdkYWVhYTEwOWQzZWIiLCJ1c2VySWQiOiIyNzQ4NDk3MzEifQ==</vt:lpwstr>
  </property>
</Properties>
</file>