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504"/>
        <w:spacing w:before="211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面向大模型场景的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GPU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 xml:space="preserve"> 共享复用分析</w:t>
      </w:r>
    </w:p>
    <w:p>
      <w:pPr>
        <w:ind w:left="3510"/>
        <w:spacing w:before="96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及建议</w:t>
      </w:r>
    </w:p>
    <w:p>
      <w:pPr>
        <w:ind w:left="2406"/>
        <w:spacing w:before="331" w:line="210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</w:t>
      </w:r>
      <w:r>
        <w:rPr>
          <w:rFonts w:ascii="STKaiti" w:hAnsi="STKaiti" w:eastAsia="STKaiti" w:cs="STKaiti"/>
          <w:sz w:val="30"/>
          <w:szCs w:val="30"/>
          <w:spacing w:val="2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王田媛  傅德基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陈元谋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25" w:right="128" w:firstLine="599"/>
        <w:spacing w:before="97" w:line="257" w:lineRule="auto"/>
        <w:jc w:val="both"/>
        <w:rPr/>
      </w:pPr>
      <w:r>
        <w:rPr>
          <w:spacing w:val="-5"/>
        </w:rPr>
        <w:t>据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Mate </w:t>
      </w:r>
      <w:r>
        <w:rPr>
          <w:spacing w:val="-5"/>
        </w:rPr>
        <w:t>研究显示，目前在线生产环境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GPU </w:t>
      </w:r>
      <w:r>
        <w:rPr>
          <w:spacing w:val="-5"/>
        </w:rPr>
        <w:t>利用率普遍低于</w:t>
      </w:r>
      <w:r>
        <w:rPr>
          <w:rFonts w:ascii="Times New Roman" w:hAnsi="Times New Roman" w:eastAsia="Times New Roman" w:cs="Times New Roman"/>
          <w:spacing w:val="-12"/>
        </w:rPr>
        <w:t>30%</w:t>
      </w:r>
      <w:r>
        <w:rPr>
          <w:spacing w:val="-12"/>
        </w:rPr>
        <w:t>。与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CPU </w:t>
      </w:r>
      <w:r>
        <w:rPr>
          <w:spacing w:val="-12"/>
        </w:rPr>
        <w:t>不同，影响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GPU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2"/>
        </w:rPr>
        <w:t>资源利用率的因素除资</w:t>
      </w:r>
      <w:r>
        <w:rPr>
          <w:spacing w:val="-13"/>
        </w:rPr>
        <w:t>源配置外，</w:t>
      </w:r>
      <w:r>
        <w:rPr>
          <w:spacing w:val="-3"/>
        </w:rPr>
        <w:t>还有时间维度的计算等待、周期性忙闲不均等因素。</w:t>
      </w:r>
    </w:p>
    <w:p>
      <w:pPr>
        <w:pStyle w:val="BodyText"/>
        <w:ind w:left="28" w:right="127" w:firstLine="602"/>
        <w:spacing w:before="284" w:line="259" w:lineRule="auto"/>
        <w:rPr/>
      </w:pPr>
      <w:r>
        <w:rPr>
          <w:spacing w:val="1"/>
        </w:rPr>
        <w:t>一方面，训练过程中，</w:t>
      </w:r>
      <w:r>
        <w:rPr>
          <w:rFonts w:ascii="Times New Roman" w:hAnsi="Times New Roman" w:eastAsia="Times New Roman" w:cs="Times New Roman"/>
        </w:rPr>
        <w:t>GPU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1"/>
        </w:rPr>
        <w:t>需与</w:t>
      </w:r>
      <w:r>
        <w:rPr>
          <w:rFonts w:ascii="Times New Roman" w:hAnsi="Times New Roman" w:eastAsia="Times New Roman" w:cs="Times New Roman"/>
        </w:rPr>
        <w:t>CPU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高效协作，且受制于</w:t>
      </w:r>
      <w:r>
        <w:rPr>
          <w:spacing w:val="-5"/>
        </w:rPr>
        <w:t>数据准备等待、计算</w:t>
      </w:r>
      <w:r>
        <w:rPr>
          <w:rFonts w:ascii="Times New Roman" w:hAnsi="Times New Roman" w:eastAsia="Times New Roman" w:cs="Times New Roman"/>
          <w:spacing w:val="-5"/>
        </w:rPr>
        <w:t>-</w:t>
      </w:r>
      <w:r>
        <w:rPr>
          <w:spacing w:val="-5"/>
        </w:rPr>
        <w:t>存储协作效率（如备份频</w:t>
      </w:r>
      <w:r>
        <w:rPr>
          <w:spacing w:val="-6"/>
        </w:rPr>
        <w:t>次、存储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I/O </w:t>
      </w:r>
      <w:r>
        <w:rPr>
          <w:spacing w:val="-6"/>
        </w:rPr>
        <w:t>访问</w:t>
      </w:r>
      <w:r>
        <w:rPr>
          <w:spacing w:val="-4"/>
        </w:rPr>
        <w:t>时延等）、网络传输性能等，存在间歇性触发的明</w:t>
      </w:r>
      <w:r>
        <w:rPr>
          <w:spacing w:val="-5"/>
        </w:rPr>
        <w:t>显峰谷特征；</w:t>
      </w:r>
      <w:r>
        <w:rPr>
          <w:spacing w:val="-4"/>
        </w:rPr>
        <w:t>另一方面，推理过程受用户访问量潮汐现象影响，易呈现白天利</w:t>
      </w:r>
      <w:r>
        <w:rPr>
          <w:spacing w:val="-3"/>
        </w:rPr>
        <w:t>用率较高、夜晚计算资源空闲的周期性峰谷。</w:t>
      </w:r>
    </w:p>
    <w:p>
      <w:pPr>
        <w:ind w:firstLine="4706"/>
        <w:spacing w:before="139" w:line="3307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8915</wp:posOffset>
            </wp:positionH>
            <wp:positionV relativeFrom="paragraph">
              <wp:posOffset>1095738</wp:posOffset>
            </wp:positionV>
            <wp:extent cx="2788920" cy="109270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92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6"/>
        </w:rPr>
        <w:drawing>
          <wp:inline distT="0" distB="0" distL="0" distR="0">
            <wp:extent cx="2229611" cy="210007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9611" cy="210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01"/>
        <w:spacing w:before="126" w:line="217" w:lineRule="auto"/>
        <w:outlineLvl w:val="1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4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1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典型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GPU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利用率（百度训练和推理为例）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675"/>
        <w:spacing w:before="101" w:line="225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一、大模型的</w:t>
      </w:r>
      <w:r>
        <w:rPr>
          <w:rFonts w:ascii="SimHei" w:hAnsi="SimHei" w:eastAsia="SimHei" w:cs="SimHei"/>
          <w:sz w:val="31"/>
          <w:szCs w:val="31"/>
          <w:spacing w:val="-3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GPU</w:t>
      </w:r>
      <w:r>
        <w:rPr>
          <w:rFonts w:ascii="SimHei" w:hAnsi="SimHei" w:eastAsia="SimHei" w:cs="SimHei"/>
          <w:sz w:val="31"/>
          <w:szCs w:val="31"/>
          <w:spacing w:val="-5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共享分析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5" w:firstLine="614"/>
        <w:spacing w:before="98" w:line="259" w:lineRule="auto"/>
        <w:rPr/>
      </w:pPr>
      <w:r>
        <w:rPr>
          <w:spacing w:val="2"/>
        </w:rPr>
        <w:t>资源超配</w:t>
      </w:r>
      <w:r>
        <w:rPr>
          <w:rFonts w:ascii="Times New Roman" w:hAnsi="Times New Roman" w:eastAsia="Times New Roman" w:cs="Times New Roman"/>
          <w:spacing w:val="2"/>
        </w:rPr>
        <w:t>/</w:t>
      </w:r>
      <w:r>
        <w:rPr>
          <w:spacing w:val="2"/>
        </w:rPr>
        <w:t>共享的前提是存在时间、空间上的冗余及空闲。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GPU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通过虚拟化与任务调度可实现资源的隔离与共享，进而使</w:t>
      </w:r>
      <w:r>
        <w:rPr>
          <w:spacing w:val="1"/>
        </w:rPr>
        <w:t>资源得到充分利用，以达到提升资源利用率、降低成</w:t>
      </w:r>
      <w:r>
        <w:rPr/>
        <w:t>本的目的。</w:t>
      </w:r>
      <w:r>
        <w:rPr>
          <w:spacing w:val="1"/>
        </w:rPr>
        <w:t>我们认为，</w:t>
      </w:r>
      <w:r>
        <w:rPr>
          <w:rFonts w:ascii="Times New Roman" w:hAnsi="Times New Roman" w:eastAsia="Times New Roman" w:cs="Times New Roman"/>
        </w:rPr>
        <w:t>GPU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共享的将更多面向对算力规模要求不高的参数</w:t>
      </w:r>
      <w:r>
        <w:rPr>
          <w:spacing w:val="-10"/>
        </w:rPr>
        <w:t>量百亿及以下大模型场景，如基于开源大模型基座（百亿及以下）</w:t>
      </w:r>
    </w:p>
    <w:p>
      <w:pPr>
        <w:spacing w:line="259" w:lineRule="auto"/>
        <w:sectPr>
          <w:pgSz w:w="11907" w:h="16839"/>
          <w:pgMar w:top="1431" w:right="1670" w:bottom="0" w:left="1785" w:header="0" w:footer="0" w:gutter="0"/>
        </w:sectPr>
        <w:rPr/>
      </w:pPr>
    </w:p>
    <w:p>
      <w:pPr>
        <w:pStyle w:val="BodyText"/>
        <w:ind w:left="50"/>
        <w:spacing w:before="86" w:line="220" w:lineRule="auto"/>
        <w:rPr/>
      </w:pPr>
      <w:r>
        <w:rPr>
          <w:spacing w:val="-10"/>
        </w:rPr>
        <w:t>的微调和推理。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20" w:lineRule="auto"/>
        <w:outlineLvl w:val="3"/>
        <w:rPr/>
      </w:pPr>
      <w:r>
        <w:rPr>
          <w:b/>
          <w:bCs/>
          <w:spacing w:val="-7"/>
        </w:rPr>
        <w:t>（一）训练阶段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4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．以开源基座大模型为基础的微调模式</w:t>
      </w:r>
    </w:p>
    <w:p>
      <w:pPr>
        <w:pStyle w:val="BodyText"/>
        <w:ind w:left="16" w:right="104" w:firstLine="611"/>
        <w:spacing w:before="309" w:line="259" w:lineRule="auto"/>
        <w:jc w:val="both"/>
        <w:rPr/>
      </w:pPr>
      <w:r>
        <w:rPr>
          <w:spacing w:val="1"/>
        </w:rPr>
        <w:t>主要针对行业单一领域问题，借助本领域专业知识的灌</w:t>
      </w:r>
      <w:r>
        <w:rPr/>
        <w:t>输</w:t>
      </w:r>
      <w:r>
        <w:rPr>
          <w:rFonts w:ascii="Times New Roman" w:hAnsi="Times New Roman" w:eastAsia="Times New Roman" w:cs="Times New Roman"/>
        </w:rPr>
        <w:t>+</w:t>
      </w:r>
      <w:r>
        <w:rPr>
          <w:spacing w:val="-7"/>
        </w:rPr>
        <w:t>微调训练模式。现有开源大模型参数量从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1B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7"/>
        </w:rPr>
        <w:t>到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175B</w:t>
      </w:r>
      <w:r>
        <w:rPr>
          <w:spacing w:val="-7"/>
        </w:rPr>
        <w:t>，而参数百</w:t>
      </w:r>
      <w:r>
        <w:rPr>
          <w:spacing w:val="-4"/>
        </w:rPr>
        <w:t>亿以内大模型结合特定领域的行业数据微调，性价比更高，对于</w:t>
      </w:r>
      <w:r>
        <w:rPr>
          <w:spacing w:val="-18"/>
        </w:rPr>
        <w:t>显存、计算能力要求不高，主流采用单机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8"/>
        </w:rPr>
        <w:t>8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8"/>
        </w:rPr>
        <w:t>卡（</w:t>
      </w:r>
      <w:r>
        <w:rPr>
          <w:rFonts w:ascii="Times New Roman" w:hAnsi="Times New Roman" w:eastAsia="Times New Roman" w:cs="Times New Roman"/>
          <w:spacing w:val="-18"/>
        </w:rPr>
        <w:t>A10</w:t>
      </w:r>
      <w:r>
        <w:rPr>
          <w:rFonts w:ascii="Times New Roman" w:hAnsi="Times New Roman" w:eastAsia="Times New Roman" w:cs="Times New Roman"/>
          <w:spacing w:val="-19"/>
        </w:rPr>
        <w:t>0</w:t>
      </w:r>
      <w:r>
        <w:rPr>
          <w:spacing w:val="-19"/>
        </w:rPr>
        <w:t>）进行微调，</w:t>
      </w:r>
      <w:r>
        <w:rPr>
          <w:spacing w:val="19"/>
        </w:rPr>
        <w:t>但通过微调优化和量化稀疏等技术可将算力要求减少至单张</w:t>
      </w:r>
      <w:r>
        <w:rPr>
          <w:rFonts w:ascii="Times New Roman" w:hAnsi="Times New Roman" w:eastAsia="Times New Roman" w:cs="Times New Roman"/>
          <w:spacing w:val="-6"/>
        </w:rPr>
        <w:t>A100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6"/>
        </w:rPr>
        <w:t>以内。借助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GPU </w:t>
      </w:r>
      <w:r>
        <w:rPr>
          <w:spacing w:val="-6"/>
        </w:rPr>
        <w:t>共享可实现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1~2 </w:t>
      </w:r>
      <w:r>
        <w:rPr>
          <w:spacing w:val="-6"/>
        </w:rPr>
        <w:t>个大模型的资源隔离共享</w:t>
      </w:r>
      <w:r>
        <w:rPr>
          <w:spacing w:val="-8"/>
        </w:rPr>
        <w:t>或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AI </w:t>
      </w:r>
      <w:r>
        <w:rPr>
          <w:spacing w:val="-8"/>
        </w:rPr>
        <w:t>计算与其他业务共享（如视频渲染</w:t>
      </w:r>
      <w:r>
        <w:rPr>
          <w:spacing w:val="-21"/>
        </w:rPr>
        <w:t>），</w:t>
      </w:r>
      <w:r>
        <w:rPr>
          <w:spacing w:val="-8"/>
        </w:rPr>
        <w:t>实现资源效率的最大</w:t>
      </w:r>
      <w:r>
        <w:rPr>
          <w:spacing w:val="-9"/>
        </w:rPr>
        <w:t>化，降低建设及使用成本。以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ChatGLM</w:t>
      </w:r>
      <w:r>
        <w:rPr>
          <w:spacing w:val="-9"/>
        </w:rPr>
        <w:t>（</w:t>
      </w:r>
      <w:r>
        <w:rPr>
          <w:rFonts w:ascii="Times New Roman" w:hAnsi="Times New Roman" w:eastAsia="Times New Roman" w:cs="Times New Roman"/>
          <w:spacing w:val="-9"/>
        </w:rPr>
        <w:t>62 </w:t>
      </w:r>
      <w:r>
        <w:rPr>
          <w:spacing w:val="-9"/>
        </w:rPr>
        <w:t>亿参数）微调为例，</w:t>
      </w:r>
      <w:r>
        <w:rPr>
          <w:spacing w:val="-1"/>
        </w:rPr>
        <w:t>基于参数量化处理（如单精度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FP32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1"/>
        </w:rPr>
        <w:t>至整数的映射，损失部分准</w:t>
      </w:r>
      <w:r>
        <w:rPr>
          <w:spacing w:val="-5"/>
        </w:rPr>
        <w:t>确度</w:t>
      </w:r>
      <w:r>
        <w:rPr>
          <w:spacing w:val="-7"/>
        </w:rPr>
        <w:t>），</w:t>
      </w:r>
      <w:r>
        <w:rPr>
          <w:spacing w:val="-5"/>
        </w:rPr>
        <w:t>最低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GPU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5"/>
        </w:rPr>
        <w:t>显存仅需约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7GB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5"/>
        </w:rPr>
        <w:t>，一张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40GBA100 GPU </w:t>
      </w:r>
      <w:r>
        <w:rPr>
          <w:spacing w:val="-5"/>
        </w:rPr>
        <w:t>卡可</w:t>
      </w:r>
      <w:r>
        <w:rPr>
          <w:spacing w:val="-1"/>
        </w:rPr>
        <w:t>同时支持约 </w:t>
      </w:r>
      <w:r>
        <w:rPr>
          <w:rFonts w:ascii="Times New Roman" w:hAnsi="Times New Roman" w:eastAsia="Times New Roman" w:cs="Times New Roman"/>
          <w:spacing w:val="-1"/>
        </w:rPr>
        <w:t>1~2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-1"/>
        </w:rPr>
        <w:t>个大模型调优（考虑计</w:t>
      </w:r>
      <w:r>
        <w:rPr>
          <w:spacing w:val="-2"/>
        </w:rPr>
        <w:t>算效率、计算</w:t>
      </w:r>
      <w:r>
        <w:rPr>
          <w:rFonts w:ascii="Times New Roman" w:hAnsi="Times New Roman" w:eastAsia="Times New Roman" w:cs="Times New Roman"/>
          <w:spacing w:val="-2"/>
        </w:rPr>
        <w:t>-</w:t>
      </w:r>
      <w:r>
        <w:rPr>
          <w:spacing w:val="-2"/>
        </w:rPr>
        <w:t>存储等待</w:t>
      </w:r>
      <w:r>
        <w:rPr>
          <w:spacing w:val="-23"/>
        </w:rPr>
        <w:t>的损失）。</w:t>
      </w:r>
    </w:p>
    <w:p>
      <w:pPr>
        <w:pStyle w:val="BodyText"/>
        <w:ind w:left="624"/>
        <w:spacing w:before="282" w:line="233" w:lineRule="auto"/>
        <w:outlineLvl w:val="4"/>
        <w:rPr/>
      </w:pPr>
      <w:r>
        <w:rPr>
          <w:rFonts w:ascii="Times New Roman" w:hAnsi="Times New Roman" w:eastAsia="Times New Roman" w:cs="Times New Roman"/>
          <w:b/>
          <w:bCs/>
          <w:spacing w:val="-13"/>
        </w:rPr>
        <w:t>2</w:t>
      </w:r>
      <w:r>
        <w:rPr>
          <w:b/>
          <w:bCs/>
          <w:spacing w:val="-13"/>
        </w:rPr>
        <w:t>．从零开始训练通用基座大模型模式（通常百亿以上参数）</w:t>
      </w:r>
    </w:p>
    <w:p>
      <w:pPr>
        <w:pStyle w:val="BodyText"/>
        <w:ind w:left="25" w:firstLine="635"/>
        <w:spacing w:before="318" w:line="258" w:lineRule="auto"/>
        <w:jc w:val="both"/>
        <w:rPr/>
      </w:pPr>
      <w:r>
        <w:rPr>
          <w:spacing w:val="-3"/>
        </w:rPr>
        <w:t>以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3"/>
        </w:rPr>
        <w:t>互联网企业为主，需要长时间、饱和式占用大规模算</w:t>
      </w:r>
      <w:r>
        <w:rPr/>
        <w:t>力，算力的混布将带来计算复杂性成倍增长（如涉及资源抢占、</w:t>
      </w:r>
      <w:r>
        <w:rPr>
          <w:spacing w:val="-9"/>
        </w:rPr>
        <w:t>碎片化、大量中间状态断点保存备份（约为参数量的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4-8 </w:t>
      </w:r>
      <w:r>
        <w:rPr>
          <w:spacing w:val="-9"/>
        </w:rPr>
        <w:t>倍</w:t>
      </w:r>
      <w:r>
        <w:rPr>
          <w:spacing w:val="-61"/>
        </w:rPr>
        <w:t>），</w:t>
      </w:r>
      <w:r>
        <w:rPr>
          <w:spacing w:val="-9"/>
        </w:rPr>
        <w:t>计</w:t>
      </w:r>
      <w:r>
        <w:rPr>
          <w:spacing w:val="-3"/>
        </w:rPr>
        <w:t>算效率低，超分复用意义不大。以 </w:t>
      </w:r>
      <w:r>
        <w:rPr>
          <w:rFonts w:ascii="Times New Roman" w:hAnsi="Times New Roman" w:eastAsia="Times New Roman" w:cs="Times New Roman"/>
          <w:spacing w:val="-3"/>
        </w:rPr>
        <w:t>GPT3</w:t>
      </w: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1750</w:t>
      </w:r>
      <w:r>
        <w:rPr>
          <w:rFonts w:ascii="Times New Roman" w:hAnsi="Times New Roman" w:eastAsia="Times New Roman" w:cs="Times New Roman"/>
          <w:spacing w:val="59"/>
          <w:w w:val="101"/>
        </w:rPr>
        <w:t xml:space="preserve"> </w:t>
      </w:r>
      <w:r>
        <w:rPr>
          <w:spacing w:val="-3"/>
        </w:rPr>
        <w:t>亿参数）</w:t>
      </w:r>
      <w:r>
        <w:rPr>
          <w:spacing w:val="-4"/>
        </w:rPr>
        <w:t>为例，</w:t>
      </w:r>
      <w:r>
        <w:rPr>
          <w:spacing w:val="-4"/>
        </w:rPr>
        <w:t>完成一次训练需要约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1000 </w:t>
      </w:r>
      <w:r>
        <w:rPr>
          <w:spacing w:val="-4"/>
        </w:rPr>
        <w:t>张</w:t>
      </w:r>
      <w:r>
        <w:rPr>
          <w:spacing w:val="-9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A100 GPU </w:t>
      </w:r>
      <w:r>
        <w:rPr>
          <w:spacing w:val="-4"/>
        </w:rPr>
        <w:t>集群不间断训练</w:t>
      </w:r>
      <w:r>
        <w:rPr>
          <w:spacing w:val="-5"/>
        </w:rPr>
        <w:t>一个月。</w:t>
      </w:r>
      <w:r>
        <w:rPr>
          <w:spacing w:val="-7"/>
        </w:rPr>
        <w:t>且在该训练模式下，</w:t>
      </w:r>
      <w:r>
        <w:rPr>
          <w:rFonts w:ascii="Times New Roman" w:hAnsi="Times New Roman" w:eastAsia="Times New Roman" w:cs="Times New Roman"/>
          <w:spacing w:val="-7"/>
        </w:rPr>
        <w:t>GPU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7"/>
        </w:rPr>
        <w:t>资源被完全占用，需要高速、低时延低</w:t>
      </w:r>
      <w:r>
        <w:rPr>
          <w:spacing w:val="-3"/>
        </w:rPr>
        <w:t>抖动的服务器网络保障数据传输的高效稳定。</w:t>
      </w:r>
    </w:p>
    <w:p>
      <w:pPr>
        <w:pStyle w:val="BodyText"/>
        <w:ind w:left="636"/>
        <w:spacing w:before="288" w:line="221" w:lineRule="auto"/>
        <w:outlineLvl w:val="3"/>
        <w:rPr/>
      </w:pPr>
      <w:r>
        <w:rPr>
          <w:b/>
          <w:bCs/>
          <w:spacing w:val="-7"/>
        </w:rPr>
        <w:t>（二）推理阶段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3" w:right="106" w:firstLine="601"/>
        <w:spacing w:before="97" w:line="260" w:lineRule="auto"/>
        <w:jc w:val="both"/>
        <w:rPr/>
      </w:pPr>
      <w:r>
        <w:rPr>
          <w:spacing w:val="7"/>
        </w:rPr>
        <w:t>模型推理过程算力需求主要取决于模型参数量及用户访问</w:t>
      </w:r>
      <w:r>
        <w:rPr>
          <w:spacing w:val="-2"/>
        </w:rPr>
        <w:t>量。</w:t>
      </w:r>
      <w:r>
        <w:rPr>
          <w:rFonts w:ascii="Times New Roman" w:hAnsi="Times New Roman" w:eastAsia="Times New Roman" w:cs="Times New Roman"/>
          <w:spacing w:val="-2"/>
        </w:rPr>
        <w:t>ChatGLM-6B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2"/>
        </w:rPr>
        <w:t>最低需要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6GB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显存（</w:t>
      </w:r>
      <w:r>
        <w:rPr>
          <w:rFonts w:ascii="Times New Roman" w:hAnsi="Times New Roman" w:eastAsia="Times New Roman" w:cs="Times New Roman"/>
          <w:spacing w:val="-2"/>
        </w:rPr>
        <w:t>A100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40GB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可</w:t>
      </w:r>
      <w:r>
        <w:rPr>
          <w:spacing w:val="-3"/>
        </w:rPr>
        <w:t>满足多个</w:t>
      </w:r>
      <w:r>
        <w:rPr>
          <w:spacing w:val="-2"/>
        </w:rPr>
        <w:t>推理）即可运行推理过程，可以利用 </w:t>
      </w:r>
      <w:r>
        <w:rPr>
          <w:rFonts w:ascii="Times New Roman" w:hAnsi="Times New Roman" w:eastAsia="Times New Roman" w:cs="Times New Roman"/>
          <w:spacing w:val="-2"/>
        </w:rPr>
        <w:t>GPU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3"/>
        </w:rPr>
        <w:t>共享提升资源效益，</w:t>
      </w:r>
      <w:r>
        <w:rPr>
          <w:spacing w:val="-4"/>
        </w:rPr>
        <w:t>但具体场景的算力需求也取决于用户访问量、业务时延、部署位</w:t>
      </w:r>
    </w:p>
    <w:p>
      <w:pPr>
        <w:spacing w:line="260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465"/>
        <w:spacing w:before="86" w:line="220" w:lineRule="auto"/>
        <w:rPr/>
      </w:pPr>
      <w:r>
        <w:rPr>
          <w:spacing w:val="-4"/>
        </w:rPr>
        <w:t>置等。</w:t>
      </w:r>
    </w:p>
    <w:p>
      <w:pPr>
        <w:ind w:firstLine="1038"/>
        <w:spacing w:before="32" w:line="2388" w:lineRule="exact"/>
        <w:rPr/>
      </w:pPr>
      <w:r>
        <w:rPr>
          <w:position w:val="-47"/>
        </w:rPr>
        <w:drawing>
          <wp:inline distT="0" distB="0" distL="0" distR="0">
            <wp:extent cx="4524755" cy="151638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475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43"/>
        <w:spacing w:before="121" w:line="219" w:lineRule="auto"/>
        <w:outlineLvl w:val="1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基于镜像分发的大模型推理（参考百度）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ind w:left="1116"/>
        <w:spacing w:before="101" w:line="224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</w:t>
      </w:r>
      <w:r>
        <w:rPr>
          <w:rFonts w:ascii="SimHei" w:hAnsi="SimHei" w:eastAsia="SimHei" w:cs="SimHei"/>
          <w:sz w:val="31"/>
          <w:szCs w:val="31"/>
          <w:b/>
          <w:bCs/>
        </w:rPr>
        <w:t>GPU</w:t>
      </w:r>
      <w:r>
        <w:rPr>
          <w:rFonts w:ascii="SimHei" w:hAnsi="SimHei" w:eastAsia="SimHei" w:cs="SimHei"/>
          <w:sz w:val="31"/>
          <w:szCs w:val="31"/>
          <w:spacing w:val="-5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算力共享的主流方式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2887"/>
        <w:spacing w:before="98" w:line="220" w:lineRule="auto"/>
        <w:outlineLvl w:val="1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表</w:t>
      </w:r>
      <w:r>
        <w:rPr>
          <w:rFonts w:ascii="KaiTi" w:hAnsi="KaiTi" w:eastAsia="KaiTi" w:cs="KaiTi"/>
          <w:sz w:val="30"/>
          <w:szCs w:val="30"/>
          <w:spacing w:val="-4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GPU</w:t>
      </w:r>
      <w:r>
        <w:rPr>
          <w:rFonts w:ascii="KaiTi" w:hAnsi="KaiTi" w:eastAsia="KaiTi" w:cs="KaiTi"/>
          <w:sz w:val="30"/>
          <w:szCs w:val="30"/>
          <w:spacing w:val="-7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使用的主要方式</w:t>
      </w:r>
    </w:p>
    <w:p>
      <w:pPr>
        <w:spacing w:before="19"/>
        <w:rPr/>
      </w:pPr>
      <w:r/>
    </w:p>
    <w:tbl>
      <w:tblPr>
        <w:tblStyle w:val="TableNormal"/>
        <w:tblW w:w="921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15"/>
        <w:gridCol w:w="1132"/>
        <w:gridCol w:w="1413"/>
        <w:gridCol w:w="1561"/>
        <w:gridCol w:w="1243"/>
        <w:gridCol w:w="1452"/>
        <w:gridCol w:w="1698"/>
      </w:tblGrid>
      <w:tr>
        <w:trPr>
          <w:trHeight w:val="321" w:hRule="atLeast"/>
        </w:trPr>
        <w:tc>
          <w:tcPr>
            <w:tcW w:w="715" w:type="dxa"/>
            <w:vAlign w:val="top"/>
          </w:tcPr>
          <w:p>
            <w:pPr>
              <w:pStyle w:val="TableText"/>
              <w:ind w:left="140"/>
              <w:spacing w:before="50" w:line="219" w:lineRule="auto"/>
              <w:rPr/>
            </w:pPr>
            <w:r>
              <w:rPr>
                <w:b/>
                <w:bCs/>
                <w:spacing w:val="-5"/>
              </w:rPr>
              <w:t>类型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26"/>
              <w:spacing w:before="50" w:line="219" w:lineRule="auto"/>
              <w:rPr/>
            </w:pPr>
            <w:r>
              <w:rPr>
                <w:b/>
                <w:bCs/>
                <w:spacing w:val="-4"/>
              </w:rPr>
              <w:t>物理独占</w:t>
            </w:r>
          </w:p>
        </w:tc>
        <w:tc>
          <w:tcPr>
            <w:tcW w:w="1413" w:type="dxa"/>
            <w:vAlign w:val="top"/>
          </w:tcPr>
          <w:p>
            <w:pPr>
              <w:pStyle w:val="TableText"/>
              <w:ind w:left="158"/>
              <w:spacing w:before="50" w:line="219" w:lineRule="auto"/>
              <w:rPr/>
            </w:pPr>
            <w:r>
              <w:rPr>
                <w:b/>
                <w:bCs/>
                <w:spacing w:val="-4"/>
              </w:rPr>
              <w:t>硬件虚拟化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238"/>
              <w:spacing w:before="50" w:line="219" w:lineRule="auto"/>
              <w:rPr/>
            </w:pPr>
            <w:r>
              <w:rPr>
                <w:b/>
                <w:bCs/>
                <w:spacing w:val="-4"/>
              </w:rPr>
              <w:t>软件虚拟化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97"/>
              <w:spacing w:before="50" w:line="219" w:lineRule="auto"/>
              <w:rPr/>
            </w:pPr>
            <w:r>
              <w:rPr>
                <w:b/>
                <w:bCs/>
                <w:spacing w:val="-6"/>
              </w:rPr>
              <w:t>多卡聚合</w:t>
            </w:r>
          </w:p>
        </w:tc>
        <w:tc>
          <w:tcPr>
            <w:tcW w:w="1452" w:type="dxa"/>
            <w:vAlign w:val="top"/>
          </w:tcPr>
          <w:p>
            <w:pPr>
              <w:pStyle w:val="TableText"/>
              <w:ind w:left="290"/>
              <w:spacing w:before="50" w:line="219" w:lineRule="auto"/>
              <w:rPr/>
            </w:pPr>
            <w:r>
              <w:rPr>
                <w:b/>
                <w:bCs/>
                <w:spacing w:val="-4"/>
              </w:rPr>
              <w:t>跨机池化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11"/>
              <w:spacing w:before="50" w:line="219" w:lineRule="auto"/>
              <w:rPr/>
            </w:pPr>
            <w:r>
              <w:rPr>
                <w:b/>
                <w:bCs/>
                <w:spacing w:val="-4"/>
              </w:rPr>
              <w:t>远程服务</w:t>
            </w:r>
          </w:p>
        </w:tc>
      </w:tr>
      <w:tr>
        <w:trPr>
          <w:trHeight w:val="2811" w:hRule="atLeast"/>
        </w:trPr>
        <w:tc>
          <w:tcPr>
            <w:tcW w:w="715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 w:right="136" w:firstLine="4"/>
              <w:spacing w:before="71" w:line="265" w:lineRule="auto"/>
              <w:rPr/>
            </w:pPr>
            <w:r>
              <w:rPr>
                <w:b/>
                <w:bCs/>
                <w:spacing w:val="-9"/>
              </w:rPr>
              <w:t>实现</w:t>
            </w:r>
            <w:r>
              <w:rPr>
                <w:b/>
                <w:bCs/>
                <w:spacing w:val="-7"/>
              </w:rPr>
              <w:t>方式</w:t>
            </w:r>
          </w:p>
        </w:tc>
        <w:tc>
          <w:tcPr>
            <w:tcW w:w="1132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 w:right="143"/>
              <w:spacing w:before="72" w:line="264" w:lineRule="auto"/>
              <w:jc w:val="both"/>
              <w:rPr/>
            </w:pPr>
            <w:r>
              <w:rPr>
                <w:spacing w:val="-3"/>
              </w:rPr>
              <w:t>业务对</w:t>
            </w:r>
            <w:r>
              <w:rPr>
                <w:b/>
                <w:bCs/>
                <w:spacing w:val="-3"/>
              </w:rPr>
              <w:t>服</w:t>
            </w:r>
            <w:r>
              <w:rPr>
                <w:b/>
                <w:bCs/>
                <w:spacing w:val="-4"/>
              </w:rPr>
              <w:t>务器物理</w:t>
            </w:r>
            <w:r>
              <w:rPr>
                <w:b/>
                <w:bCs/>
                <w:spacing w:val="-5"/>
              </w:rPr>
              <w:t>独占</w:t>
            </w:r>
          </w:p>
        </w:tc>
        <w:tc>
          <w:tcPr>
            <w:tcW w:w="1413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 w:right="202" w:hanging="2"/>
              <w:spacing w:before="71" w:line="262" w:lineRule="auto"/>
              <w:rPr/>
            </w:pPr>
            <w:r>
              <w:rPr>
                <w:spacing w:val="-3"/>
              </w:rPr>
              <w:t>GPU</w:t>
            </w:r>
            <w:r>
              <w:rPr>
                <w:spacing w:val="-43"/>
              </w:rPr>
              <w:t xml:space="preserve"> </w:t>
            </w:r>
            <w:r>
              <w:rPr>
                <w:spacing w:val="-3"/>
              </w:rPr>
              <w:t>硬件虚</w:t>
            </w:r>
            <w:r>
              <w:rPr>
                <w:spacing w:val="-2"/>
              </w:rPr>
              <w:t>拟化按固定</w:t>
            </w:r>
          </w:p>
          <w:p>
            <w:pPr>
              <w:pStyle w:val="TableText"/>
              <w:ind w:left="112" w:right="200" w:firstLine="24"/>
              <w:spacing w:before="2" w:line="261" w:lineRule="auto"/>
              <w:jc w:val="both"/>
              <w:rPr/>
            </w:pPr>
            <w:r>
              <w:rPr>
                <w:spacing w:val="-7"/>
              </w:rPr>
              <w:t>比例切分单</w:t>
            </w:r>
            <w:r>
              <w:rPr>
                <w:spacing w:val="-3"/>
              </w:rPr>
              <w:t>个</w:t>
            </w:r>
            <w:r>
              <w:rPr>
                <w:spacing w:val="-47"/>
              </w:rPr>
              <w:t xml:space="preserve"> </w:t>
            </w:r>
            <w:r>
              <w:rPr>
                <w:spacing w:val="-3"/>
              </w:rPr>
              <w:t>GPU，</w:t>
            </w:r>
            <w:r>
              <w:rPr>
                <w:b/>
                <w:bCs/>
                <w:spacing w:val="-3"/>
              </w:rPr>
              <w:t>提</w:t>
            </w:r>
            <w:r>
              <w:rPr>
                <w:b/>
                <w:bCs/>
                <w:spacing w:val="-4"/>
              </w:rPr>
              <w:t>供多租户的</w:t>
            </w:r>
          </w:p>
          <w:p>
            <w:pPr>
              <w:pStyle w:val="TableText"/>
              <w:ind w:left="112" w:right="200" w:firstLine="1"/>
              <w:spacing w:before="1" w:line="263" w:lineRule="auto"/>
              <w:rPr/>
            </w:pPr>
            <w:r>
              <w:rPr>
                <w:b/>
                <w:bCs/>
                <w:spacing w:val="-4"/>
              </w:rPr>
              <w:t>单卡固定比</w:t>
            </w:r>
            <w:r>
              <w:rPr>
                <w:b/>
                <w:bCs/>
                <w:spacing w:val="-4"/>
              </w:rPr>
              <w:t>例共享</w:t>
            </w:r>
          </w:p>
        </w:tc>
        <w:tc>
          <w:tcPr>
            <w:tcW w:w="1561" w:type="dxa"/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 w:right="126" w:hanging="1"/>
              <w:spacing w:before="71" w:line="263" w:lineRule="auto"/>
              <w:jc w:val="both"/>
              <w:rPr/>
            </w:pPr>
            <w:r>
              <w:rPr>
                <w:spacing w:val="-5"/>
              </w:rPr>
              <w:t>GPU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的硬件与</w:t>
            </w:r>
            <w:r>
              <w:rPr>
                <w:spacing w:val="-2"/>
              </w:rPr>
              <w:t>内核配合，</w:t>
            </w:r>
            <w:r>
              <w:rPr>
                <w:b/>
                <w:bCs/>
                <w:spacing w:val="-2"/>
              </w:rPr>
              <w:t>支</w:t>
            </w:r>
            <w:r>
              <w:rPr>
                <w:b/>
                <w:bCs/>
                <w:spacing w:val="-3"/>
              </w:rPr>
              <w:t>持算力按百分</w:t>
            </w:r>
            <w:r>
              <w:rPr>
                <w:b/>
                <w:bCs/>
                <w:spacing w:val="-3"/>
              </w:rPr>
              <w:t>比切分，显存</w:t>
            </w:r>
            <w:r>
              <w:rPr>
                <w:b/>
                <w:bCs/>
                <w:spacing w:val="-5"/>
              </w:rPr>
              <w:t>可按</w:t>
            </w:r>
            <w:r>
              <w:rPr>
                <w:spacing w:val="-52"/>
              </w:rPr>
              <w:t xml:space="preserve"> </w:t>
            </w:r>
            <w:r>
              <w:rPr>
                <w:b/>
                <w:bCs/>
                <w:spacing w:val="-5"/>
              </w:rPr>
              <w:t>MB</w:t>
            </w:r>
            <w:r>
              <w:rPr>
                <w:spacing w:val="-44"/>
              </w:rPr>
              <w:t xml:space="preserve"> </w:t>
            </w:r>
            <w:r>
              <w:rPr>
                <w:b/>
                <w:bCs/>
                <w:spacing w:val="-5"/>
              </w:rPr>
              <w:t>粒度</w:t>
            </w:r>
            <w:r>
              <w:rPr>
                <w:b/>
                <w:bCs/>
                <w:spacing w:val="-4"/>
              </w:rPr>
              <w:t>任意划分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17" w:right="247" w:hanging="1"/>
              <w:spacing w:before="45" w:line="262" w:lineRule="auto"/>
              <w:rPr/>
            </w:pPr>
            <w:r>
              <w:rPr>
                <w:spacing w:val="-2"/>
              </w:rPr>
              <w:t>利用高速</w:t>
            </w:r>
            <w:r>
              <w:rPr>
                <w:spacing w:val="-2"/>
              </w:rPr>
              <w:t>卡间互</w:t>
            </w:r>
          </w:p>
          <w:p>
            <w:pPr>
              <w:pStyle w:val="TableText"/>
              <w:ind w:left="114" w:right="247" w:firstLine="1"/>
              <w:spacing w:before="3" w:line="261" w:lineRule="auto"/>
              <w:rPr/>
            </w:pPr>
            <w:r>
              <w:rPr>
                <w:spacing w:val="-2"/>
              </w:rPr>
              <w:t>联、专用</w:t>
            </w:r>
            <w:r>
              <w:rPr>
                <w:spacing w:val="-3"/>
              </w:rPr>
              <w:t>SDK</w:t>
            </w:r>
            <w:r>
              <w:rPr>
                <w:spacing w:val="-46"/>
              </w:rPr>
              <w:t xml:space="preserve"> </w:t>
            </w:r>
            <w:r>
              <w:rPr>
                <w:spacing w:val="-3"/>
              </w:rPr>
              <w:t>和加</w:t>
            </w:r>
            <w:r>
              <w:rPr>
                <w:spacing w:val="-2"/>
              </w:rPr>
              <w:t>速库实现</w:t>
            </w:r>
          </w:p>
          <w:p>
            <w:pPr>
              <w:pStyle w:val="TableText"/>
              <w:ind w:left="112" w:right="247"/>
              <w:spacing w:before="2" w:line="261" w:lineRule="auto"/>
              <w:rPr/>
            </w:pPr>
            <w:r>
              <w:rPr>
                <w:spacing w:val="-3"/>
              </w:rPr>
              <w:t>将</w:t>
            </w:r>
            <w:r>
              <w:rPr>
                <w:b/>
                <w:bCs/>
                <w:spacing w:val="-3"/>
              </w:rPr>
              <w:t>多卡的</w:t>
            </w:r>
            <w:r>
              <w:rPr>
                <w:b/>
                <w:bCs/>
                <w:spacing w:val="-6"/>
              </w:rPr>
              <w:t>GPU</w:t>
            </w:r>
            <w:r>
              <w:rPr>
                <w:spacing w:val="-38"/>
              </w:rPr>
              <w:t xml:space="preserve"> </w:t>
            </w:r>
            <w:r>
              <w:rPr>
                <w:b/>
                <w:bCs/>
                <w:spacing w:val="-6"/>
              </w:rPr>
              <w:t>聚合</w:t>
            </w:r>
            <w:r>
              <w:rPr>
                <w:b/>
                <w:bCs/>
                <w:spacing w:val="-4"/>
              </w:rPr>
              <w:t>为一张</w:t>
            </w:r>
          </w:p>
          <w:p>
            <w:pPr>
              <w:pStyle w:val="TableText"/>
              <w:ind w:left="112"/>
              <w:spacing w:line="217" w:lineRule="auto"/>
              <w:rPr/>
            </w:pPr>
            <w:r>
              <w:rPr>
                <w:b/>
                <w:bCs/>
                <w:spacing w:val="-3"/>
              </w:rPr>
              <w:t>GPU</w:t>
            </w:r>
            <w:r>
              <w:rPr>
                <w:spacing w:val="-44"/>
              </w:rPr>
              <w:t xml:space="preserve"> </w:t>
            </w:r>
            <w:r>
              <w:rPr>
                <w:b/>
                <w:bCs/>
                <w:spacing w:val="-3"/>
              </w:rPr>
              <w:t>卡</w:t>
            </w:r>
          </w:p>
        </w:tc>
        <w:tc>
          <w:tcPr>
            <w:tcW w:w="1452" w:type="dxa"/>
            <w:vAlign w:val="top"/>
          </w:tcPr>
          <w:p>
            <w:pPr>
              <w:pStyle w:val="TableText"/>
              <w:ind w:left="114" w:right="180"/>
              <w:spacing w:before="201" w:line="262" w:lineRule="auto"/>
              <w:jc w:val="both"/>
              <w:rPr/>
            </w:pPr>
            <w:r>
              <w:rPr>
                <w:spacing w:val="-3"/>
              </w:rPr>
              <w:t>通过</w:t>
            </w:r>
            <w:r>
              <w:rPr>
                <w:spacing w:val="-52"/>
              </w:rPr>
              <w:t xml:space="preserve"> </w:t>
            </w:r>
            <w:r>
              <w:rPr>
                <w:spacing w:val="-3"/>
              </w:rPr>
              <w:t>API</w:t>
            </w:r>
            <w:r>
              <w:rPr>
                <w:spacing w:val="-49"/>
              </w:rPr>
              <w:t xml:space="preserve"> </w:t>
            </w:r>
            <w:r>
              <w:rPr>
                <w:spacing w:val="-3"/>
              </w:rPr>
              <w:t>拦</w:t>
            </w:r>
            <w:r>
              <w:rPr>
                <w:spacing w:val="-5"/>
              </w:rPr>
              <w:t>截，</w:t>
            </w:r>
            <w:r>
              <w:rPr>
                <w:b/>
                <w:bCs/>
                <w:spacing w:val="-5"/>
              </w:rPr>
              <w:t>RDMA</w:t>
            </w:r>
            <w:r>
              <w:rPr>
                <w:spacing w:val="-37"/>
              </w:rPr>
              <w:t xml:space="preserve"> </w:t>
            </w:r>
            <w:r>
              <w:rPr>
                <w:b/>
                <w:bCs/>
                <w:spacing w:val="-5"/>
              </w:rPr>
              <w:t>高</w:t>
            </w:r>
            <w:r>
              <w:rPr>
                <w:b/>
                <w:bCs/>
                <w:spacing w:val="-3"/>
              </w:rPr>
              <w:t>速网络和专</w:t>
            </w:r>
          </w:p>
          <w:p>
            <w:pPr>
              <w:pStyle w:val="TableText"/>
              <w:ind w:left="117"/>
              <w:spacing w:line="221" w:lineRule="auto"/>
              <w:rPr/>
            </w:pPr>
            <w:r>
              <w:rPr>
                <w:b/>
                <w:bCs/>
                <w:spacing w:val="-4"/>
              </w:rPr>
              <w:t>用的资源调</w:t>
            </w:r>
          </w:p>
          <w:p>
            <w:pPr>
              <w:pStyle w:val="TableText"/>
              <w:ind w:left="114"/>
              <w:spacing w:before="48" w:line="220" w:lineRule="auto"/>
              <w:rPr/>
            </w:pPr>
            <w:r>
              <w:rPr>
                <w:b/>
                <w:bCs/>
                <w:spacing w:val="-3"/>
              </w:rPr>
              <w:t>度服务实现</w:t>
            </w:r>
          </w:p>
          <w:p>
            <w:pPr>
              <w:pStyle w:val="TableText"/>
              <w:ind w:left="113" w:right="235" w:firstLine="13"/>
              <w:spacing w:before="48" w:line="264" w:lineRule="auto"/>
              <w:jc w:val="both"/>
              <w:rPr/>
            </w:pPr>
            <w:r>
              <w:rPr>
                <w:b/>
                <w:bCs/>
                <w:spacing w:val="-6"/>
              </w:rPr>
              <w:t>多机多卡的</w:t>
            </w:r>
            <w:r>
              <w:rPr>
                <w:b/>
                <w:bCs/>
                <w:spacing w:val="-6"/>
              </w:rPr>
              <w:t>GPU</w:t>
            </w:r>
            <w:r>
              <w:rPr>
                <w:spacing w:val="-34"/>
              </w:rPr>
              <w:t xml:space="preserve"> </w:t>
            </w:r>
            <w:r>
              <w:rPr>
                <w:b/>
                <w:bCs/>
                <w:spacing w:val="-6"/>
              </w:rPr>
              <w:t>资源池</w:t>
            </w:r>
            <w:r>
              <w:rPr>
                <w:b/>
                <w:bCs/>
                <w:spacing w:val="-3"/>
              </w:rPr>
              <w:t>化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12" w:right="210"/>
              <w:spacing w:before="201" w:line="262" w:lineRule="auto"/>
              <w:rPr/>
            </w:pPr>
            <w:r>
              <w:rPr>
                <w:b/>
                <w:bCs/>
                <w:spacing w:val="-3"/>
              </w:rPr>
              <w:t>将多个请求调</w:t>
            </w:r>
            <w:r>
              <w:rPr>
                <w:b/>
                <w:bCs/>
                <w:spacing w:val="-2"/>
              </w:rPr>
              <w:t>度组合</w:t>
            </w:r>
            <w:r>
              <w:rPr>
                <w:spacing w:val="-2"/>
              </w:rPr>
              <w:t>，以更</w:t>
            </w:r>
            <w:r>
              <w:rPr>
                <w:spacing w:val="-1"/>
              </w:rPr>
              <w:t>大</w:t>
            </w:r>
            <w:r>
              <w:rPr>
                <w:spacing w:val="-51"/>
              </w:rPr>
              <w:t xml:space="preserve"> </w:t>
            </w:r>
            <w:r>
              <w:rPr>
                <w:spacing w:val="-1"/>
              </w:rPr>
              <w:t>Batch Size</w:t>
            </w:r>
            <w:r>
              <w:rPr>
                <w:spacing w:val="-1"/>
              </w:rPr>
              <w:t>发送请求到</w:t>
            </w:r>
          </w:p>
          <w:p>
            <w:pPr>
              <w:pStyle w:val="TableText"/>
              <w:ind w:left="116" w:right="169" w:hanging="5"/>
              <w:spacing w:before="1" w:line="263" w:lineRule="auto"/>
              <w:rPr/>
            </w:pPr>
            <w:r>
              <w:rPr>
                <w:spacing w:val="-3"/>
              </w:rPr>
              <w:t>GPU，从而在指</w:t>
            </w:r>
            <w:r>
              <w:rPr>
                <w:spacing w:val="-2"/>
              </w:rPr>
              <w:t>定的延迟目标</w:t>
            </w:r>
            <w:r>
              <w:rPr>
                <w:spacing w:val="-2"/>
              </w:rPr>
              <w:t>内实现最大的</w:t>
            </w:r>
            <w:r>
              <w:rPr>
                <w:spacing w:val="-2"/>
              </w:rPr>
              <w:t>吞吐量</w:t>
            </w:r>
          </w:p>
        </w:tc>
      </w:tr>
      <w:tr>
        <w:trPr>
          <w:trHeight w:val="940" w:hRule="atLeast"/>
        </w:trPr>
        <w:tc>
          <w:tcPr>
            <w:tcW w:w="715" w:type="dxa"/>
            <w:vAlign w:val="top"/>
          </w:tcPr>
          <w:p>
            <w:pPr>
              <w:pStyle w:val="TableText"/>
              <w:ind w:left="140" w:right="136" w:firstLine="4"/>
              <w:spacing w:before="203" w:line="264" w:lineRule="auto"/>
              <w:rPr/>
            </w:pPr>
            <w:r>
              <w:rPr>
                <w:b/>
                <w:bCs/>
                <w:spacing w:val="-9"/>
              </w:rPr>
              <w:t>典型</w:t>
            </w:r>
            <w:r>
              <w:rPr>
                <w:b/>
                <w:bCs/>
                <w:spacing w:val="-6"/>
              </w:rPr>
              <w:t>服务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11" w:right="143" w:firstLine="1"/>
              <w:spacing w:before="202" w:line="265" w:lineRule="auto"/>
              <w:rPr/>
            </w:pPr>
            <w:r>
              <w:rPr>
                <w:spacing w:val="-3"/>
              </w:rPr>
              <w:t>弹性裸金</w:t>
            </w:r>
            <w:r>
              <w:rPr/>
              <w:t>属</w:t>
            </w:r>
          </w:p>
        </w:tc>
        <w:tc>
          <w:tcPr>
            <w:tcW w:w="1413" w:type="dxa"/>
            <w:vAlign w:val="top"/>
          </w:tcPr>
          <w:p>
            <w:pPr>
              <w:pStyle w:val="TableText"/>
              <w:ind w:left="109" w:right="146" w:firstLine="18"/>
              <w:spacing w:before="46" w:line="247" w:lineRule="auto"/>
              <w:jc w:val="both"/>
              <w:rPr/>
            </w:pPr>
            <w:r>
              <w:rPr>
                <w:spacing w:val="-4"/>
              </w:rPr>
              <w:t>1/2、1/4</w:t>
            </w:r>
            <w:r>
              <w:rPr>
                <w:spacing w:val="-47"/>
              </w:rPr>
              <w:t xml:space="preserve"> </w:t>
            </w:r>
            <w:r>
              <w:rPr>
                <w:spacing w:val="-4"/>
              </w:rPr>
              <w:t>等</w:t>
            </w:r>
            <w:r>
              <w:rPr>
                <w:spacing w:val="-1"/>
              </w:rPr>
              <w:t>固定比例的</w:t>
            </w:r>
            <w:r>
              <w:rPr>
                <w:spacing w:val="-2"/>
              </w:rPr>
              <w:t>GPU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切分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6" w:right="183" w:hanging="5"/>
              <w:spacing w:before="203" w:line="264" w:lineRule="auto"/>
              <w:rPr/>
            </w:pPr>
            <w:r>
              <w:rPr>
                <w:spacing w:val="-2"/>
              </w:rPr>
              <w:t>GPU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虚拟化和</w:t>
            </w:r>
            <w:r>
              <w:rPr>
                <w:spacing w:val="-2"/>
              </w:rPr>
              <w:t>容器化共享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14" w:right="303" w:hanging="2"/>
              <w:spacing w:before="202" w:line="265" w:lineRule="auto"/>
              <w:rPr/>
            </w:pPr>
            <w:r>
              <w:rPr>
                <w:spacing w:val="-5"/>
              </w:rPr>
              <w:t>GPU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资源</w:t>
            </w:r>
            <w:r>
              <w:rPr>
                <w:spacing w:val="-2"/>
              </w:rPr>
              <w:t>池化</w:t>
            </w:r>
          </w:p>
        </w:tc>
        <w:tc>
          <w:tcPr>
            <w:tcW w:w="1452" w:type="dxa"/>
            <w:vAlign w:val="top"/>
          </w:tcPr>
          <w:p>
            <w:pPr>
              <w:pStyle w:val="TableText"/>
              <w:ind w:left="112" w:right="293" w:hanging="4"/>
              <w:spacing w:before="46" w:line="247" w:lineRule="auto"/>
              <w:jc w:val="both"/>
              <w:rPr/>
            </w:pPr>
            <w:r>
              <w:rPr>
                <w:spacing w:val="-2"/>
              </w:rPr>
              <w:t>API</w:t>
            </w:r>
            <w:r>
              <w:rPr>
                <w:spacing w:val="-45"/>
              </w:rPr>
              <w:t xml:space="preserve"> </w:t>
            </w:r>
            <w:r>
              <w:rPr>
                <w:spacing w:val="-2"/>
              </w:rPr>
              <w:t>拦截和</w:t>
            </w:r>
            <w:r>
              <w:rPr>
                <w:spacing w:val="-4"/>
              </w:rPr>
              <w:t>GPU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资源池</w:t>
            </w:r>
            <w:r>
              <w:rPr/>
              <w:t>化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11" w:right="486"/>
              <w:spacing w:before="46" w:line="247" w:lineRule="auto"/>
              <w:jc w:val="both"/>
              <w:rPr/>
            </w:pPr>
            <w:r>
              <w:rPr>
                <w:spacing w:val="-1"/>
              </w:rPr>
              <w:t>TensorFlow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Serving</w:t>
            </w:r>
            <w:r>
              <w:rPr>
                <w:spacing w:val="-45"/>
              </w:rPr>
              <w:t xml:space="preserve"> </w:t>
            </w:r>
            <w:r>
              <w:rPr>
                <w:spacing w:val="-2"/>
              </w:rPr>
              <w:t>和</w:t>
            </w:r>
            <w:r>
              <w:rPr>
                <w:spacing w:val="-1"/>
              </w:rPr>
              <w:t>Triton</w:t>
            </w:r>
          </w:p>
        </w:tc>
      </w:tr>
      <w:tr>
        <w:trPr>
          <w:trHeight w:val="943" w:hRule="atLeast"/>
        </w:trPr>
        <w:tc>
          <w:tcPr>
            <w:tcW w:w="715" w:type="dxa"/>
            <w:vAlign w:val="top"/>
          </w:tcPr>
          <w:p>
            <w:pPr>
              <w:pStyle w:val="TableText"/>
              <w:ind w:left="142"/>
              <w:spacing w:before="50" w:line="223" w:lineRule="auto"/>
              <w:rPr/>
            </w:pPr>
            <w:r>
              <w:rPr>
                <w:b/>
                <w:bCs/>
                <w:spacing w:val="-5"/>
              </w:rPr>
              <w:t>主要</w:t>
            </w:r>
          </w:p>
          <w:p>
            <w:pPr>
              <w:pStyle w:val="TableText"/>
              <w:ind w:left="140"/>
              <w:spacing w:before="45" w:line="224" w:lineRule="auto"/>
              <w:rPr/>
            </w:pPr>
            <w:r>
              <w:rPr>
                <w:b/>
                <w:bCs/>
                <w:spacing w:val="-5"/>
              </w:rPr>
              <w:t>适合</w:t>
            </w:r>
          </w:p>
          <w:p>
            <w:pPr>
              <w:pStyle w:val="TableText"/>
              <w:ind w:left="139"/>
              <w:spacing w:before="46" w:line="216" w:lineRule="auto"/>
              <w:rPr/>
            </w:pPr>
            <w:r>
              <w:rPr>
                <w:b/>
                <w:bCs/>
                <w:spacing w:val="-4"/>
              </w:rPr>
              <w:t>场景</w:t>
            </w:r>
          </w:p>
        </w:tc>
        <w:tc>
          <w:tcPr>
            <w:tcW w:w="4106" w:type="dxa"/>
            <w:vAlign w:val="top"/>
            <w:gridSpan w:val="3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6"/>
              <w:spacing w:before="72" w:line="220" w:lineRule="auto"/>
              <w:rPr/>
            </w:pPr>
            <w:r>
              <w:rPr>
                <w:spacing w:val="-1"/>
              </w:rPr>
              <w:t>开源基座大模型的微调模式</w:t>
            </w:r>
          </w:p>
        </w:tc>
        <w:tc>
          <w:tcPr>
            <w:tcW w:w="2695" w:type="dxa"/>
            <w:vAlign w:val="top"/>
            <w:gridSpan w:val="2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0"/>
              <w:spacing w:before="72" w:line="220" w:lineRule="auto"/>
              <w:rPr/>
            </w:pPr>
            <w:r>
              <w:rPr>
                <w:spacing w:val="-2"/>
              </w:rPr>
              <w:t>百亿以上参数大模型</w:t>
            </w:r>
          </w:p>
        </w:tc>
        <w:tc>
          <w:tcPr>
            <w:tcW w:w="1698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3"/>
              <w:spacing w:before="72" w:line="220" w:lineRule="auto"/>
              <w:rPr/>
            </w:pPr>
            <w:r>
              <w:rPr>
                <w:spacing w:val="-2"/>
              </w:rPr>
              <w:t>推理模式</w:t>
            </w:r>
          </w:p>
        </w:tc>
      </w:tr>
      <w:tr>
        <w:trPr>
          <w:trHeight w:val="1252" w:hRule="atLeast"/>
        </w:trPr>
        <w:tc>
          <w:tcPr>
            <w:tcW w:w="715" w:type="dxa"/>
            <w:vAlign w:val="top"/>
          </w:tcPr>
          <w:p>
            <w:pPr>
              <w:spacing w:line="4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"/>
              <w:spacing w:before="72" w:line="220" w:lineRule="auto"/>
              <w:rPr/>
            </w:pPr>
            <w:r>
              <w:rPr>
                <w:b/>
                <w:bCs/>
                <w:spacing w:val="-4"/>
              </w:rPr>
              <w:t>优势</w:t>
            </w:r>
          </w:p>
        </w:tc>
        <w:tc>
          <w:tcPr>
            <w:tcW w:w="1132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 w:right="143" w:hanging="2"/>
              <w:spacing w:before="72" w:line="265" w:lineRule="auto"/>
              <w:rPr/>
            </w:pPr>
            <w:r>
              <w:rPr>
                <w:spacing w:val="-2"/>
              </w:rPr>
              <w:t>独占全部</w:t>
            </w:r>
            <w:r>
              <w:rPr>
                <w:spacing w:val="-3"/>
              </w:rPr>
              <w:t>性能</w:t>
            </w:r>
          </w:p>
        </w:tc>
        <w:tc>
          <w:tcPr>
            <w:tcW w:w="1413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 w:right="202" w:hanging="11"/>
              <w:spacing w:before="71" w:line="264" w:lineRule="auto"/>
              <w:rPr/>
            </w:pPr>
            <w:r>
              <w:rPr>
                <w:spacing w:val="-2"/>
              </w:rPr>
              <w:t>可实现安全</w:t>
            </w:r>
            <w:r>
              <w:rPr>
                <w:spacing w:val="-6"/>
              </w:rPr>
              <w:t>隔离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4" w:right="128"/>
              <w:spacing w:before="206" w:line="263" w:lineRule="auto"/>
              <w:jc w:val="both"/>
              <w:rPr/>
            </w:pPr>
            <w:r>
              <w:rPr>
                <w:spacing w:val="-2"/>
              </w:rPr>
              <w:t>算力与显存支</w:t>
            </w:r>
            <w:r>
              <w:rPr>
                <w:spacing w:val="-2"/>
              </w:rPr>
              <w:t>持动态共享和</w:t>
            </w:r>
            <w:r>
              <w:rPr>
                <w:spacing w:val="-2"/>
              </w:rPr>
              <w:t>动态扩展</w:t>
            </w:r>
          </w:p>
        </w:tc>
        <w:tc>
          <w:tcPr>
            <w:tcW w:w="1243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192" w:hanging="3"/>
              <w:spacing w:before="72" w:line="265" w:lineRule="auto"/>
              <w:rPr/>
            </w:pPr>
            <w:r>
              <w:rPr>
                <w:spacing w:val="-5"/>
              </w:rPr>
              <w:t>近</w:t>
            </w:r>
            <w:r>
              <w:rPr>
                <w:spacing w:val="-30"/>
              </w:rPr>
              <w:t xml:space="preserve"> </w:t>
            </w:r>
            <w:r>
              <w:rPr>
                <w:spacing w:val="-5"/>
              </w:rPr>
              <w:t>100%线</w:t>
            </w:r>
            <w:r>
              <w:rPr>
                <w:spacing w:val="-2"/>
              </w:rPr>
              <w:t>性加速</w:t>
            </w:r>
          </w:p>
        </w:tc>
        <w:tc>
          <w:tcPr>
            <w:tcW w:w="1452" w:type="dxa"/>
            <w:vAlign w:val="top"/>
          </w:tcPr>
          <w:p>
            <w:pPr>
              <w:pStyle w:val="TableText"/>
              <w:ind w:left="125"/>
              <w:spacing w:before="48" w:line="221" w:lineRule="auto"/>
              <w:rPr/>
            </w:pPr>
            <w:r>
              <w:rPr>
                <w:spacing w:val="-3"/>
              </w:rPr>
              <w:t>资源超分实</w:t>
            </w:r>
          </w:p>
          <w:p>
            <w:pPr>
              <w:pStyle w:val="TableText"/>
              <w:ind w:left="114" w:right="238" w:firstLine="2"/>
              <w:spacing w:before="50" w:line="246" w:lineRule="auto"/>
              <w:jc w:val="both"/>
              <w:rPr/>
            </w:pPr>
            <w:r>
              <w:rPr>
                <w:spacing w:val="-2"/>
              </w:rPr>
              <w:t>现多人共享</w:t>
            </w:r>
            <w:r>
              <w:rPr>
                <w:spacing w:val="-5"/>
              </w:rPr>
              <w:t>有限</w:t>
            </w:r>
            <w:r>
              <w:rPr>
                <w:spacing w:val="-49"/>
              </w:rPr>
              <w:t xml:space="preserve"> </w:t>
            </w:r>
            <w:r>
              <w:rPr>
                <w:spacing w:val="-5"/>
              </w:rPr>
              <w:t>GPU</w:t>
            </w:r>
            <w:r>
              <w:rPr>
                <w:spacing w:val="-39"/>
              </w:rPr>
              <w:t xml:space="preserve"> </w:t>
            </w:r>
            <w:r>
              <w:rPr>
                <w:spacing w:val="-5"/>
              </w:rPr>
              <w:t>资</w:t>
            </w:r>
            <w:r>
              <w:rPr/>
              <w:t>源</w:t>
            </w:r>
          </w:p>
        </w:tc>
        <w:tc>
          <w:tcPr>
            <w:tcW w:w="1698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 w:right="265" w:firstLine="3"/>
              <w:spacing w:before="72" w:line="265" w:lineRule="auto"/>
              <w:rPr/>
            </w:pPr>
            <w:r>
              <w:rPr>
                <w:spacing w:val="-2"/>
              </w:rPr>
              <w:t>动态共享使用</w:t>
            </w:r>
            <w:r>
              <w:rPr>
                <w:spacing w:val="-3"/>
              </w:rPr>
              <w:t>GPU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资源</w:t>
            </w:r>
          </w:p>
        </w:tc>
      </w:tr>
      <w:tr>
        <w:trPr>
          <w:trHeight w:val="1568" w:hRule="atLeast"/>
        </w:trPr>
        <w:tc>
          <w:tcPr>
            <w:tcW w:w="715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71" w:line="223" w:lineRule="auto"/>
              <w:rPr/>
            </w:pPr>
            <w:r>
              <w:rPr>
                <w:b/>
                <w:bCs/>
                <w:spacing w:val="-5"/>
              </w:rPr>
              <w:t>不足</w:t>
            </w:r>
          </w:p>
        </w:tc>
        <w:tc>
          <w:tcPr>
            <w:tcW w:w="1132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 w:right="143" w:hanging="7"/>
              <w:spacing w:before="72" w:line="262" w:lineRule="auto"/>
              <w:rPr/>
            </w:pPr>
            <w:r>
              <w:rPr>
                <w:spacing w:val="-5"/>
              </w:rPr>
              <w:t>GPU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资源</w:t>
            </w:r>
            <w:r>
              <w:rPr>
                <w:spacing w:val="-3"/>
              </w:rPr>
              <w:t>受业务忙</w:t>
            </w:r>
          </w:p>
          <w:p>
            <w:pPr>
              <w:pStyle w:val="TableText"/>
              <w:ind w:left="126"/>
              <w:spacing w:line="220" w:lineRule="auto"/>
              <w:rPr/>
            </w:pPr>
            <w:r>
              <w:rPr>
                <w:b/>
                <w:bCs/>
                <w:spacing w:val="-7"/>
              </w:rPr>
              <w:t>闲差异大</w:t>
            </w:r>
          </w:p>
        </w:tc>
        <w:tc>
          <w:tcPr>
            <w:tcW w:w="1413" w:type="dxa"/>
            <w:vAlign w:val="top"/>
          </w:tcPr>
          <w:p>
            <w:pPr>
              <w:pStyle w:val="TableText"/>
              <w:ind w:left="130" w:right="201" w:hanging="21"/>
              <w:spacing w:before="205" w:line="262" w:lineRule="auto"/>
              <w:rPr/>
            </w:pPr>
            <w:r>
              <w:rPr>
                <w:spacing w:val="-6"/>
              </w:rPr>
              <w:t>GPU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的规格</w:t>
            </w:r>
            <w:r>
              <w:rPr>
                <w:spacing w:val="-7"/>
              </w:rPr>
              <w:t>固定，</w:t>
            </w:r>
            <w:r>
              <w:rPr>
                <w:b/>
                <w:bCs/>
                <w:spacing w:val="-7"/>
              </w:rPr>
              <w:t>不支</w:t>
            </w:r>
          </w:p>
          <w:p>
            <w:pPr>
              <w:pStyle w:val="TableText"/>
              <w:ind w:left="114" w:right="200"/>
              <w:spacing w:before="2" w:line="264" w:lineRule="auto"/>
              <w:rPr/>
            </w:pPr>
            <w:r>
              <w:rPr>
                <w:b/>
                <w:bCs/>
                <w:spacing w:val="-4"/>
              </w:rPr>
              <w:t>持资源动态</w:t>
            </w:r>
            <w:r>
              <w:rPr>
                <w:b/>
                <w:bCs/>
                <w:spacing w:val="-5"/>
              </w:rPr>
              <w:t>调整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2" w:right="126"/>
              <w:spacing w:before="50" w:line="253" w:lineRule="auto"/>
              <w:jc w:val="both"/>
              <w:rPr/>
            </w:pPr>
            <w:r>
              <w:rPr>
                <w:b/>
                <w:bCs/>
                <w:spacing w:val="-3"/>
              </w:rPr>
              <w:t>应用态安全性</w:t>
            </w:r>
            <w:r>
              <w:rPr>
                <w:b/>
                <w:bCs/>
                <w:spacing w:val="-3"/>
              </w:rPr>
              <w:t>及资源隔离较</w:t>
            </w:r>
            <w:r>
              <w:rPr>
                <w:b/>
                <w:bCs/>
                <w:spacing w:val="-3"/>
              </w:rPr>
              <w:t>弱，内核态可</w:t>
            </w:r>
            <w:r>
              <w:rPr>
                <w:b/>
                <w:bCs/>
                <w:spacing w:val="-3"/>
              </w:rPr>
              <w:t>实现显存、计</w:t>
            </w:r>
            <w:r>
              <w:rPr>
                <w:b/>
                <w:bCs/>
                <w:spacing w:val="-4"/>
              </w:rPr>
              <w:t>算隔离</w:t>
            </w:r>
          </w:p>
        </w:tc>
        <w:tc>
          <w:tcPr>
            <w:tcW w:w="1243" w:type="dxa"/>
            <w:vAlign w:val="top"/>
          </w:tcPr>
          <w:p>
            <w:pPr>
              <w:spacing w:line="4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 w:right="247" w:firstLine="1"/>
              <w:spacing w:before="72" w:line="264" w:lineRule="auto"/>
              <w:rPr/>
            </w:pPr>
            <w:r>
              <w:rPr>
                <w:spacing w:val="-3"/>
              </w:rPr>
              <w:t>性能受网</w:t>
            </w:r>
            <w:r>
              <w:rPr>
                <w:spacing w:val="-2"/>
              </w:rPr>
              <w:t>络影响大</w:t>
            </w:r>
          </w:p>
        </w:tc>
        <w:tc>
          <w:tcPr>
            <w:tcW w:w="1452" w:type="dxa"/>
            <w:vAlign w:val="top"/>
          </w:tcPr>
          <w:p>
            <w:pPr>
              <w:spacing w:line="4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238" w:firstLine="2"/>
              <w:spacing w:before="72" w:line="264" w:lineRule="auto"/>
              <w:rPr/>
            </w:pPr>
            <w:r>
              <w:rPr>
                <w:spacing w:val="-2"/>
              </w:rPr>
              <w:t>性能受网络</w:t>
            </w:r>
            <w:r>
              <w:rPr>
                <w:spacing w:val="-2"/>
              </w:rPr>
              <w:t>影响大</w:t>
            </w:r>
          </w:p>
        </w:tc>
        <w:tc>
          <w:tcPr>
            <w:tcW w:w="1698" w:type="dxa"/>
            <w:vAlign w:val="top"/>
          </w:tcPr>
          <w:p>
            <w:pPr>
              <w:spacing w:line="4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265" w:hanging="3"/>
              <w:spacing w:before="72" w:line="264" w:lineRule="auto"/>
              <w:rPr/>
            </w:pPr>
            <w:r>
              <w:rPr>
                <w:spacing w:val="-1"/>
              </w:rPr>
              <w:t>仅支持推理服</w:t>
            </w:r>
            <w:r>
              <w:rPr/>
              <w:t>务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124"/>
        <w:spacing w:before="98" w:line="233" w:lineRule="auto"/>
        <w:rPr/>
      </w:pPr>
      <w:r>
        <w:rPr>
          <w:spacing w:val="-5"/>
        </w:rPr>
        <w:t>目前大模型对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GPU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5"/>
        </w:rPr>
        <w:t>使用主要包括以下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5"/>
        </w:rPr>
        <w:t>种形式，其中多卡</w:t>
      </w:r>
    </w:p>
    <w:p>
      <w:pPr>
        <w:spacing w:line="233" w:lineRule="auto"/>
        <w:sectPr>
          <w:pgSz w:w="11907" w:h="16839"/>
          <w:pgMar w:top="1431" w:right="1342" w:bottom="0" w:left="1344" w:header="0" w:footer="0" w:gutter="0"/>
        </w:sectPr>
        <w:rPr/>
      </w:pPr>
    </w:p>
    <w:p>
      <w:pPr>
        <w:pStyle w:val="BodyText"/>
        <w:ind w:left="49" w:right="107" w:hanging="12"/>
        <w:spacing w:before="87" w:line="261" w:lineRule="auto"/>
        <w:rPr/>
      </w:pPr>
      <w:r>
        <w:rPr>
          <w:spacing w:val="-4"/>
        </w:rPr>
        <w:t>聚合、跨机池化成为目前大模型（百亿以上参数）</w:t>
      </w:r>
      <w:r>
        <w:rPr>
          <w:spacing w:val="-5"/>
        </w:rPr>
        <w:t>的训练与微调</w:t>
      </w:r>
      <w:r>
        <w:rPr>
          <w:spacing w:val="-9"/>
        </w:rPr>
        <w:t>的主要实现方式。</w:t>
      </w:r>
    </w:p>
    <w:p>
      <w:pPr>
        <w:pStyle w:val="BodyText"/>
        <w:ind w:left="25" w:firstLine="603"/>
        <w:spacing w:before="264" w:line="259" w:lineRule="auto"/>
        <w:jc w:val="both"/>
        <w:rPr/>
      </w:pPr>
      <w:r>
        <w:rPr>
          <w:spacing w:val="-7"/>
        </w:rPr>
        <w:t>按大模型的参数量、训推的不同阶段，</w:t>
      </w:r>
      <w:r>
        <w:rPr>
          <w:rFonts w:ascii="Times New Roman" w:hAnsi="Times New Roman" w:eastAsia="Times New Roman" w:cs="Times New Roman"/>
          <w:spacing w:val="-7"/>
        </w:rPr>
        <w:t>GPU </w:t>
      </w:r>
      <w:r>
        <w:rPr>
          <w:spacing w:val="-7"/>
        </w:rPr>
        <w:t>算力与显存可采</w:t>
      </w:r>
      <w:r>
        <w:rPr>
          <w:spacing w:val="-4"/>
        </w:rPr>
        <w:t>用不同的共享模式，目前可简单将大模型分为单卡、单机多卡和</w:t>
      </w:r>
      <w:r>
        <w:rPr>
          <w:spacing w:val="-4"/>
        </w:rPr>
        <w:t>多机多卡三种算力需求，在百亿以上参数大模型的训练阶段通常</w:t>
      </w:r>
      <w:r>
        <w:rPr>
          <w:spacing w:val="-2"/>
        </w:rPr>
        <w:t>需要多机多卡，从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64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2"/>
        </w:rPr>
        <w:t>卡到千卡可对应不同参数量与数据语料规</w:t>
      </w:r>
      <w:r>
        <w:rPr>
          <w:spacing w:val="-2"/>
        </w:rPr>
        <w:t>模，通常需要长时间饱和式使用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GPU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2"/>
        </w:rPr>
        <w:t>资源，一般采用物理独占</w:t>
      </w:r>
      <w:r>
        <w:rPr>
          <w:spacing w:val="-4"/>
        </w:rPr>
        <w:t>和跨机聚合的形式，所以基本只能分时段提供共享。在大模型推</w:t>
      </w:r>
      <w:r>
        <w:rPr>
          <w:spacing w:val="-1"/>
        </w:rPr>
        <w:t>理阶段，根据模型的参数与支持输入的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token </w:t>
      </w:r>
      <w:r>
        <w:rPr>
          <w:spacing w:val="-1"/>
        </w:rPr>
        <w:t>大小可评估其对显</w:t>
      </w:r>
      <w:r>
        <w:rPr/>
        <w:t>存的占用情况，若显存要求不超过单卡，则可采用硬件虚拟化、</w:t>
      </w:r>
      <w:r>
        <w:rPr>
          <w:spacing w:val="-2"/>
        </w:rPr>
        <w:t>软件虚拟化、跨机池化、远程服务实现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GPU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2"/>
        </w:rPr>
        <w:t>资源共享。如果显</w:t>
      </w:r>
      <w:r>
        <w:rPr>
          <w:spacing w:val="-2"/>
        </w:rPr>
        <w:t>存要求单机多卡，则推荐采用跨机池化和远程服务实现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GPU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2"/>
        </w:rPr>
        <w:t>资</w:t>
      </w:r>
      <w:r>
        <w:rPr>
          <w:spacing w:val="-11"/>
        </w:rPr>
        <w:t>源共享。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三、发展建议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7" w:right="103" w:firstLine="602"/>
        <w:spacing w:before="98" w:line="260" w:lineRule="auto"/>
        <w:jc w:val="both"/>
        <w:rPr/>
      </w:pPr>
      <w:r>
        <w:rPr>
          <w:spacing w:val="-4"/>
        </w:rPr>
        <w:t>大模型初期发展将主要以训练和微调为主，推</w:t>
      </w:r>
      <w:r>
        <w:rPr>
          <w:spacing w:val="-5"/>
        </w:rPr>
        <w:t>理为辅，建议</w:t>
      </w:r>
      <w:r>
        <w:rPr>
          <w:spacing w:val="-2"/>
        </w:rPr>
        <w:t>百亿以上参数大模型优先采用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GPU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-2"/>
        </w:rPr>
        <w:t>多卡聚合支撑大模型的训练</w:t>
      </w:r>
      <w:r>
        <w:rPr>
          <w:spacing w:val="1"/>
        </w:rPr>
        <w:t>需求。同时基于开源基座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微调大模型（参数百亿以下）</w:t>
      </w:r>
      <w:r>
        <w:rPr/>
        <w:t>的训练</w:t>
      </w:r>
      <w:r>
        <w:rPr>
          <w:spacing w:val="-2"/>
        </w:rPr>
        <w:t>和推理，可采用硬件虚拟化、软件虚拟化实现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GPU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2"/>
        </w:rPr>
        <w:t>资源共享，</w:t>
      </w:r>
      <w:r>
        <w:rPr>
          <w:spacing w:val="-6"/>
        </w:rPr>
        <w:t>并依据模型参数灵活选择超分比（如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6B </w:t>
      </w:r>
      <w:r>
        <w:rPr>
          <w:spacing w:val="-6"/>
        </w:rPr>
        <w:t>参数大模型，</w:t>
      </w:r>
      <w:r>
        <w:rPr>
          <w:rFonts w:ascii="Times New Roman" w:hAnsi="Times New Roman" w:eastAsia="Times New Roman" w:cs="Times New Roman"/>
          <w:spacing w:val="-6"/>
        </w:rPr>
        <w:t>A100 </w:t>
      </w:r>
      <w:r>
        <w:rPr>
          <w:spacing w:val="-6"/>
        </w:rPr>
        <w:t>最大</w:t>
      </w:r>
      <w:r>
        <w:rPr>
          <w:spacing w:val="-9"/>
        </w:rPr>
        <w:t>可满足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5 </w:t>
      </w:r>
      <w:r>
        <w:rPr>
          <w:spacing w:val="-9"/>
        </w:rPr>
        <w:t>路业务推理并发使用</w:t>
      </w:r>
      <w:r>
        <w:rPr>
          <w:spacing w:val="-13"/>
        </w:rPr>
        <w:t>），</w:t>
      </w:r>
      <w:r>
        <w:rPr>
          <w:spacing w:val="-9"/>
        </w:rPr>
        <w:t>提升资源效率。</w:t>
      </w:r>
    </w:p>
    <w:p>
      <w:pPr>
        <w:pStyle w:val="BodyText"/>
        <w:ind w:left="636"/>
        <w:spacing w:before="261" w:line="233" w:lineRule="auto"/>
        <w:outlineLvl w:val="4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．合作</w:t>
      </w:r>
      <w:r>
        <w:rPr>
          <w:rFonts w:ascii="Times New Roman" w:hAnsi="Times New Roman" w:eastAsia="Times New Roman" w:cs="Times New Roman"/>
          <w:b/>
          <w:bCs/>
          <w:spacing w:val="-5"/>
        </w:rPr>
        <w:t>+</w:t>
      </w:r>
      <w:r>
        <w:rPr>
          <w:b/>
          <w:bCs/>
          <w:spacing w:val="-5"/>
        </w:rPr>
        <w:t>自研方式，探索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GPU</w:t>
      </w:r>
      <w:r>
        <w:rPr>
          <w:rFonts w:ascii="Times New Roman" w:hAnsi="Times New Roman" w:eastAsia="Times New Roman" w:cs="Times New Roman"/>
          <w:b/>
          <w:bCs/>
          <w:spacing w:val="35"/>
        </w:rPr>
        <w:t xml:space="preserve"> </w:t>
      </w:r>
      <w:r>
        <w:rPr>
          <w:b/>
          <w:bCs/>
          <w:spacing w:val="-5"/>
        </w:rPr>
        <w:t>的跨机池化资源共享</w:t>
      </w:r>
    </w:p>
    <w:p>
      <w:pPr>
        <w:pStyle w:val="BodyText"/>
        <w:ind w:left="25" w:right="103" w:firstLine="601"/>
        <w:spacing w:before="318" w:line="260" w:lineRule="auto"/>
        <w:jc w:val="both"/>
        <w:rPr/>
      </w:pPr>
      <w:r>
        <w:rPr>
          <w:spacing w:val="-2"/>
        </w:rPr>
        <w:t>加强与英伟达等厂商合作，试点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GPU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2"/>
        </w:rPr>
        <w:t>跨机池化的资源共享</w:t>
      </w:r>
      <w:r>
        <w:rPr>
          <w:spacing w:val="-12"/>
        </w:rPr>
        <w:t>超分，以有限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GPU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2"/>
        </w:rPr>
        <w:t>资源为大模型提供服务。合作共建大规模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GPU</w:t>
      </w:r>
      <w:r>
        <w:rPr>
          <w:spacing w:val="-1"/>
        </w:rPr>
        <w:t>集群，通过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RDMA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1"/>
        </w:rPr>
        <w:t>高性能网络构建、多机</w:t>
      </w:r>
      <w:r>
        <w:rPr>
          <w:spacing w:val="-2"/>
        </w:rPr>
        <w:t>多卡算力聚合、多租</w:t>
      </w:r>
      <w:r>
        <w:rPr>
          <w:spacing w:val="-4"/>
        </w:rPr>
        <w:t>户隔离与带宽动态调度等新技术自研，实现大算力资源的稳定供</w:t>
      </w:r>
      <w:r>
        <w:rPr>
          <w:spacing w:val="-14"/>
        </w:rPr>
        <w:t>给。</w:t>
      </w:r>
    </w:p>
    <w:p>
      <w:pPr>
        <w:pStyle w:val="BodyText"/>
        <w:ind w:left="624"/>
        <w:spacing w:before="269" w:line="233" w:lineRule="auto"/>
        <w:outlineLvl w:val="4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．加强分布式训练和推理优化，提供一站式大模型服务</w:t>
      </w:r>
    </w:p>
    <w:p>
      <w:pPr>
        <w:pStyle w:val="BodyText"/>
        <w:ind w:left="626"/>
        <w:spacing w:before="323" w:line="219" w:lineRule="auto"/>
        <w:rPr/>
      </w:pPr>
      <w:r>
        <w:rPr>
          <w:spacing w:val="-8"/>
        </w:rPr>
        <w:t>加大分布式训练推理框架、调度算法等自研和深度优化，</w:t>
      </w:r>
      <w:r>
        <w:rPr>
          <w:spacing w:val="-36"/>
        </w:rPr>
        <w:t xml:space="preserve"> </w:t>
      </w:r>
      <w:r>
        <w:rPr>
          <w:spacing w:val="-8"/>
        </w:rPr>
        <w:t>持</w:t>
      </w:r>
    </w:p>
    <w:p>
      <w:pPr>
        <w:spacing w:line="219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5" w:right="12" w:firstLine="4"/>
        <w:spacing w:before="90" w:line="259" w:lineRule="auto"/>
        <w:jc w:val="both"/>
        <w:rPr/>
      </w:pPr>
      <w:r>
        <w:rPr>
          <w:spacing w:val="-2"/>
        </w:rPr>
        <w:t>续提高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GPU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-2"/>
        </w:rPr>
        <w:t>集群的线性并行度和资源利用率。加快天翼云“云</w:t>
      </w:r>
      <w:r>
        <w:rPr>
          <w:spacing w:val="-1"/>
        </w:rPr>
        <w:t>骁”算力平台和“诸葛”一站式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1"/>
        </w:rPr>
        <w:t>平台的无缝对接，利用已有</w:t>
      </w:r>
      <w:r>
        <w:rPr>
          <w:spacing w:val="-1"/>
        </w:rPr>
        <w:t>的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1"/>
        </w:rPr>
        <w:t>模型库和可视化全流程开发平台，降低大模型的适配难度</w:t>
      </w:r>
      <w:r>
        <w:rPr>
          <w:spacing w:val="-3"/>
        </w:rPr>
        <w:t>和使用门槛，提高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GPU </w:t>
      </w:r>
      <w:r>
        <w:rPr>
          <w:spacing w:val="-3"/>
        </w:rPr>
        <w:t>集群的使用率。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left="68" w:right="60" w:hanging="29"/>
        <w:spacing w:before="98" w:line="287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中国电信股份有限公司研究院/战略发展研</w:t>
      </w:r>
      <w:r>
        <w:rPr>
          <w:rFonts w:ascii="KaiTi" w:hAnsi="KaiTi" w:eastAsia="KaiTi" w:cs="KaiTi"/>
          <w:sz w:val="30"/>
          <w:szCs w:val="30"/>
          <w:spacing w:val="-2"/>
        </w:rPr>
        <w:t>究所、云</w:t>
      </w:r>
      <w:r>
        <w:rPr>
          <w:rFonts w:ascii="KaiTi" w:hAnsi="KaiTi" w:eastAsia="KaiTi" w:cs="KaiTi"/>
          <w:sz w:val="30"/>
          <w:szCs w:val="30"/>
          <w:spacing w:val="-6"/>
        </w:rPr>
        <w:t>网运营技术研究所</w:t>
      </w:r>
    </w:p>
    <w:p>
      <w:pPr>
        <w:spacing w:line="364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165887</wp:posOffset>
            </wp:positionH>
            <wp:positionV relativeFrom="paragraph">
              <wp:posOffset>18007</wp:posOffset>
            </wp:positionV>
            <wp:extent cx="903731" cy="3537204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731" cy="3537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67"/>
        <w:spacing w:before="91" w:line="22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王田媛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【17310133217】</w:t>
      </w:r>
    </w:p>
    <w:p>
      <w:pPr>
        <w:ind w:left="2274" w:right="203" w:firstLine="266"/>
        <w:spacing w:before="105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硕士，主要从事云计算行业市场、技术架构及</w:t>
      </w:r>
      <w:r>
        <w:rPr>
          <w:rFonts w:ascii="KaiTi" w:hAnsi="KaiTi" w:eastAsia="KaiTi" w:cs="KaiTi"/>
          <w:sz w:val="28"/>
          <w:szCs w:val="28"/>
          <w:spacing w:val="-3"/>
        </w:rPr>
        <w:t>演进路径规划研究。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ind w:left="2252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傅德基</w:t>
      </w:r>
    </w:p>
    <w:p>
      <w:pPr>
        <w:ind w:left="2269" w:right="240" w:firstLine="272"/>
        <w:spacing w:before="112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硕士，长期从事云计算领域的先进架构芯片、</w:t>
      </w:r>
      <w:r>
        <w:rPr>
          <w:rFonts w:ascii="KaiTi" w:hAnsi="KaiTi" w:eastAsia="KaiTi" w:cs="KaiTi"/>
          <w:sz w:val="28"/>
          <w:szCs w:val="28"/>
          <w:spacing w:val="-3"/>
        </w:rPr>
        <w:t>下一代虚拟化、技术长期演进创新机制等研究。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ind w:left="2281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陈元谋</w:t>
      </w:r>
    </w:p>
    <w:p>
      <w:pPr>
        <w:ind w:left="2262" w:right="272" w:firstLine="278"/>
        <w:spacing w:before="115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7"/>
        </w:rPr>
        <w:t>硕士，主要从事</w:t>
      </w:r>
      <w:r>
        <w:rPr>
          <w:rFonts w:ascii="KaiTi" w:hAnsi="KaiTi" w:eastAsia="KaiTi" w:cs="KaiTi"/>
          <w:sz w:val="28"/>
          <w:szCs w:val="28"/>
          <w:spacing w:val="6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IP</w:t>
      </w:r>
      <w:r>
        <w:rPr>
          <w:rFonts w:ascii="KaiTi" w:hAnsi="KaiTi" w:eastAsia="KaiTi" w:cs="KaiTi"/>
          <w:sz w:val="28"/>
          <w:szCs w:val="28"/>
          <w:spacing w:val="-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网络、数据中心、云网等</w:t>
      </w:r>
      <w:r>
        <w:rPr>
          <w:rFonts w:ascii="KaiTi" w:hAnsi="KaiTi" w:eastAsia="KaiTi" w:cs="KaiTi"/>
          <w:sz w:val="28"/>
          <w:szCs w:val="28"/>
          <w:spacing w:val="-2"/>
        </w:rPr>
        <w:t>技术及行业研究。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2023-07-24T16:16:00Z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2025-11-04T15:54:47</vt:filetime>
  </property>
</Properties>
</file>