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560FB">
      <w:pPr>
        <w:spacing w:after="312" w:afterLines="100" w:line="360" w:lineRule="auto"/>
        <w:jc w:val="center"/>
        <w:rPr>
          <w:rFonts w:hint="eastAsia" w:ascii="仿宋" w:hAnsi="仿宋" w:eastAsia="仿宋" w:cs="仿宋"/>
          <w:b/>
          <w:bCs/>
          <w:sz w:val="40"/>
          <w:szCs w:val="40"/>
        </w:rPr>
      </w:pPr>
      <w:r>
        <w:rPr>
          <w:rFonts w:hint="eastAsia" w:ascii="仿宋" w:hAnsi="仿宋" w:eastAsia="仿宋" w:cs="仿宋"/>
          <w:b/>
          <w:bCs/>
          <w:sz w:val="40"/>
          <w:szCs w:val="40"/>
        </w:rPr>
        <w:t>高铁隧道</w:t>
      </w:r>
      <w:r>
        <w:rPr>
          <w:rFonts w:hint="eastAsia" w:ascii="仿宋" w:hAnsi="仿宋" w:eastAsia="仿宋" w:cs="仿宋"/>
          <w:b/>
          <w:bCs/>
          <w:sz w:val="40"/>
          <w:szCs w:val="40"/>
          <w:lang w:val="en-US" w:eastAsia="zh-CN"/>
        </w:rPr>
        <w:t>移动网络</w:t>
      </w:r>
      <w:r>
        <w:rPr>
          <w:rFonts w:hint="eastAsia" w:ascii="仿宋" w:hAnsi="仿宋" w:eastAsia="仿宋" w:cs="仿宋"/>
          <w:b/>
          <w:bCs/>
          <w:sz w:val="40"/>
          <w:szCs w:val="40"/>
        </w:rPr>
        <w:t>网络问题分析与建议</w:t>
      </w:r>
    </w:p>
    <w:p w14:paraId="711D54E2">
      <w:pPr>
        <w:pStyle w:val="39"/>
        <w:spacing w:line="360" w:lineRule="auto"/>
        <w:ind w:left="0" w:firstLine="487" w:firstLineChars="202"/>
        <w:jc w:val="center"/>
        <w:rPr>
          <w:rFonts w:hint="default" w:ascii="仿宋" w:hAnsi="仿宋" w:eastAsia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bCs/>
          <w:sz w:val="24"/>
          <w:szCs w:val="24"/>
          <w:lang w:val="en-US" w:eastAsia="zh-CN"/>
        </w:rPr>
        <w:t>吴镇国、陈宇、许向东、黄毅华、郭丽芳、肖胜</w:t>
      </w:r>
    </w:p>
    <w:p w14:paraId="7D18290F">
      <w:pPr>
        <w:pStyle w:val="39"/>
        <w:spacing w:line="360" w:lineRule="auto"/>
        <w:ind w:left="0" w:firstLine="565" w:firstLineChars="202"/>
        <w:rPr>
          <w:rFonts w:hint="eastAsia" w:ascii="仿宋" w:hAnsi="仿宋" w:eastAsia="仿宋"/>
          <w:sz w:val="28"/>
          <w:szCs w:val="28"/>
        </w:rPr>
      </w:pPr>
    </w:p>
    <w:p w14:paraId="39A989B5">
      <w:pPr>
        <w:pStyle w:val="39"/>
        <w:spacing w:after="156" w:afterLines="50" w:line="360" w:lineRule="auto"/>
        <w:ind w:left="0" w:leftChars="0" w:firstLine="0" w:firstLineChars="0"/>
        <w:rPr>
          <w:rFonts w:hint="eastAsia" w:ascii="仿宋" w:hAnsi="仿宋" w:eastAsia="仿宋"/>
          <w:sz w:val="28"/>
          <w:szCs w:val="28"/>
        </w:rPr>
      </w:pPr>
      <w:r>
        <w:drawing>
          <wp:inline distT="0" distB="0" distL="114300" distR="114300">
            <wp:extent cx="5307965" cy="4672330"/>
            <wp:effectExtent l="0" t="0" r="635" b="127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7965" cy="467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70F71">
      <w:pPr>
        <w:pStyle w:val="39"/>
        <w:numPr>
          <w:ilvl w:val="0"/>
          <w:numId w:val="1"/>
        </w:numPr>
        <w:spacing w:before="156" w:beforeLines="50" w:line="360" w:lineRule="auto"/>
        <w:ind w:left="442" w:firstLine="126" w:firstLineChars="45"/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高铁移动网络覆盖与用户感知的问题与短板</w:t>
      </w:r>
    </w:p>
    <w:p w14:paraId="20F8493B">
      <w:pPr>
        <w:numPr>
          <w:ilvl w:val="0"/>
          <w:numId w:val="2"/>
        </w:numPr>
        <w:tabs>
          <w:tab w:val="left" w:pos="1050"/>
          <w:tab w:val="clear" w:pos="312"/>
        </w:tabs>
        <w:spacing w:line="360" w:lineRule="auto"/>
        <w:ind w:firstLine="562" w:firstLineChars="200"/>
        <w:rPr>
          <w:rFonts w:hint="eastAsia"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高铁网络覆盖与工信部“信号升格”及集团要求相距甚远</w:t>
      </w:r>
    </w:p>
    <w:p w14:paraId="701E147A">
      <w:pPr>
        <w:spacing w:line="360" w:lineRule="auto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工信部等11部门联合下发的“信号升格”文件中，要求到2025年底超过3万公里铁路线路实现移动网络信号连续覆盖，尤其强调对桥梁、隧道等铁路关键点位的深度覆盖。同时，中国电信集团也提出对铁路重点线路5G覆盖率不低于95%的目标。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2025年Q2</w:t>
      </w:r>
      <w:r>
        <w:rPr>
          <w:rFonts w:hint="eastAsia" w:ascii="仿宋_GB2312" w:eastAsia="仿宋_GB2312"/>
          <w:sz w:val="28"/>
          <w:szCs w:val="28"/>
        </w:rPr>
        <w:t>实测数据显示，当前电信京广高铁全线</w:t>
      </w:r>
      <w:r>
        <w:rPr>
          <w:rFonts w:ascii="仿宋_GB2312" w:eastAsia="仿宋_GB2312"/>
          <w:sz w:val="28"/>
          <w:szCs w:val="28"/>
        </w:rPr>
        <w:t>5G覆盖率84.4%，</w:t>
      </w:r>
      <w:r>
        <w:rPr>
          <w:rFonts w:hint="eastAsia" w:ascii="仿宋_GB2312" w:eastAsia="仿宋_GB2312"/>
          <w:sz w:val="28"/>
          <w:szCs w:val="28"/>
        </w:rPr>
        <w:t>沪昆高铁全线</w:t>
      </w:r>
      <w:r>
        <w:rPr>
          <w:rFonts w:ascii="仿宋_GB2312" w:eastAsia="仿宋_GB2312"/>
          <w:sz w:val="28"/>
          <w:szCs w:val="28"/>
        </w:rPr>
        <w:t>5G覆盖率89.05%，</w:t>
      </w:r>
      <w:r>
        <w:rPr>
          <w:rFonts w:hint="eastAsia" w:ascii="仿宋_GB2312" w:eastAsia="仿宋_GB2312"/>
          <w:sz w:val="28"/>
          <w:szCs w:val="28"/>
        </w:rPr>
        <w:t>与目标要求相距甚远。</w:t>
      </w:r>
    </w:p>
    <w:p w14:paraId="4D04876D">
      <w:pPr>
        <w:numPr>
          <w:ilvl w:val="0"/>
          <w:numId w:val="2"/>
        </w:numPr>
        <w:tabs>
          <w:tab w:val="left" w:pos="1050"/>
          <w:tab w:val="clear" w:pos="312"/>
        </w:tabs>
        <w:spacing w:line="360" w:lineRule="auto"/>
        <w:ind w:firstLine="562" w:firstLineChars="200"/>
        <w:rPr>
          <w:rFonts w:hint="eastAsia"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用户感知有差距</w:t>
      </w:r>
      <w:bookmarkStart w:id="0" w:name="_Hlk173336521"/>
      <w:r>
        <w:rPr>
          <w:rFonts w:hint="eastAsia" w:ascii="仿宋_GB2312" w:eastAsia="仿宋_GB2312"/>
          <w:b/>
          <w:bCs/>
          <w:sz w:val="28"/>
          <w:szCs w:val="28"/>
        </w:rPr>
        <w:t>，重点高铁线路移动网络感知落后友商</w:t>
      </w:r>
      <w:bookmarkEnd w:id="0"/>
    </w:p>
    <w:p w14:paraId="135578CE">
      <w:pPr>
        <w:spacing w:line="360" w:lineRule="auto"/>
        <w:rPr>
          <w:rFonts w:hint="eastAsia" w:ascii="仿宋_GB2312" w:eastAsia="仿宋_GB2312"/>
          <w:sz w:val="28"/>
          <w:szCs w:val="28"/>
        </w:rPr>
      </w:pPr>
      <w:r>
        <w:drawing>
          <wp:inline distT="0" distB="0" distL="114300" distR="114300">
            <wp:extent cx="5337810" cy="1926590"/>
            <wp:effectExtent l="0" t="0" r="8890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C7579">
      <w:pPr>
        <w:spacing w:line="360" w:lineRule="auto"/>
        <w:ind w:left="0" w:leftChars="0" w:firstLine="0" w:firstLineChars="0"/>
        <w:jc w:val="center"/>
        <w:rPr>
          <w:rFonts w:hint="eastAsia" w:ascii="仿宋_GB2312" w:eastAsia="仿宋_GB2312"/>
          <w:sz w:val="28"/>
          <w:szCs w:val="28"/>
        </w:rPr>
      </w:pPr>
      <w:r>
        <w:drawing>
          <wp:inline distT="0" distB="0" distL="114300" distR="114300">
            <wp:extent cx="5272405" cy="1609090"/>
            <wp:effectExtent l="0" t="0" r="1079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AFCD">
      <w:pPr>
        <w:numPr>
          <w:ilvl w:val="0"/>
          <w:numId w:val="2"/>
        </w:numPr>
        <w:tabs>
          <w:tab w:val="left" w:pos="1050"/>
          <w:tab w:val="clear" w:pos="312"/>
        </w:tabs>
        <w:spacing w:before="156" w:beforeLines="50" w:line="360" w:lineRule="auto"/>
        <w:ind w:firstLine="562" w:firstLineChars="200"/>
        <w:rPr>
          <w:rFonts w:hint="eastAsia"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高铁隧道感知明显落后全线，友商已着手改善并取得成效</w:t>
      </w:r>
    </w:p>
    <w:p w14:paraId="1D7B2888">
      <w:pPr>
        <w:tabs>
          <w:tab w:val="left" w:pos="312"/>
        </w:tabs>
        <w:spacing w:line="360" w:lineRule="auto"/>
        <w:rPr>
          <w:rFonts w:hint="eastAsia" w:ascii="仿宋_GB2312" w:eastAsia="仿宋_GB2312"/>
          <w:sz w:val="28"/>
          <w:szCs w:val="28"/>
          <w:lang w:eastAsia="zh-CN"/>
        </w:rPr>
      </w:pPr>
      <w:r>
        <w:drawing>
          <wp:inline distT="0" distB="0" distL="114300" distR="114300">
            <wp:extent cx="5359400" cy="1153795"/>
            <wp:effectExtent l="0" t="0" r="0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82FD">
      <w:pPr>
        <w:tabs>
          <w:tab w:val="left" w:pos="312"/>
        </w:tabs>
        <w:spacing w:line="360" w:lineRule="auto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  <w:lang w:val="en-US" w:eastAsia="zh-CN"/>
        </w:rPr>
        <w:t>以</w:t>
      </w:r>
      <w:r>
        <w:rPr>
          <w:rFonts w:hint="eastAsia" w:ascii="仿宋_GB2312" w:eastAsia="仿宋_GB2312"/>
          <w:sz w:val="28"/>
          <w:szCs w:val="28"/>
        </w:rPr>
        <w:t>成昆铁路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为例</w:t>
      </w:r>
      <w:r>
        <w:rPr>
          <w:rFonts w:hint="eastAsia" w:ascii="仿宋_GB2312" w:eastAsia="仿宋_GB2312"/>
          <w:sz w:val="28"/>
          <w:szCs w:val="28"/>
        </w:rPr>
        <w:t>，全长约1100公里，共有隧道427座，隧道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长</w:t>
      </w:r>
      <w:r>
        <w:rPr>
          <w:rFonts w:hint="eastAsia" w:ascii="仿宋_GB2312" w:eastAsia="仿宋_GB2312"/>
          <w:sz w:val="28"/>
          <w:szCs w:val="28"/>
        </w:rPr>
        <w:t>445公里，隧线比40%</w:t>
      </w:r>
      <w:r>
        <w:rPr>
          <w:rFonts w:hint="eastAsia" w:ascii="仿宋_GB2312" w:eastAsia="仿宋_GB2312"/>
          <w:sz w:val="28"/>
          <w:szCs w:val="28"/>
          <w:lang w:eastAsia="zh-CN"/>
        </w:rPr>
        <w:t>。</w:t>
      </w:r>
      <w:r>
        <w:rPr>
          <w:rFonts w:hint="eastAsia" w:ascii="仿宋_GB2312" w:eastAsia="仿宋_GB2312"/>
          <w:sz w:val="28"/>
          <w:szCs w:val="28"/>
        </w:rPr>
        <w:t>从成昆铁路四川段隧道实测数据来看，</w:t>
      </w:r>
      <w:r>
        <w:rPr>
          <w:rFonts w:hint="eastAsia" w:ascii="仿宋_GB2312" w:eastAsia="仿宋_GB2312"/>
          <w:b w:val="0"/>
          <w:bCs w:val="0"/>
          <w:sz w:val="28"/>
          <w:szCs w:val="28"/>
        </w:rPr>
        <w:t>中国电信高铁隧道</w:t>
      </w:r>
      <w:r>
        <w:rPr>
          <w:rFonts w:hint="eastAsia" w:ascii="仿宋_GB2312" w:eastAsia="仿宋_GB2312"/>
          <w:sz w:val="28"/>
          <w:szCs w:val="28"/>
        </w:rPr>
        <w:t>4/5G综合覆盖率比全线低13.8PP，掉话率高32.9PP</w:t>
      </w:r>
      <w:r>
        <w:rPr>
          <w:rFonts w:hint="eastAsia" w:ascii="仿宋_GB2312" w:eastAsia="仿宋_GB2312"/>
          <w:sz w:val="28"/>
          <w:szCs w:val="28"/>
          <w:lang w:eastAsia="zh-CN"/>
        </w:rPr>
        <w:t>；</w:t>
      </w:r>
      <w:r>
        <w:rPr>
          <w:rFonts w:hint="eastAsia" w:ascii="仿宋_GB2312" w:eastAsia="仿宋_GB2312"/>
          <w:b w:val="0"/>
          <w:bCs w:val="0"/>
          <w:sz w:val="28"/>
          <w:szCs w:val="28"/>
        </w:rPr>
        <w:t>而中国移动</w:t>
      </w:r>
      <w:r>
        <w:rPr>
          <w:rFonts w:hint="eastAsia" w:ascii="仿宋_GB2312" w:eastAsia="仿宋_GB2312"/>
          <w:sz w:val="28"/>
          <w:szCs w:val="28"/>
        </w:rPr>
        <w:t>4/5G综合覆盖率比全线高1.0PP，接通率比全线高5.8PP，下行速率高出全线11.5Mbps</w:t>
      </w:r>
      <w:r>
        <w:rPr>
          <w:rFonts w:hint="eastAsia" w:ascii="仿宋_GB2312" w:eastAsia="仿宋_GB2312"/>
          <w:sz w:val="28"/>
          <w:szCs w:val="28"/>
          <w:lang w:eastAsia="zh-CN"/>
        </w:rPr>
        <w:t>，</w:t>
      </w:r>
      <w:r>
        <w:rPr>
          <w:rFonts w:hint="eastAsia" w:ascii="仿宋_GB2312" w:eastAsia="仿宋_GB2312"/>
          <w:b w:val="0"/>
          <w:bCs w:val="0"/>
          <w:sz w:val="28"/>
          <w:szCs w:val="28"/>
          <w:lang w:val="en-US" w:eastAsia="zh-CN"/>
        </w:rPr>
        <w:t>中移动对</w:t>
      </w:r>
      <w:r>
        <w:rPr>
          <w:rFonts w:hint="eastAsia" w:ascii="仿宋_GB2312" w:eastAsia="仿宋_GB2312"/>
          <w:b w:val="0"/>
          <w:bCs w:val="0"/>
          <w:sz w:val="28"/>
          <w:szCs w:val="28"/>
        </w:rPr>
        <w:t>高铁隧道感知</w:t>
      </w:r>
      <w:r>
        <w:rPr>
          <w:rFonts w:hint="eastAsia" w:ascii="仿宋_GB2312" w:eastAsia="仿宋_GB2312"/>
          <w:b w:val="0"/>
          <w:bCs w:val="0"/>
          <w:sz w:val="28"/>
          <w:szCs w:val="28"/>
          <w:lang w:val="en-US" w:eastAsia="zh-CN"/>
        </w:rPr>
        <w:t>的改善已取得一定成效。</w:t>
      </w:r>
    </w:p>
    <w:p w14:paraId="4759DFE9">
      <w:pPr>
        <w:tabs>
          <w:tab w:val="left" w:pos="312"/>
        </w:tabs>
        <w:spacing w:line="360" w:lineRule="auto"/>
        <w:ind w:firstLine="562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中国电信高铁隧道感知明显落后于中国移动。</w:t>
      </w:r>
      <w:r>
        <w:rPr>
          <w:rFonts w:hint="eastAsia" w:ascii="仿宋_GB2312" w:eastAsia="仿宋_GB2312"/>
          <w:b/>
          <w:bCs/>
          <w:sz w:val="28"/>
          <w:szCs w:val="28"/>
          <w:lang w:val="en-US" w:eastAsia="zh-CN"/>
        </w:rPr>
        <w:t>根据2024年底-2025年实测数据，</w:t>
      </w:r>
      <w:r>
        <w:rPr>
          <w:rFonts w:hint="eastAsia" w:ascii="仿宋_GB2312" w:eastAsia="仿宋_GB2312"/>
          <w:sz w:val="28"/>
          <w:szCs w:val="28"/>
        </w:rPr>
        <w:t>中国电信与中国移动相比，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高铁隧道的</w:t>
      </w:r>
      <w:r>
        <w:rPr>
          <w:rFonts w:hint="eastAsia" w:ascii="仿宋_GB2312" w:eastAsia="仿宋_GB2312"/>
          <w:sz w:val="28"/>
          <w:szCs w:val="28"/>
        </w:rPr>
        <w:t>4/5G综合覆盖率低23.4PP，接通率低46.7PP，掉话率高37.5%，下行速率低34.5Mbps。</w:t>
      </w:r>
    </w:p>
    <w:p w14:paraId="5DEFBBED">
      <w:pPr>
        <w:spacing w:line="360" w:lineRule="auto"/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表2 高铁隧道与全线网络测评指标对比</w:t>
      </w:r>
    </w:p>
    <w:p w14:paraId="51094DAF">
      <w:pPr>
        <w:spacing w:line="360" w:lineRule="auto"/>
        <w:jc w:val="center"/>
        <w:rPr>
          <w:rFonts w:hint="eastAsia" w:ascii="仿宋_GB2312" w:eastAsia="仿宋_GB2312"/>
          <w:sz w:val="28"/>
          <w:szCs w:val="28"/>
        </w:rPr>
      </w:pPr>
      <w:r>
        <w:drawing>
          <wp:inline distT="0" distB="0" distL="114300" distR="114300">
            <wp:extent cx="5272405" cy="3313430"/>
            <wp:effectExtent l="0" t="0" r="10795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62390">
      <w:pPr>
        <w:pStyle w:val="39"/>
        <w:numPr>
          <w:ilvl w:val="0"/>
          <w:numId w:val="1"/>
        </w:numPr>
        <w:spacing w:before="156" w:beforeLines="50" w:line="360" w:lineRule="auto"/>
        <w:ind w:left="442" w:firstLine="126" w:firstLineChars="45"/>
        <w:rPr>
          <w:rFonts w:hint="eastAsia" w:ascii="仿宋" w:hAnsi="仿宋" w:eastAsia="仿宋"/>
          <w:b/>
          <w:bCs/>
          <w:sz w:val="28"/>
          <w:szCs w:val="28"/>
        </w:rPr>
      </w:pPr>
      <w:bookmarkStart w:id="1" w:name="_Hlk172218528"/>
      <w:r>
        <w:rPr>
          <w:rFonts w:hint="eastAsia" w:ascii="仿宋" w:hAnsi="仿宋" w:eastAsia="仿宋"/>
          <w:b/>
          <w:bCs/>
          <w:sz w:val="28"/>
          <w:szCs w:val="28"/>
        </w:rPr>
        <w:t>高铁隧道移动网络问题的根因分析</w:t>
      </w:r>
    </w:p>
    <w:p w14:paraId="5C5B4762">
      <w:pPr>
        <w:spacing w:after="156" w:afterLines="50" w:line="360" w:lineRule="auto"/>
        <w:rPr>
          <w:rFonts w:hint="eastAsia" w:ascii="仿宋" w:hAnsi="仿宋" w:eastAsia="仿宋" w:cs="仿宋"/>
          <w:sz w:val="28"/>
          <w:szCs w:val="28"/>
        </w:rPr>
      </w:pPr>
      <w:r>
        <w:drawing>
          <wp:inline distT="0" distB="0" distL="114300" distR="114300">
            <wp:extent cx="5349240" cy="2781300"/>
            <wp:effectExtent l="0" t="0" r="1016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25E63">
      <w:pPr>
        <w:jc w:val="center"/>
        <w:rPr>
          <w:rFonts w:hint="eastAsia" w:ascii="仿宋_GB2312" w:eastAsia="仿宋_GB2312"/>
          <w:sz w:val="24"/>
          <w:szCs w:val="24"/>
        </w:rPr>
      </w:pPr>
      <w:r>
        <w:drawing>
          <wp:inline distT="0" distB="0" distL="0" distR="0">
            <wp:extent cx="5274310" cy="1237615"/>
            <wp:effectExtent l="0" t="0" r="2540" b="635"/>
            <wp:docPr id="2131019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1946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F832">
      <w:pPr>
        <w:spacing w:line="360" w:lineRule="auto"/>
        <w:jc w:val="center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图1 高铁隧道覆盖共建共享模式组网</w:t>
      </w:r>
    </w:p>
    <w:bookmarkEnd w:id="1"/>
    <w:p w14:paraId="34DD764C">
      <w:pPr>
        <w:numPr>
          <w:ilvl w:val="0"/>
          <w:numId w:val="3"/>
        </w:numPr>
        <w:tabs>
          <w:tab w:val="left" w:pos="1050"/>
          <w:tab w:val="clear" w:pos="312"/>
        </w:tabs>
        <w:spacing w:line="360" w:lineRule="auto"/>
        <w:ind w:firstLine="562" w:firstLineChars="200"/>
        <w:rPr>
          <w:rFonts w:hint="eastAsia"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在带宽方面，电信与移动相比有明显劣势，不能满足5G容量需求，需新建3.5GHz覆盖，现有成熟漏缆方案存在明显不足</w:t>
      </w:r>
    </w:p>
    <w:p w14:paraId="2F101D2C">
      <w:pPr>
        <w:numPr>
          <w:ilvl w:val="255"/>
          <w:numId w:val="0"/>
        </w:numPr>
        <w:tabs>
          <w:tab w:val="left" w:pos="312"/>
          <w:tab w:val="left" w:pos="1050"/>
        </w:tabs>
        <w:spacing w:line="360" w:lineRule="auto"/>
        <w:ind w:firstLine="560" w:firstLineChars="200"/>
        <w:rPr>
          <w:rFonts w:hint="eastAsia"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当前长隧道基本采用传统13/8漏缆</w:t>
      </w:r>
      <w:r>
        <w:rPr>
          <w:rStyle w:val="25"/>
          <w:rFonts w:hint="eastAsia" w:ascii="仿宋_GB2312" w:eastAsia="仿宋_GB2312"/>
          <w:sz w:val="28"/>
          <w:szCs w:val="28"/>
        </w:rPr>
        <w:footnoteReference w:id="0"/>
      </w:r>
      <w:r>
        <w:rPr>
          <w:rFonts w:hint="eastAsia" w:ascii="仿宋_GB2312" w:eastAsia="仿宋_GB2312"/>
          <w:sz w:val="28"/>
          <w:szCs w:val="28"/>
        </w:rPr>
        <w:t>进行覆盖，最高可支持到2.8GHz，中国电信2.1GHz的40M带宽容量明显劣于中国移动2.6GHz的160M。为了实现与中国移动速率和感知竞对，中国电信需要通过增加高频3.5GHz来满足5G容量需求。</w:t>
      </w:r>
    </w:p>
    <w:p w14:paraId="183BF97A">
      <w:pPr>
        <w:tabs>
          <w:tab w:val="left" w:pos="312"/>
          <w:tab w:val="left" w:pos="1050"/>
        </w:tabs>
        <w:spacing w:line="360" w:lineRule="auto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目前支持3.5GHz的成熟漏缆方案包括传统5/4漏缆、渐变型5/4漏缆，但存在明显缺陷。传统</w:t>
      </w:r>
      <w:r>
        <w:rPr>
          <w:rFonts w:ascii="仿宋_GB2312" w:eastAsia="仿宋_GB2312"/>
          <w:sz w:val="28"/>
          <w:szCs w:val="28"/>
        </w:rPr>
        <w:t>5/4漏缆</w:t>
      </w:r>
      <w:r>
        <w:rPr>
          <w:rFonts w:hint="eastAsia" w:ascii="仿宋_GB2312" w:eastAsia="仿宋_GB2312"/>
          <w:sz w:val="28"/>
          <w:szCs w:val="28"/>
        </w:rPr>
        <w:t>虽然支持</w:t>
      </w:r>
      <w:r>
        <w:rPr>
          <w:rFonts w:ascii="仿宋_GB2312" w:eastAsia="仿宋_GB2312"/>
          <w:sz w:val="28"/>
          <w:szCs w:val="28"/>
        </w:rPr>
        <w:t>3.5GHz</w:t>
      </w:r>
      <w:r>
        <w:rPr>
          <w:rFonts w:hint="eastAsia" w:ascii="仿宋_GB2312" w:eastAsia="仿宋_GB2312"/>
          <w:sz w:val="28"/>
          <w:szCs w:val="28"/>
        </w:rPr>
        <w:t>，但</w:t>
      </w:r>
      <w:r>
        <w:rPr>
          <w:rFonts w:ascii="仿宋_GB2312" w:eastAsia="仿宋_GB2312"/>
          <w:sz w:val="28"/>
          <w:szCs w:val="28"/>
        </w:rPr>
        <w:t>单缆部署站点间距为360米，双缆</w:t>
      </w:r>
      <w:r>
        <w:rPr>
          <w:rFonts w:hint="eastAsia" w:ascii="仿宋_GB2312" w:eastAsia="仿宋_GB2312"/>
          <w:sz w:val="28"/>
          <w:szCs w:val="28"/>
        </w:rPr>
        <w:t>部署</w:t>
      </w:r>
      <w:r>
        <w:rPr>
          <w:rFonts w:ascii="仿宋_GB2312" w:eastAsia="仿宋_GB2312"/>
          <w:sz w:val="28"/>
          <w:szCs w:val="28"/>
        </w:rPr>
        <w:t>为450米，与高铁隧道500米避车洞布局不符。渐变型5/4漏缆单缆部署覆盖可达500米，可兼容高低频，适用三家运营商共建共享，但信号损耗较大，导致共建共享难，推广进度较慢。</w:t>
      </w:r>
    </w:p>
    <w:p w14:paraId="06A4A2E8">
      <w:pPr>
        <w:tabs>
          <w:tab w:val="left" w:pos="312"/>
          <w:tab w:val="left" w:pos="1050"/>
        </w:tabs>
        <w:spacing w:line="360" w:lineRule="auto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业界最新研发的</w:t>
      </w:r>
      <w:r>
        <w:rPr>
          <w:rFonts w:hint="eastAsia" w:ascii="仿宋" w:hAnsi="仿宋" w:eastAsia="仿宋"/>
          <w:sz w:val="28"/>
          <w:szCs w:val="28"/>
        </w:rPr>
        <w:t>新型13/8漏缆</w:t>
      </w:r>
      <w:r>
        <w:rPr>
          <w:rFonts w:hint="eastAsia" w:ascii="仿宋_GB2312" w:eastAsia="仿宋_GB2312"/>
          <w:sz w:val="28"/>
          <w:szCs w:val="28"/>
        </w:rPr>
        <w:t>突破传统漏缆截止频率限制，实现700~3800MHz的信号辐射，有效降低漏缆衰减，提升信号覆盖。目前处于试验及推广期。</w:t>
      </w:r>
    </w:p>
    <w:p w14:paraId="2693D183">
      <w:pPr>
        <w:numPr>
          <w:ilvl w:val="0"/>
          <w:numId w:val="3"/>
        </w:numPr>
        <w:tabs>
          <w:tab w:val="left" w:pos="1050"/>
          <w:tab w:val="clear" w:pos="312"/>
        </w:tabs>
        <w:spacing w:line="360" w:lineRule="auto"/>
        <w:ind w:firstLine="562" w:firstLineChars="200"/>
        <w:rPr>
          <w:rFonts w:hint="eastAsia"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在成本方面，隧道覆盖3.5GHz改造成本高</w:t>
      </w:r>
    </w:p>
    <w:p w14:paraId="0FD95613">
      <w:pPr>
        <w:tabs>
          <w:tab w:val="left" w:pos="312"/>
          <w:tab w:val="left" w:pos="1050"/>
        </w:tabs>
        <w:spacing w:line="360" w:lineRule="auto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在隧道建设3.5GHz可分为全新建</w:t>
      </w:r>
      <w:r>
        <w:rPr>
          <w:rStyle w:val="25"/>
          <w:rFonts w:hint="eastAsia" w:ascii="仿宋_GB2312" w:eastAsia="仿宋_GB2312"/>
          <w:sz w:val="28"/>
          <w:szCs w:val="28"/>
        </w:rPr>
        <w:footnoteReference w:id="1"/>
      </w:r>
      <w:r>
        <w:rPr>
          <w:rFonts w:hint="eastAsia" w:ascii="仿宋_GB2312" w:eastAsia="仿宋_GB2312"/>
          <w:sz w:val="28"/>
          <w:szCs w:val="28"/>
        </w:rPr>
        <w:t>和存量改造</w:t>
      </w:r>
      <w:r>
        <w:rPr>
          <w:rStyle w:val="25"/>
          <w:rFonts w:hint="eastAsia" w:ascii="仿宋_GB2312" w:eastAsia="仿宋_GB2312"/>
          <w:sz w:val="28"/>
          <w:szCs w:val="28"/>
        </w:rPr>
        <w:footnoteReference w:id="2"/>
      </w:r>
      <w:r>
        <w:rPr>
          <w:rFonts w:hint="eastAsia" w:ascii="仿宋_GB2312" w:eastAsia="仿宋_GB2312"/>
          <w:sz w:val="28"/>
          <w:szCs w:val="28"/>
        </w:rPr>
        <w:t>两种类型，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部署模式包括采用</w:t>
      </w:r>
      <w:r>
        <w:rPr>
          <w:rFonts w:hint="eastAsia" w:ascii="仿宋_GB2312" w:eastAsia="仿宋_GB2312"/>
          <w:sz w:val="28"/>
          <w:szCs w:val="28"/>
        </w:rPr>
        <w:t>渐变型5/4漏缆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或者</w:t>
      </w:r>
      <w:r>
        <w:rPr>
          <w:rFonts w:hint="eastAsia" w:ascii="仿宋_GB2312" w:eastAsia="仿宋_GB2312"/>
          <w:sz w:val="28"/>
          <w:szCs w:val="28"/>
        </w:rPr>
        <w:t>采用新型13/8漏缆</w:t>
      </w:r>
      <w:r>
        <w:rPr>
          <w:rFonts w:hint="eastAsia" w:ascii="仿宋_GB2312" w:eastAsia="仿宋_GB2312"/>
          <w:sz w:val="28"/>
          <w:szCs w:val="28"/>
          <w:lang w:eastAsia="zh-CN"/>
        </w:rPr>
        <w:t>，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两种漏缆费用预估相当</w:t>
      </w:r>
      <w:r>
        <w:rPr>
          <w:rFonts w:hint="eastAsia" w:ascii="仿宋_GB2312" w:eastAsia="仿宋_GB2312"/>
          <w:sz w:val="28"/>
          <w:szCs w:val="28"/>
        </w:rPr>
        <w:t>。</w:t>
      </w:r>
    </w:p>
    <w:p w14:paraId="1FC7D552">
      <w:pPr>
        <w:tabs>
          <w:tab w:val="left" w:pos="312"/>
          <w:tab w:val="left" w:pos="1050"/>
        </w:tabs>
        <w:spacing w:line="360" w:lineRule="auto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以渐变型5/4漏缆为例，全新建3.5G成本主要包括漏缆、3.5G信源、合路器、电源、传输、建安成本等，与2.1G（5G信源）的新建成本基本相当。但如涉及到存量改造，成本可能会大幅提升，主要包括漏缆、3.5G信源、合路器等，比仅进行2.1G存量改造（4G信源替换为5G信源）的成本高约60%。</w:t>
      </w:r>
    </w:p>
    <w:p w14:paraId="504F6A07">
      <w:pPr>
        <w:numPr>
          <w:ilvl w:val="0"/>
          <w:numId w:val="3"/>
        </w:numPr>
        <w:tabs>
          <w:tab w:val="left" w:pos="1050"/>
          <w:tab w:val="clear" w:pos="312"/>
        </w:tabs>
        <w:spacing w:line="360" w:lineRule="auto"/>
        <w:ind w:firstLine="562" w:firstLineChars="200"/>
        <w:rPr>
          <w:rFonts w:hint="eastAsia"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/>
          <w:b/>
          <w:bCs/>
          <w:sz w:val="28"/>
          <w:szCs w:val="28"/>
        </w:rPr>
        <w:t>隧道建设现有方案改造3.5GHz协调难度大，存在博弈困境</w:t>
      </w:r>
    </w:p>
    <w:p w14:paraId="11A37413">
      <w:pPr>
        <w:tabs>
          <w:tab w:val="left" w:pos="312"/>
          <w:tab w:val="left" w:pos="1050"/>
        </w:tabs>
        <w:spacing w:line="360" w:lineRule="auto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现有渐变型5/4漏缆，会对中国移动的信号造成2dB左右的信号损耗，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不论是新建隧道还是</w:t>
      </w:r>
      <w:r>
        <w:rPr>
          <w:rFonts w:hint="eastAsia" w:ascii="仿宋_GB2312" w:eastAsia="仿宋_GB2312"/>
          <w:sz w:val="28"/>
          <w:szCs w:val="28"/>
        </w:rPr>
        <w:t>3.5G利旧改造的隧道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，</w:t>
      </w:r>
      <w:r>
        <w:rPr>
          <w:rFonts w:hint="eastAsia" w:ascii="仿宋_GB2312" w:eastAsia="仿宋_GB2312"/>
          <w:sz w:val="28"/>
          <w:szCs w:val="28"/>
        </w:rPr>
        <w:t>该漏缆选型将面临来自中国移动的较大阻力，协调难度加剧。</w:t>
      </w:r>
    </w:p>
    <w:p w14:paraId="46A8B519">
      <w:pPr>
        <w:tabs>
          <w:tab w:val="left" w:pos="312"/>
          <w:tab w:val="left" w:pos="1050"/>
        </w:tabs>
        <w:spacing w:line="360" w:lineRule="auto"/>
        <w:ind w:firstLine="560" w:firstLineChars="200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新型</w:t>
      </w:r>
      <w:r>
        <w:rPr>
          <w:rFonts w:ascii="仿宋_GB2312" w:eastAsia="仿宋_GB2312"/>
          <w:sz w:val="28"/>
          <w:szCs w:val="28"/>
        </w:rPr>
        <w:t xml:space="preserve"> 13/8漏缆</w:t>
      </w:r>
      <w:r>
        <w:rPr>
          <w:rFonts w:hint="eastAsia" w:ascii="仿宋_GB2312" w:eastAsia="仿宋_GB2312"/>
          <w:sz w:val="28"/>
          <w:szCs w:val="28"/>
        </w:rPr>
        <w:t>方案</w:t>
      </w:r>
      <w:r>
        <w:rPr>
          <w:rFonts w:ascii="仿宋_GB2312" w:eastAsia="仿宋_GB2312"/>
          <w:sz w:val="28"/>
          <w:szCs w:val="28"/>
        </w:rPr>
        <w:t>具备兼容性优势，中国移动使用</w:t>
      </w:r>
      <w:r>
        <w:rPr>
          <w:rFonts w:hint="eastAsia" w:ascii="仿宋_GB2312" w:eastAsia="仿宋_GB2312"/>
          <w:sz w:val="28"/>
          <w:szCs w:val="28"/>
        </w:rPr>
        <w:t>该方案替换传统13/8漏缆不会增加信号损耗</w:t>
      </w:r>
      <w:r>
        <w:rPr>
          <w:rFonts w:ascii="仿宋_GB2312" w:eastAsia="仿宋_GB2312"/>
          <w:sz w:val="28"/>
          <w:szCs w:val="28"/>
        </w:rPr>
        <w:t>，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>合作几率大</w:t>
      </w:r>
      <w:r>
        <w:rPr>
          <w:rFonts w:hint="eastAsia" w:ascii="仿宋_GB2312" w:eastAsia="仿宋_GB2312"/>
          <w:sz w:val="28"/>
          <w:szCs w:val="28"/>
        </w:rPr>
        <w:t>。</w:t>
      </w:r>
    </w:p>
    <w:p w14:paraId="513862C3">
      <w:pPr>
        <w:pStyle w:val="39"/>
        <w:numPr>
          <w:ilvl w:val="0"/>
          <w:numId w:val="1"/>
        </w:numPr>
        <w:spacing w:before="156" w:beforeLines="50" w:line="360" w:lineRule="auto"/>
        <w:ind w:left="442" w:firstLine="126" w:firstLineChars="45"/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中国电信高铁隧道移动网络覆盖提升建议</w:t>
      </w:r>
    </w:p>
    <w:p w14:paraId="7B31B524">
      <w:pPr>
        <w:pStyle w:val="39"/>
        <w:numPr>
          <w:ilvl w:val="0"/>
          <w:numId w:val="4"/>
        </w:numPr>
        <w:spacing w:line="360" w:lineRule="auto"/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加快推进新型</w:t>
      </w:r>
      <w:r>
        <w:rPr>
          <w:rFonts w:ascii="仿宋" w:hAnsi="仿宋" w:eastAsia="仿宋"/>
          <w:b/>
          <w:bCs/>
          <w:sz w:val="28"/>
          <w:szCs w:val="28"/>
        </w:rPr>
        <w:t>13/8漏缆</w:t>
      </w:r>
      <w:r>
        <w:rPr>
          <w:rFonts w:hint="eastAsia" w:ascii="仿宋" w:hAnsi="仿宋" w:eastAsia="仿宋"/>
          <w:b/>
          <w:bCs/>
          <w:sz w:val="28"/>
          <w:szCs w:val="28"/>
        </w:rPr>
        <w:t>试验和规模推广</w:t>
      </w:r>
    </w:p>
    <w:p w14:paraId="7239CBCA">
      <w:pPr>
        <w:tabs>
          <w:tab w:val="left" w:pos="312"/>
          <w:tab w:val="left" w:pos="1050"/>
        </w:tabs>
        <w:spacing w:line="360" w:lineRule="auto"/>
        <w:ind w:firstLine="560" w:firstLineChars="200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新型13/8漏缆实现技术突破，</w:t>
      </w:r>
      <w:r>
        <w:rPr>
          <w:rFonts w:hint="eastAsia" w:ascii="仿宋_GB2312" w:eastAsia="仿宋_GB2312"/>
          <w:sz w:val="28"/>
          <w:szCs w:val="28"/>
        </w:rPr>
        <w:t>通过将</w:t>
      </w:r>
      <w:r>
        <w:rPr>
          <w:rFonts w:hint="eastAsia" w:ascii="仿宋" w:hAnsi="仿宋" w:eastAsia="仿宋"/>
          <w:sz w:val="28"/>
          <w:szCs w:val="28"/>
        </w:rPr>
        <w:t>传统方案截止频率扩展至3.8GHz</w:t>
      </w:r>
      <w:r>
        <w:rPr>
          <w:rFonts w:hint="eastAsia" w:ascii="仿宋_GB2312" w:eastAsia="仿宋_GB2312"/>
          <w:sz w:val="28"/>
          <w:szCs w:val="28"/>
        </w:rPr>
        <w:t>，实现对电联3.5GHz 5G主力频段有效支持，并解决现有支持3.5GHz频段5/4漏缆对移动2.6GHz损耗大的关键问题。</w:t>
      </w:r>
      <w:r>
        <w:rPr>
          <w:rFonts w:hint="eastAsia" w:ascii="仿宋" w:hAnsi="仿宋" w:eastAsia="仿宋"/>
          <w:sz w:val="28"/>
          <w:szCs w:val="28"/>
        </w:rPr>
        <w:t>建议全力推进新型</w:t>
      </w:r>
      <w:r>
        <w:rPr>
          <w:rFonts w:ascii="仿宋" w:hAnsi="仿宋" w:eastAsia="仿宋"/>
          <w:sz w:val="28"/>
          <w:szCs w:val="28"/>
        </w:rPr>
        <w:t xml:space="preserve"> 13/8 漏缆</w:t>
      </w:r>
      <w:r>
        <w:rPr>
          <w:rFonts w:hint="eastAsia" w:ascii="仿宋" w:hAnsi="仿宋" w:eastAsia="仿宋"/>
          <w:sz w:val="28"/>
          <w:szCs w:val="28"/>
        </w:rPr>
        <w:t>试验及推广应用</w:t>
      </w:r>
      <w:r>
        <w:rPr>
          <w:rFonts w:ascii="仿宋" w:hAnsi="仿宋" w:eastAsia="仿宋"/>
          <w:sz w:val="28"/>
          <w:szCs w:val="28"/>
        </w:rPr>
        <w:t>。优先在关键区域及新建隧道中规划部署，逐步替代现有旧设备。</w:t>
      </w:r>
    </w:p>
    <w:p w14:paraId="25385536">
      <w:pPr>
        <w:pStyle w:val="39"/>
        <w:numPr>
          <w:ilvl w:val="0"/>
          <w:numId w:val="4"/>
        </w:numPr>
        <w:rPr>
          <w:rFonts w:hint="eastAsia" w:ascii="仿宋" w:hAnsi="仿宋" w:eastAsia="仿宋"/>
          <w:b/>
          <w:bCs/>
          <w:sz w:val="28"/>
          <w:szCs w:val="28"/>
        </w:rPr>
      </w:pPr>
      <w:r>
        <w:rPr>
          <w:rFonts w:hint="eastAsia" w:ascii="仿宋" w:hAnsi="仿宋" w:eastAsia="仿宋"/>
          <w:b/>
          <w:bCs/>
          <w:sz w:val="28"/>
          <w:szCs w:val="28"/>
        </w:rPr>
        <w:t>分类推进建设3.5G高频网络覆盖</w:t>
      </w:r>
    </w:p>
    <w:p w14:paraId="7869A8E7">
      <w:pPr>
        <w:pStyle w:val="39"/>
        <w:ind w:left="0" w:leftChars="0" w:firstLine="0" w:firstLineChars="0"/>
        <w:rPr>
          <w:rFonts w:hint="eastAsia" w:ascii="仿宋" w:hAnsi="仿宋" w:eastAsia="仿宋"/>
          <w:sz w:val="28"/>
          <w:szCs w:val="28"/>
        </w:rPr>
      </w:pPr>
      <w:r>
        <w:drawing>
          <wp:inline distT="0" distB="0" distL="114300" distR="114300">
            <wp:extent cx="5332095" cy="3881120"/>
            <wp:effectExtent l="0" t="0" r="1905" b="508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492CCDEE">
      <w:pPr>
        <w:pStyle w:val="39"/>
        <w:numPr>
          <w:ilvl w:val="0"/>
          <w:numId w:val="4"/>
        </w:numPr>
        <w:spacing w:line="360" w:lineRule="auto"/>
        <w:rPr>
          <w:rFonts w:hint="eastAsia" w:ascii="仿宋" w:hAnsi="仿宋" w:eastAsia="仿宋"/>
          <w:b/>
          <w:bCs/>
          <w:sz w:val="28"/>
          <w:szCs w:val="28"/>
        </w:rPr>
      </w:pPr>
      <w:bookmarkStart w:id="2" w:name="OLE_LINK1"/>
      <w:bookmarkStart w:id="3" w:name="OLE_LINK2"/>
      <w:r>
        <w:rPr>
          <w:rFonts w:hint="eastAsia" w:ascii="仿宋" w:hAnsi="仿宋" w:eastAsia="仿宋"/>
          <w:b/>
          <w:bCs/>
          <w:sz w:val="28"/>
          <w:szCs w:val="28"/>
        </w:rPr>
        <w:t>应用新型漏缆突破博弈困境，借力政策支持加强协调沟通</w:t>
      </w:r>
    </w:p>
    <w:bookmarkEnd w:id="2"/>
    <w:bookmarkEnd w:id="3"/>
    <w:p w14:paraId="6F4BD35C">
      <w:pPr>
        <w:pStyle w:val="39"/>
        <w:spacing w:line="360" w:lineRule="auto"/>
        <w:ind w:left="0" w:leftChars="0" w:firstLine="0" w:firstLineChars="0"/>
        <w:rPr>
          <w:rFonts w:hint="eastAsia" w:ascii="仿宋" w:hAnsi="仿宋" w:eastAsia="仿宋"/>
          <w:sz w:val="28"/>
          <w:szCs w:val="28"/>
        </w:rPr>
      </w:pPr>
      <w:r>
        <w:drawing>
          <wp:inline distT="0" distB="0" distL="114300" distR="114300">
            <wp:extent cx="5405120" cy="3526790"/>
            <wp:effectExtent l="0" t="0" r="5080" b="381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r>
        <w:separator/>
      </w:r>
    </w:p>
  </w:footnote>
  <w:footnote w:type="continuationSeparator" w:id="7">
    <w:p>
      <w:r>
        <w:continuationSeparator/>
      </w:r>
    </w:p>
  </w:footnote>
  <w:footnote w:id="0">
    <w:p w14:paraId="04690C96">
      <w:pPr>
        <w:pStyle w:val="16"/>
        <w:rPr>
          <w:rFonts w:hint="eastAsia"/>
        </w:rPr>
      </w:pPr>
      <w:r>
        <w:rPr>
          <w:rStyle w:val="25"/>
          <w:rFonts w:hint="eastAsia"/>
        </w:rPr>
        <w:footnoteRef/>
      </w:r>
      <w:r>
        <w:rPr>
          <w:rFonts w:hint="eastAsia" w:ascii="仿宋" w:hAnsi="仿宋" w:eastAsia="仿宋"/>
        </w:rPr>
        <w:t xml:space="preserve"> 目前主流漏缆型号为13/8漏缆及5/4漏缆，分别代表了两种不同外径规格的漏缆，前者为13/8英寸，后者为5/4英寸。</w:t>
      </w:r>
    </w:p>
  </w:footnote>
  <w:footnote w:id="1">
    <w:p w14:paraId="4D149954">
      <w:pPr>
        <w:pStyle w:val="16"/>
        <w:rPr>
          <w:rFonts w:hint="eastAsia" w:ascii="仿宋" w:hAnsi="仿宋" w:eastAsia="仿宋" w:cs="仿宋"/>
        </w:rPr>
      </w:pPr>
      <w:r>
        <w:rPr>
          <w:rStyle w:val="25"/>
          <w:rFonts w:hint="eastAsia" w:ascii="仿宋" w:hAnsi="仿宋" w:eastAsia="仿宋" w:cs="仿宋"/>
        </w:rPr>
        <w:footnoteRef/>
      </w:r>
      <w:r>
        <w:rPr>
          <w:rFonts w:hint="eastAsia" w:ascii="仿宋" w:hAnsi="仿宋" w:eastAsia="仿宋" w:cs="仿宋"/>
        </w:rPr>
        <w:t xml:space="preserve"> 全新建：指尚未部署运营商通信网络的全新隧道。</w:t>
      </w:r>
    </w:p>
  </w:footnote>
  <w:footnote w:id="2">
    <w:p w14:paraId="2A4B0641">
      <w:pPr>
        <w:pStyle w:val="16"/>
        <w:rPr>
          <w:rFonts w:hint="eastAsia" w:ascii="仿宋" w:hAnsi="仿宋" w:eastAsia="仿宋" w:cs="仿宋"/>
        </w:rPr>
      </w:pPr>
      <w:r>
        <w:rPr>
          <w:rStyle w:val="25"/>
          <w:rFonts w:hint="eastAsia" w:ascii="仿宋" w:hAnsi="仿宋" w:eastAsia="仿宋" w:cs="仿宋"/>
        </w:rPr>
        <w:footnoteRef/>
      </w:r>
      <w:r>
        <w:rPr>
          <w:rFonts w:hint="eastAsia" w:ascii="仿宋" w:hAnsi="仿宋" w:eastAsia="仿宋" w:cs="仿宋"/>
        </w:rPr>
        <w:t xml:space="preserve"> 存量改造：指对已部署4G通信网络的隧道进行5G改造，包括2.1G的5G改造以及新建3.5G。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D35FC"/>
    <w:multiLevelType w:val="singleLevel"/>
    <w:tmpl w:val="832D35F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8BCA3EE"/>
    <w:multiLevelType w:val="singleLevel"/>
    <w:tmpl w:val="E8BCA3E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8E73CAA"/>
    <w:multiLevelType w:val="multilevel"/>
    <w:tmpl w:val="08E73CAA"/>
    <w:lvl w:ilvl="0" w:tentative="0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31AC684"/>
    <w:multiLevelType w:val="singleLevel"/>
    <w:tmpl w:val="331AC6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6"/>
    <w:footnote w:id="7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RhMWU2YTMzMmIxYjk5OWI4YzNlNjdmZjU3NTgyMzIifQ=="/>
  </w:docVars>
  <w:rsids>
    <w:rsidRoot w:val="00A413DE"/>
    <w:rsid w:val="0003235F"/>
    <w:rsid w:val="000423BF"/>
    <w:rsid w:val="00056EFB"/>
    <w:rsid w:val="00056FA2"/>
    <w:rsid w:val="00065BA4"/>
    <w:rsid w:val="00074D19"/>
    <w:rsid w:val="000A35CF"/>
    <w:rsid w:val="000B447C"/>
    <w:rsid w:val="000B6805"/>
    <w:rsid w:val="000F1A0D"/>
    <w:rsid w:val="000F2182"/>
    <w:rsid w:val="0012123D"/>
    <w:rsid w:val="001216D6"/>
    <w:rsid w:val="0012689D"/>
    <w:rsid w:val="00133684"/>
    <w:rsid w:val="001445EB"/>
    <w:rsid w:val="00153480"/>
    <w:rsid w:val="00160DC9"/>
    <w:rsid w:val="00161F0F"/>
    <w:rsid w:val="00167940"/>
    <w:rsid w:val="00171119"/>
    <w:rsid w:val="00180DCA"/>
    <w:rsid w:val="0019602F"/>
    <w:rsid w:val="001A101A"/>
    <w:rsid w:val="001A707E"/>
    <w:rsid w:val="001A7B84"/>
    <w:rsid w:val="001C48AD"/>
    <w:rsid w:val="001D2D95"/>
    <w:rsid w:val="001D4E77"/>
    <w:rsid w:val="00210132"/>
    <w:rsid w:val="002108E6"/>
    <w:rsid w:val="00211BD7"/>
    <w:rsid w:val="002243AB"/>
    <w:rsid w:val="00232232"/>
    <w:rsid w:val="00260112"/>
    <w:rsid w:val="002666C7"/>
    <w:rsid w:val="00273538"/>
    <w:rsid w:val="00273BC2"/>
    <w:rsid w:val="00280F51"/>
    <w:rsid w:val="002C421D"/>
    <w:rsid w:val="002E39B3"/>
    <w:rsid w:val="002E53F2"/>
    <w:rsid w:val="002E5A0C"/>
    <w:rsid w:val="002E7B3F"/>
    <w:rsid w:val="002F53FC"/>
    <w:rsid w:val="002F7913"/>
    <w:rsid w:val="002F7D35"/>
    <w:rsid w:val="00310B25"/>
    <w:rsid w:val="003206C0"/>
    <w:rsid w:val="003239F3"/>
    <w:rsid w:val="0033427D"/>
    <w:rsid w:val="003637C3"/>
    <w:rsid w:val="00380F86"/>
    <w:rsid w:val="003948B5"/>
    <w:rsid w:val="003A3DB5"/>
    <w:rsid w:val="003A710A"/>
    <w:rsid w:val="003E5AFF"/>
    <w:rsid w:val="00402EAF"/>
    <w:rsid w:val="00430322"/>
    <w:rsid w:val="00433B0F"/>
    <w:rsid w:val="004550F2"/>
    <w:rsid w:val="00485685"/>
    <w:rsid w:val="004A3E53"/>
    <w:rsid w:val="004B6289"/>
    <w:rsid w:val="004E09E8"/>
    <w:rsid w:val="004F4050"/>
    <w:rsid w:val="005007BD"/>
    <w:rsid w:val="005061F6"/>
    <w:rsid w:val="00526AE0"/>
    <w:rsid w:val="00532488"/>
    <w:rsid w:val="005A5639"/>
    <w:rsid w:val="005D674A"/>
    <w:rsid w:val="005F64B6"/>
    <w:rsid w:val="006208B8"/>
    <w:rsid w:val="00633A02"/>
    <w:rsid w:val="00636934"/>
    <w:rsid w:val="006541E7"/>
    <w:rsid w:val="00656AB1"/>
    <w:rsid w:val="00684EF7"/>
    <w:rsid w:val="006A2331"/>
    <w:rsid w:val="006B1EDB"/>
    <w:rsid w:val="006B447A"/>
    <w:rsid w:val="006C1567"/>
    <w:rsid w:val="006C507F"/>
    <w:rsid w:val="006D3F87"/>
    <w:rsid w:val="006F57B6"/>
    <w:rsid w:val="006F7B35"/>
    <w:rsid w:val="00701C66"/>
    <w:rsid w:val="007058DD"/>
    <w:rsid w:val="00706D3E"/>
    <w:rsid w:val="007079CF"/>
    <w:rsid w:val="00722EB0"/>
    <w:rsid w:val="0072661C"/>
    <w:rsid w:val="007659D6"/>
    <w:rsid w:val="00773C68"/>
    <w:rsid w:val="007B27B5"/>
    <w:rsid w:val="008013DF"/>
    <w:rsid w:val="00826A68"/>
    <w:rsid w:val="00864975"/>
    <w:rsid w:val="00875A5E"/>
    <w:rsid w:val="00887DD0"/>
    <w:rsid w:val="00891ACB"/>
    <w:rsid w:val="0089685E"/>
    <w:rsid w:val="008A7C46"/>
    <w:rsid w:val="008C07BC"/>
    <w:rsid w:val="008C3779"/>
    <w:rsid w:val="008C5935"/>
    <w:rsid w:val="008E0D8E"/>
    <w:rsid w:val="008E2ABB"/>
    <w:rsid w:val="008F53B0"/>
    <w:rsid w:val="009252AF"/>
    <w:rsid w:val="00940B4D"/>
    <w:rsid w:val="00960D9B"/>
    <w:rsid w:val="00965993"/>
    <w:rsid w:val="00966D81"/>
    <w:rsid w:val="00976239"/>
    <w:rsid w:val="009A0231"/>
    <w:rsid w:val="009E3EBA"/>
    <w:rsid w:val="009E4A8E"/>
    <w:rsid w:val="009E562E"/>
    <w:rsid w:val="009F1FE7"/>
    <w:rsid w:val="00A006DF"/>
    <w:rsid w:val="00A14F22"/>
    <w:rsid w:val="00A413DE"/>
    <w:rsid w:val="00A42989"/>
    <w:rsid w:val="00A50901"/>
    <w:rsid w:val="00AD29A7"/>
    <w:rsid w:val="00B02938"/>
    <w:rsid w:val="00B34C64"/>
    <w:rsid w:val="00B672EC"/>
    <w:rsid w:val="00B67911"/>
    <w:rsid w:val="00B76C98"/>
    <w:rsid w:val="00B772B1"/>
    <w:rsid w:val="00B8337D"/>
    <w:rsid w:val="00B8714F"/>
    <w:rsid w:val="00B87352"/>
    <w:rsid w:val="00BA0B01"/>
    <w:rsid w:val="00BB2847"/>
    <w:rsid w:val="00BD3B3D"/>
    <w:rsid w:val="00BD61EF"/>
    <w:rsid w:val="00BD6E27"/>
    <w:rsid w:val="00BE0151"/>
    <w:rsid w:val="00BE0D51"/>
    <w:rsid w:val="00BE4DF1"/>
    <w:rsid w:val="00C024FA"/>
    <w:rsid w:val="00C135FA"/>
    <w:rsid w:val="00C17E78"/>
    <w:rsid w:val="00C342AA"/>
    <w:rsid w:val="00C35414"/>
    <w:rsid w:val="00C62935"/>
    <w:rsid w:val="00C73F16"/>
    <w:rsid w:val="00C774AC"/>
    <w:rsid w:val="00C82CF3"/>
    <w:rsid w:val="00C86E14"/>
    <w:rsid w:val="00CA5F1A"/>
    <w:rsid w:val="00CB285E"/>
    <w:rsid w:val="00CC6A02"/>
    <w:rsid w:val="00CC737E"/>
    <w:rsid w:val="00CD79DA"/>
    <w:rsid w:val="00CF48CA"/>
    <w:rsid w:val="00D020D7"/>
    <w:rsid w:val="00D33FED"/>
    <w:rsid w:val="00D46098"/>
    <w:rsid w:val="00D60128"/>
    <w:rsid w:val="00D65258"/>
    <w:rsid w:val="00D70799"/>
    <w:rsid w:val="00D73738"/>
    <w:rsid w:val="00DA1932"/>
    <w:rsid w:val="00DB12A8"/>
    <w:rsid w:val="00DC1E1F"/>
    <w:rsid w:val="00DD25FD"/>
    <w:rsid w:val="00E212FA"/>
    <w:rsid w:val="00E22AE8"/>
    <w:rsid w:val="00E315CC"/>
    <w:rsid w:val="00E525D1"/>
    <w:rsid w:val="00EA2902"/>
    <w:rsid w:val="00ED2514"/>
    <w:rsid w:val="00ED2F3B"/>
    <w:rsid w:val="00ED30DB"/>
    <w:rsid w:val="00EE4741"/>
    <w:rsid w:val="00EE696D"/>
    <w:rsid w:val="00F05DFF"/>
    <w:rsid w:val="00F1073A"/>
    <w:rsid w:val="00F33C72"/>
    <w:rsid w:val="00F374A6"/>
    <w:rsid w:val="00F53943"/>
    <w:rsid w:val="00F5773D"/>
    <w:rsid w:val="00F62AA3"/>
    <w:rsid w:val="00F725A0"/>
    <w:rsid w:val="00F9714D"/>
    <w:rsid w:val="00FA193D"/>
    <w:rsid w:val="00FA6467"/>
    <w:rsid w:val="00FB1B53"/>
    <w:rsid w:val="00FC0BFF"/>
    <w:rsid w:val="00FC5199"/>
    <w:rsid w:val="00FC6DF5"/>
    <w:rsid w:val="00FD0E9C"/>
    <w:rsid w:val="00FD148F"/>
    <w:rsid w:val="00FD3233"/>
    <w:rsid w:val="00FF60D9"/>
    <w:rsid w:val="010E2442"/>
    <w:rsid w:val="02302416"/>
    <w:rsid w:val="02342A83"/>
    <w:rsid w:val="03367AB9"/>
    <w:rsid w:val="04100966"/>
    <w:rsid w:val="04505BF8"/>
    <w:rsid w:val="05A05C1D"/>
    <w:rsid w:val="07C938DC"/>
    <w:rsid w:val="085D5AE7"/>
    <w:rsid w:val="08EB30F3"/>
    <w:rsid w:val="094E3682"/>
    <w:rsid w:val="097906FF"/>
    <w:rsid w:val="098947D6"/>
    <w:rsid w:val="09987CB8"/>
    <w:rsid w:val="0A205D22"/>
    <w:rsid w:val="0A2A0F81"/>
    <w:rsid w:val="0A854E82"/>
    <w:rsid w:val="0A87227A"/>
    <w:rsid w:val="0AC70EF0"/>
    <w:rsid w:val="0B5A4560"/>
    <w:rsid w:val="0B5D731D"/>
    <w:rsid w:val="0B8E420A"/>
    <w:rsid w:val="0BB93035"/>
    <w:rsid w:val="0C2103D4"/>
    <w:rsid w:val="0C807FF6"/>
    <w:rsid w:val="0CC779D3"/>
    <w:rsid w:val="0DC46F04"/>
    <w:rsid w:val="0DF447F8"/>
    <w:rsid w:val="0F0245DB"/>
    <w:rsid w:val="0F7021A5"/>
    <w:rsid w:val="0FA062BA"/>
    <w:rsid w:val="0FC04955"/>
    <w:rsid w:val="101C546C"/>
    <w:rsid w:val="1021564D"/>
    <w:rsid w:val="10242D0C"/>
    <w:rsid w:val="109A4043"/>
    <w:rsid w:val="10D40911"/>
    <w:rsid w:val="10E36DA6"/>
    <w:rsid w:val="117E1ADB"/>
    <w:rsid w:val="118C4D48"/>
    <w:rsid w:val="11DF1942"/>
    <w:rsid w:val="120D24E3"/>
    <w:rsid w:val="12380A2C"/>
    <w:rsid w:val="13523701"/>
    <w:rsid w:val="13E7095B"/>
    <w:rsid w:val="14FE2EA5"/>
    <w:rsid w:val="150317C5"/>
    <w:rsid w:val="157F52EF"/>
    <w:rsid w:val="15AF7257"/>
    <w:rsid w:val="160B27A2"/>
    <w:rsid w:val="161C0D90"/>
    <w:rsid w:val="16D72F09"/>
    <w:rsid w:val="18644328"/>
    <w:rsid w:val="18954E2A"/>
    <w:rsid w:val="19137C86"/>
    <w:rsid w:val="19550115"/>
    <w:rsid w:val="19BB6C73"/>
    <w:rsid w:val="19D35C0A"/>
    <w:rsid w:val="1A1F0E4F"/>
    <w:rsid w:val="1A7F2BFD"/>
    <w:rsid w:val="1A9222F1"/>
    <w:rsid w:val="1AA67D4D"/>
    <w:rsid w:val="1AC94665"/>
    <w:rsid w:val="1AE8166C"/>
    <w:rsid w:val="1C2247E1"/>
    <w:rsid w:val="1C415F82"/>
    <w:rsid w:val="1C8C20A0"/>
    <w:rsid w:val="1C940F54"/>
    <w:rsid w:val="1F402019"/>
    <w:rsid w:val="1F505B37"/>
    <w:rsid w:val="1FD407F8"/>
    <w:rsid w:val="200D4B46"/>
    <w:rsid w:val="20401410"/>
    <w:rsid w:val="209B180C"/>
    <w:rsid w:val="20DE4AC3"/>
    <w:rsid w:val="214D2CB3"/>
    <w:rsid w:val="219F0AC7"/>
    <w:rsid w:val="229D5007"/>
    <w:rsid w:val="22A75E85"/>
    <w:rsid w:val="241B2DC7"/>
    <w:rsid w:val="2499461A"/>
    <w:rsid w:val="24BB2197"/>
    <w:rsid w:val="24BC729A"/>
    <w:rsid w:val="24ED56A6"/>
    <w:rsid w:val="26A00CAE"/>
    <w:rsid w:val="26FA33DF"/>
    <w:rsid w:val="28537F15"/>
    <w:rsid w:val="28C106CB"/>
    <w:rsid w:val="28DF3411"/>
    <w:rsid w:val="2919115F"/>
    <w:rsid w:val="291C6636"/>
    <w:rsid w:val="29F37C02"/>
    <w:rsid w:val="2AD510B6"/>
    <w:rsid w:val="2AE15CAC"/>
    <w:rsid w:val="2B0100FD"/>
    <w:rsid w:val="2B4C581C"/>
    <w:rsid w:val="2B8E2B88"/>
    <w:rsid w:val="2C191B24"/>
    <w:rsid w:val="2C277F12"/>
    <w:rsid w:val="2C477D91"/>
    <w:rsid w:val="2D1E0AF2"/>
    <w:rsid w:val="2D746964"/>
    <w:rsid w:val="2E5220B3"/>
    <w:rsid w:val="2E9460F9"/>
    <w:rsid w:val="2EA43279"/>
    <w:rsid w:val="2EB931C8"/>
    <w:rsid w:val="2F242835"/>
    <w:rsid w:val="30515682"/>
    <w:rsid w:val="30AF45BC"/>
    <w:rsid w:val="30CA32F2"/>
    <w:rsid w:val="32B91021"/>
    <w:rsid w:val="33B00895"/>
    <w:rsid w:val="33CE4F94"/>
    <w:rsid w:val="34237336"/>
    <w:rsid w:val="34FD7B87"/>
    <w:rsid w:val="35C0308E"/>
    <w:rsid w:val="35CC6660"/>
    <w:rsid w:val="35F44239"/>
    <w:rsid w:val="36685ACE"/>
    <w:rsid w:val="36CA6903"/>
    <w:rsid w:val="36D24F37"/>
    <w:rsid w:val="376E6B1A"/>
    <w:rsid w:val="37860C97"/>
    <w:rsid w:val="389A0BA7"/>
    <w:rsid w:val="389B393F"/>
    <w:rsid w:val="38DA51B2"/>
    <w:rsid w:val="393D2C48"/>
    <w:rsid w:val="39925A19"/>
    <w:rsid w:val="39B8407C"/>
    <w:rsid w:val="3A2B6F44"/>
    <w:rsid w:val="3A96260F"/>
    <w:rsid w:val="3C0812EB"/>
    <w:rsid w:val="3D03160A"/>
    <w:rsid w:val="3D0C0967"/>
    <w:rsid w:val="3DD60F75"/>
    <w:rsid w:val="3EDE0125"/>
    <w:rsid w:val="3EEB54CE"/>
    <w:rsid w:val="3F823162"/>
    <w:rsid w:val="3F93321D"/>
    <w:rsid w:val="3FC14005"/>
    <w:rsid w:val="40347879"/>
    <w:rsid w:val="404B3E9C"/>
    <w:rsid w:val="41610E26"/>
    <w:rsid w:val="42187DAE"/>
    <w:rsid w:val="4243519E"/>
    <w:rsid w:val="42AB0C22"/>
    <w:rsid w:val="42B613D6"/>
    <w:rsid w:val="43784FA8"/>
    <w:rsid w:val="448A4DC2"/>
    <w:rsid w:val="44EF15D0"/>
    <w:rsid w:val="45001F53"/>
    <w:rsid w:val="450862B9"/>
    <w:rsid w:val="45232CF2"/>
    <w:rsid w:val="45AD5EF3"/>
    <w:rsid w:val="45B44292"/>
    <w:rsid w:val="45BE4F06"/>
    <w:rsid w:val="46151DA4"/>
    <w:rsid w:val="468A0B4E"/>
    <w:rsid w:val="46E97F6B"/>
    <w:rsid w:val="4791488A"/>
    <w:rsid w:val="47C702AC"/>
    <w:rsid w:val="480C5CBF"/>
    <w:rsid w:val="487E46E3"/>
    <w:rsid w:val="492928A1"/>
    <w:rsid w:val="4934611B"/>
    <w:rsid w:val="49995C78"/>
    <w:rsid w:val="49E22ADB"/>
    <w:rsid w:val="4A606796"/>
    <w:rsid w:val="4AB56AE2"/>
    <w:rsid w:val="4B7D6ED4"/>
    <w:rsid w:val="4C3F4693"/>
    <w:rsid w:val="4C687B84"/>
    <w:rsid w:val="4D5B78D8"/>
    <w:rsid w:val="4D673998"/>
    <w:rsid w:val="4E6976D2"/>
    <w:rsid w:val="502E4B4C"/>
    <w:rsid w:val="50A45D70"/>
    <w:rsid w:val="51263260"/>
    <w:rsid w:val="51A86DCA"/>
    <w:rsid w:val="51F55A16"/>
    <w:rsid w:val="522B0752"/>
    <w:rsid w:val="52990A97"/>
    <w:rsid w:val="53D53D51"/>
    <w:rsid w:val="542A6800"/>
    <w:rsid w:val="548F2152"/>
    <w:rsid w:val="55093CE1"/>
    <w:rsid w:val="55366A71"/>
    <w:rsid w:val="553C5CE7"/>
    <w:rsid w:val="568F003F"/>
    <w:rsid w:val="56B7773E"/>
    <w:rsid w:val="57853398"/>
    <w:rsid w:val="57B819BF"/>
    <w:rsid w:val="580C2104"/>
    <w:rsid w:val="5827444F"/>
    <w:rsid w:val="58417C07"/>
    <w:rsid w:val="59156D19"/>
    <w:rsid w:val="597D6D22"/>
    <w:rsid w:val="5A8F152F"/>
    <w:rsid w:val="5ACF0409"/>
    <w:rsid w:val="5BF82CE1"/>
    <w:rsid w:val="5C8A52CA"/>
    <w:rsid w:val="5CE70C66"/>
    <w:rsid w:val="5D3A2E77"/>
    <w:rsid w:val="5DA766E5"/>
    <w:rsid w:val="5DC664B8"/>
    <w:rsid w:val="5E337FF2"/>
    <w:rsid w:val="5E945E52"/>
    <w:rsid w:val="5F176D75"/>
    <w:rsid w:val="5F5226F9"/>
    <w:rsid w:val="60844B35"/>
    <w:rsid w:val="6098238E"/>
    <w:rsid w:val="61CE7315"/>
    <w:rsid w:val="62D668EA"/>
    <w:rsid w:val="63B75221"/>
    <w:rsid w:val="645B7EA3"/>
    <w:rsid w:val="64610CE9"/>
    <w:rsid w:val="64C547ED"/>
    <w:rsid w:val="64D70FAB"/>
    <w:rsid w:val="64E8140A"/>
    <w:rsid w:val="6534158A"/>
    <w:rsid w:val="659C46CE"/>
    <w:rsid w:val="65A104F1"/>
    <w:rsid w:val="669C5C80"/>
    <w:rsid w:val="66AD4CB5"/>
    <w:rsid w:val="67C832AA"/>
    <w:rsid w:val="67C90613"/>
    <w:rsid w:val="680E2F36"/>
    <w:rsid w:val="681744E0"/>
    <w:rsid w:val="6841155D"/>
    <w:rsid w:val="68C77CB4"/>
    <w:rsid w:val="690E58E3"/>
    <w:rsid w:val="692F585A"/>
    <w:rsid w:val="695D6686"/>
    <w:rsid w:val="69603C65"/>
    <w:rsid w:val="699F29DF"/>
    <w:rsid w:val="69BB3CDB"/>
    <w:rsid w:val="69C53AC8"/>
    <w:rsid w:val="6AD4485E"/>
    <w:rsid w:val="6AE306AA"/>
    <w:rsid w:val="6B344C02"/>
    <w:rsid w:val="6C2D5905"/>
    <w:rsid w:val="6CB9019C"/>
    <w:rsid w:val="6D8F68C7"/>
    <w:rsid w:val="6DD6581E"/>
    <w:rsid w:val="6ECB7DD2"/>
    <w:rsid w:val="6EDE1656"/>
    <w:rsid w:val="6F4F27B2"/>
    <w:rsid w:val="7007308C"/>
    <w:rsid w:val="705F4C76"/>
    <w:rsid w:val="708A26D2"/>
    <w:rsid w:val="708D2D43"/>
    <w:rsid w:val="71B96608"/>
    <w:rsid w:val="71C11019"/>
    <w:rsid w:val="720B0CA0"/>
    <w:rsid w:val="726A7902"/>
    <w:rsid w:val="72971FFC"/>
    <w:rsid w:val="72B7784B"/>
    <w:rsid w:val="72B8066E"/>
    <w:rsid w:val="731955B0"/>
    <w:rsid w:val="733C555E"/>
    <w:rsid w:val="739C7F8F"/>
    <w:rsid w:val="73C3376E"/>
    <w:rsid w:val="73F12089"/>
    <w:rsid w:val="73F44B5D"/>
    <w:rsid w:val="73F531FC"/>
    <w:rsid w:val="760654CF"/>
    <w:rsid w:val="77041529"/>
    <w:rsid w:val="77093F75"/>
    <w:rsid w:val="77792DBE"/>
    <w:rsid w:val="77FC4183"/>
    <w:rsid w:val="780103C1"/>
    <w:rsid w:val="7AD376FC"/>
    <w:rsid w:val="7C5F7773"/>
    <w:rsid w:val="7CD460A4"/>
    <w:rsid w:val="7E970C71"/>
    <w:rsid w:val="7F343772"/>
    <w:rsid w:val="7F680C0D"/>
    <w:rsid w:val="7FD1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semiHidden/>
    <w:unhideWhenUsed/>
    <w:qFormat/>
    <w:uiPriority w:val="99"/>
    <w:pPr>
      <w:jc w:val="left"/>
    </w:pPr>
  </w:style>
  <w:style w:type="paragraph" w:styleId="12">
    <w:name w:val="Balloon Text"/>
    <w:basedOn w:val="1"/>
    <w:link w:val="51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footnote text"/>
    <w:basedOn w:val="1"/>
    <w:link w:val="44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8">
    <w:name w:val="Title"/>
    <w:basedOn w:val="1"/>
    <w:next w:val="1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annotation subject"/>
    <w:basedOn w:val="11"/>
    <w:next w:val="11"/>
    <w:link w:val="47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Emphasis"/>
    <w:basedOn w:val="22"/>
    <w:qFormat/>
    <w:uiPriority w:val="20"/>
    <w:rPr>
      <w:i/>
    </w:rPr>
  </w:style>
  <w:style w:type="character" w:styleId="24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styleId="25">
    <w:name w:val="footnote reference"/>
    <w:basedOn w:val="22"/>
    <w:semiHidden/>
    <w:unhideWhenUsed/>
    <w:qFormat/>
    <w:uiPriority w:val="99"/>
    <w:rPr>
      <w:vertAlign w:val="superscript"/>
    </w:rPr>
  </w:style>
  <w:style w:type="character" w:customStyle="1" w:styleId="26">
    <w:name w:val="标题 1 字符"/>
    <w:basedOn w:val="2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7">
    <w:name w:val="标题 2 字符"/>
    <w:basedOn w:val="22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8">
    <w:name w:val="标题 3 字符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9">
    <w:name w:val="标题 4 字符"/>
    <w:basedOn w:val="22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0">
    <w:name w:val="标题 5 字符"/>
    <w:basedOn w:val="22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31">
    <w:name w:val="标题 6 字符"/>
    <w:basedOn w:val="22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2">
    <w:name w:val="标题 7 字符"/>
    <w:basedOn w:val="22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22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22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22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22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22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明显强调1"/>
    <w:basedOn w:val="22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2">
    <w:name w:val="明显引用 字符"/>
    <w:basedOn w:val="22"/>
    <w:link w:val="41"/>
    <w:qFormat/>
    <w:uiPriority w:val="30"/>
    <w:rPr>
      <w:i/>
      <w:iCs/>
      <w:color w:val="104862" w:themeColor="accent1" w:themeShade="BF"/>
    </w:rPr>
  </w:style>
  <w:style w:type="character" w:customStyle="1" w:styleId="43">
    <w:name w:val="明显参考1"/>
    <w:basedOn w:val="22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4">
    <w:name w:val="脚注文本 字符"/>
    <w:basedOn w:val="22"/>
    <w:link w:val="16"/>
    <w:semiHidden/>
    <w:qFormat/>
    <w:uiPriority w:val="99"/>
    <w:rPr>
      <w:kern w:val="2"/>
      <w:sz w:val="18"/>
      <w:szCs w:val="18"/>
    </w:rPr>
  </w:style>
  <w:style w:type="paragraph" w:customStyle="1" w:styleId="45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6">
    <w:name w:val="批注文字 字符"/>
    <w:basedOn w:val="22"/>
    <w:link w:val="11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47">
    <w:name w:val="批注主题 字符"/>
    <w:basedOn w:val="46"/>
    <w:link w:val="19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paragraph" w:customStyle="1" w:styleId="48">
    <w:name w:val="修订2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9">
    <w:name w:val="页眉 字符"/>
    <w:basedOn w:val="22"/>
    <w:link w:val="1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0">
    <w:name w:val="页脚 字符"/>
    <w:basedOn w:val="22"/>
    <w:link w:val="1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1">
    <w:name w:val="批注框文本 字符"/>
    <w:basedOn w:val="22"/>
    <w:link w:val="12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2">
    <w:name w:val="wx_search_keyword_wrap"/>
    <w:basedOn w:val="22"/>
    <w:qFormat/>
    <w:uiPriority w:val="0"/>
  </w:style>
  <w:style w:type="paragraph" w:customStyle="1" w:styleId="53">
    <w:name w:val="修订3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4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B4944-1C81-457D-A2B1-65E4F376DD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1645</Words>
  <Characters>1934</Characters>
  <Lines>96</Lines>
  <Paragraphs>70</Paragraphs>
  <TotalTime>1</TotalTime>
  <ScaleCrop>false</ScaleCrop>
  <LinksUpToDate>false</LinksUpToDate>
  <CharactersWithSpaces>1940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2024-08-06T03:17:00Z</dcterms:created>
  <dc:creator>蔡玮莎</dc:creator>
  <cp:lastModifiedBy>郭丽芳</cp:lastModifiedBy>
  <cp:lastPrinted>2024-07-24T12:39:00Z</cp:lastPrinted>
  <dcterms:modified xsi:type="dcterms:W3CDTF">2025-09-01T09:53:41Z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2024-07-18T09:48:45Z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aaa0c252-cd3a-4a11-910f-afb72ae1db52</vt:lpwstr>
  </property>
  <property fmtid="{D5CDD505-2E9C-101B-9397-08002B2CF9AE}" pid="7" name="MSIP_Label_defa4170-0d19-0005-0004-bc88714345d2_ActionId">
    <vt:lpwstr>f4919e6a-cca8-4d93-89dc-bfc2cfd838aa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2052-12.1.0.22529</vt:lpwstr>
  </property>
  <property fmtid="{D5CDD505-2E9C-101B-9397-08002B2CF9AE}" pid="10" name="ICV">
    <vt:lpwstr>1FD2EB7BBF4949029EA76F7ADF012C68_13</vt:lpwstr>
  </property>
  <property fmtid="{D5CDD505-2E9C-101B-9397-08002B2CF9AE}" pid="11" name="KSOTemplateDocerSaveRecord">
    <vt:lpwstr>eyJoZGlkIjoiMTkwNzljODJjODc5OWQyODIxYTEyYmYwMDRjNDNjNzEiLCJ1c2VySWQiOiI2MzExNjgzOTQifQ==</vt:lpwstr>
  </property>
</Properties>
</file>